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 w:lineRule="exact"/>
        <w:rPr>
          <w:rFonts w:ascii="MS PGothic" w:cs="MS PGothic" w:eastAsia="MS PGothic" w:hAnsi="MS PGothic"/>
          <w:sz w:val="14"/>
          <w:szCs w:val="14"/>
          <w:color w:val="auto"/>
        </w:rPr>
      </w:pPr>
    </w:p>
    <w:p>
      <w:pPr>
        <w:ind w:left="4600"/>
        <w:spacing w:after="0"/>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For the fiscal year ended July 31, 2022</w:t>
      </w:r>
    </w:p>
    <w:p>
      <w:pPr>
        <w:spacing w:after="0" w:line="1" w:lineRule="exact"/>
        <w:rPr>
          <w:rFonts w:ascii="MS PGothic" w:cs="MS PGothic" w:eastAsia="MS PGothic" w:hAnsi="MS PGothic"/>
          <w:sz w:val="14"/>
          <w:szCs w:val="14"/>
          <w:color w:val="auto"/>
        </w:rPr>
      </w:pPr>
    </w:p>
    <w:p>
      <w:pPr>
        <w:ind w:left="554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9" w:lineRule="exact"/>
        <w:rPr>
          <w:sz w:val="24"/>
          <w:szCs w:val="24"/>
          <w:color w:val="auto"/>
        </w:rPr>
      </w:pPr>
    </w:p>
    <w:p>
      <w:pPr>
        <w:ind w:left="180" w:hanging="175"/>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bl>
      <w:tblPr>
        <w:tblLayout w:type="fixed"/>
        <w:tblInd w:w="158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w:t>
            </w:r>
          </w:p>
        </w:tc>
        <w:tc>
          <w:tcPr>
            <w:tcW w:w="38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w w:val="70"/>
              </w:rPr>
              <w:t>.</w:t>
            </w:r>
          </w:p>
        </w:tc>
        <w:tc>
          <w:tcPr>
            <w:tcW w:w="2180" w:type="dxa"/>
            <w:vAlign w:val="bottom"/>
          </w:tcPr>
          <w:p>
            <w:pPr>
              <w:spacing w:after="0"/>
              <w:rPr>
                <w:sz w:val="12"/>
                <w:szCs w:val="12"/>
                <w:color w:val="auto"/>
              </w:rPr>
            </w:pPr>
          </w:p>
        </w:tc>
      </w:tr>
      <w:tr>
        <w:trPr>
          <w:trHeight w:val="157"/>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gridSpan w:val="4"/>
          </w:tcPr>
          <w:p>
            <w:pPr>
              <w:jc w:val="center"/>
              <w:ind w:left="411"/>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001-35394</w:t>
            </w:r>
          </w:p>
        </w:tc>
        <w:tc>
          <w:tcPr>
            <w:tcW w:w="38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160"/>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80" w:type="dxa"/>
            <w:vAlign w:val="bottom"/>
            <w:gridSpan w:val="4"/>
          </w:tcPr>
          <w:p>
            <w:pPr>
              <w:jc w:val="center"/>
              <w:ind w:left="391"/>
              <w:spacing w:after="0" w:line="160" w:lineRule="exact"/>
              <w:rPr>
                <w:sz w:val="20"/>
                <w:szCs w:val="20"/>
                <w:color w:val="auto"/>
              </w:rPr>
            </w:pPr>
            <w:r>
              <w:rPr>
                <w:rFonts w:ascii="Times New Roman" w:cs="Times New Roman" w:eastAsia="Times New Roman" w:hAnsi="Times New Roman"/>
                <w:sz w:val="14"/>
                <w:szCs w:val="14"/>
                <w:color w:val="auto"/>
              </w:rPr>
              <w:t>________________________________________</w:t>
            </w:r>
          </w:p>
        </w:tc>
        <w:tc>
          <w:tcPr>
            <w:tcW w:w="38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352"/>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gridSpan w:val="6"/>
          </w:tcPr>
          <w:p>
            <w:pPr>
              <w:jc w:val="center"/>
              <w:ind w:right="2003"/>
              <w:spacing w:after="0"/>
              <w:rPr>
                <w:sz w:val="20"/>
                <w:szCs w:val="20"/>
                <w:color w:val="auto"/>
              </w:rPr>
            </w:pPr>
            <w:r>
              <w:rPr>
                <w:rFonts w:ascii="Times New Roman" w:cs="Times New Roman" w:eastAsia="Times New Roman" w:hAnsi="Times New Roman"/>
                <w:sz w:val="28"/>
                <w:szCs w:val="28"/>
                <w:b w:val="1"/>
                <w:bCs w:val="1"/>
                <w:color w:val="auto"/>
              </w:rPr>
              <w:t>Guidewire Software, Inc.</w:t>
            </w:r>
          </w:p>
        </w:tc>
      </w:tr>
      <w:tr>
        <w:trPr>
          <w:trHeight w:val="151"/>
        </w:trPr>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gridSpan w:val="6"/>
          </w:tcPr>
          <w:p>
            <w:pPr>
              <w:jc w:val="center"/>
              <w:ind w:right="2003"/>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r>
      <w:tr>
        <w:trPr>
          <w:trHeight w:val="165"/>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gridSpan w:val="4"/>
          </w:tcPr>
          <w:p>
            <w:pPr>
              <w:jc w:val="center"/>
              <w:ind w:left="391"/>
              <w:spacing w:after="0"/>
              <w:rPr>
                <w:sz w:val="20"/>
                <w:szCs w:val="20"/>
                <w:color w:val="auto"/>
              </w:rPr>
            </w:pPr>
            <w:r>
              <w:rPr>
                <w:rFonts w:ascii="Times New Roman" w:cs="Times New Roman" w:eastAsia="Times New Roman" w:hAnsi="Times New Roman"/>
                <w:sz w:val="13"/>
                <w:szCs w:val="13"/>
                <w:color w:val="auto"/>
                <w:w w:val="97"/>
              </w:rPr>
              <w:t>________________________________________</w:t>
            </w: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29"/>
        </w:trPr>
        <w:tc>
          <w:tcPr>
            <w:tcW w:w="320" w:type="dxa"/>
            <w:vAlign w:val="bottom"/>
          </w:tcPr>
          <w:p>
            <w:pPr>
              <w:spacing w:after="0"/>
              <w:rPr>
                <w:sz w:val="19"/>
                <w:szCs w:val="19"/>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560" w:type="dxa"/>
            <w:vAlign w:val="bottom"/>
            <w:gridSpan w:val="2"/>
          </w:tcPr>
          <w:p>
            <w:pPr>
              <w:jc w:val="center"/>
              <w:ind w:left="245"/>
              <w:spacing w:after="0"/>
              <w:rPr>
                <w:sz w:val="20"/>
                <w:szCs w:val="20"/>
                <w:color w:val="auto"/>
              </w:rPr>
            </w:pPr>
            <w:r>
              <w:rPr>
                <w:rFonts w:ascii="Times New Roman" w:cs="Times New Roman" w:eastAsia="Times New Roman" w:hAnsi="Times New Roman"/>
                <w:sz w:val="11"/>
                <w:szCs w:val="11"/>
                <w:b w:val="1"/>
                <w:bCs w:val="1"/>
                <w:color w:val="auto"/>
              </w:rPr>
              <w:t>36-4468504</w:t>
            </w:r>
          </w:p>
        </w:tc>
      </w:tr>
      <w:tr>
        <w:trPr>
          <w:trHeight w:val="127"/>
        </w:trPr>
        <w:tc>
          <w:tcPr>
            <w:tcW w:w="320" w:type="dxa"/>
            <w:vAlign w:val="bottom"/>
          </w:tcPr>
          <w:p>
            <w:pPr>
              <w:spacing w:after="0"/>
              <w:rPr>
                <w:sz w:val="11"/>
                <w:szCs w:val="11"/>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20" w:type="dxa"/>
            <w:vAlign w:val="bottom"/>
          </w:tcPr>
          <w:p>
            <w:pPr>
              <w:spacing w:after="0"/>
              <w:rPr>
                <w:sz w:val="12"/>
                <w:szCs w:val="12"/>
                <w:color w:val="auto"/>
              </w:rPr>
            </w:pPr>
          </w:p>
        </w:tc>
        <w:tc>
          <w:tcPr>
            <w:tcW w:w="18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7"/>
        </w:trPr>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40" w:type="dxa"/>
            <w:vAlign w:val="bottom"/>
            <w:gridSpan w:val="6"/>
          </w:tcPr>
          <w:p>
            <w:pPr>
              <w:jc w:val="center"/>
              <w:ind w:right="2023"/>
              <w:spacing w:after="0"/>
              <w:rPr>
                <w:sz w:val="20"/>
                <w:szCs w:val="20"/>
                <w:color w:val="auto"/>
              </w:rPr>
            </w:pPr>
            <w:r>
              <w:rPr>
                <w:rFonts w:ascii="Times New Roman" w:cs="Times New Roman" w:eastAsia="Times New Roman" w:hAnsi="Times New Roman"/>
                <w:sz w:val="13"/>
                <w:szCs w:val="13"/>
                <w:b w:val="1"/>
                <w:bCs w:val="1"/>
                <w:color w:val="auto"/>
                <w:w w:val="97"/>
              </w:rPr>
              <w:t>2850 S. Delaware St., Suite 400, San Mateo, California, 94403</w:t>
            </w:r>
          </w:p>
        </w:tc>
      </w:tr>
      <w:tr>
        <w:trPr>
          <w:trHeight w:val="166"/>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80" w:type="dxa"/>
            <w:vAlign w:val="bottom"/>
            <w:gridSpan w:val="4"/>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80"/>
        </w:trPr>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60" w:type="dxa"/>
            <w:vAlign w:val="bottom"/>
            <w:gridSpan w:val="3"/>
          </w:tcPr>
          <w:p>
            <w:pPr>
              <w:jc w:val="center"/>
              <w:ind w:left="1231"/>
              <w:spacing w:after="0"/>
              <w:rPr>
                <w:sz w:val="20"/>
                <w:szCs w:val="20"/>
                <w:color w:val="auto"/>
              </w:rPr>
            </w:pPr>
            <w:r>
              <w:rPr>
                <w:rFonts w:ascii="Times New Roman" w:cs="Times New Roman" w:eastAsia="Times New Roman" w:hAnsi="Times New Roman"/>
                <w:sz w:val="13"/>
                <w:szCs w:val="13"/>
                <w:b w:val="1"/>
                <w:bCs w:val="1"/>
                <w:color w:val="auto"/>
                <w:w w:val="98"/>
              </w:rPr>
              <w:t>(650) 357-9100</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43"/>
        </w:trPr>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80" w:type="dxa"/>
            <w:vAlign w:val="bottom"/>
            <w:gridSpan w:val="4"/>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38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84"/>
        </w:trPr>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80" w:type="dxa"/>
            <w:vAlign w:val="bottom"/>
            <w:gridSpan w:val="4"/>
          </w:tcPr>
          <w:p>
            <w:pPr>
              <w:jc w:val="center"/>
              <w:ind w:left="391"/>
              <w:spacing w:after="0"/>
              <w:rPr>
                <w:sz w:val="20"/>
                <w:szCs w:val="20"/>
                <w:color w:val="auto"/>
              </w:rPr>
            </w:pPr>
            <w:r>
              <w:rPr>
                <w:rFonts w:ascii="Times New Roman" w:cs="Times New Roman" w:eastAsia="Times New Roman" w:hAnsi="Times New Roman"/>
                <w:sz w:val="14"/>
                <w:szCs w:val="14"/>
                <w:color w:val="auto"/>
              </w:rPr>
              <w:t>________________________________________</w:t>
            </w:r>
          </w:p>
        </w:tc>
        <w:tc>
          <w:tcPr>
            <w:tcW w:w="38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8"/>
        </w:trPr>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40" w:type="dxa"/>
            <w:vAlign w:val="bottom"/>
            <w:gridSpan w:val="6"/>
          </w:tcPr>
          <w:p>
            <w:pPr>
              <w:jc w:val="center"/>
              <w:ind w:right="2023"/>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r>
      <w:tr>
        <w:trPr>
          <w:trHeight w:val="206"/>
        </w:trPr>
        <w:tc>
          <w:tcPr>
            <w:tcW w:w="3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920" w:type="dxa"/>
            <w:vAlign w:val="bottom"/>
          </w:tcPr>
          <w:p>
            <w:pPr>
              <w:spacing w:after="0"/>
              <w:rPr>
                <w:sz w:val="17"/>
                <w:szCs w:val="17"/>
                <w:color w:val="auto"/>
              </w:rPr>
            </w:pPr>
          </w:p>
        </w:tc>
        <w:tc>
          <w:tcPr>
            <w:tcW w:w="2460" w:type="dxa"/>
            <w:vAlign w:val="bottom"/>
            <w:gridSpan w:val="3"/>
          </w:tcPr>
          <w:p>
            <w:pPr>
              <w:jc w:val="center"/>
              <w:ind w:left="431"/>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820" w:type="dxa"/>
            <w:vAlign w:val="bottom"/>
          </w:tcPr>
          <w:p>
            <w:pPr>
              <w:spacing w:after="0"/>
              <w:rPr>
                <w:sz w:val="17"/>
                <w:szCs w:val="17"/>
                <w:color w:val="auto"/>
              </w:rPr>
            </w:pPr>
          </w:p>
        </w:tc>
        <w:tc>
          <w:tcPr>
            <w:tcW w:w="2560" w:type="dxa"/>
            <w:vAlign w:val="bottom"/>
            <w:gridSpan w:val="2"/>
          </w:tcPr>
          <w:p>
            <w:pPr>
              <w:jc w:val="center"/>
              <w:ind w:left="325"/>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163"/>
        </w:trPr>
        <w:tc>
          <w:tcPr>
            <w:tcW w:w="218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color w:val="auto"/>
              </w:rPr>
              <w:t>Common Stock, $0.0001 par value</w:t>
            </w:r>
          </w:p>
        </w:tc>
        <w:tc>
          <w:tcPr>
            <w:tcW w:w="10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w w:val="98"/>
              </w:rPr>
              <w:t>GWRE</w:t>
            </w: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None</w:t>
      </w: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7" w:lineRule="exact"/>
        <w:rPr>
          <w:sz w:val="24"/>
          <w:szCs w:val="24"/>
          <w:color w:val="auto"/>
        </w:rPr>
      </w:pPr>
    </w:p>
    <w:p>
      <w:pPr>
        <w:ind w:left="260" w:right="4720"/>
        <w:spacing w:after="0" w:line="172"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firstLine="255"/>
        <w:spacing w:after="0" w:line="15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180" w:firstLine="255"/>
        <w:spacing w:after="0" w:line="14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2" w:lineRule="exact"/>
        <w:rPr>
          <w:sz w:val="24"/>
          <w:szCs w:val="24"/>
          <w:color w:val="auto"/>
        </w:rPr>
      </w:pPr>
    </w:p>
    <w:p>
      <w:pPr>
        <w:ind w:right="140" w:firstLine="255"/>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210" w:right="359" w:bottom="1440" w:gutter="0" w:footer="0" w:header="0"/>
        </w:sectPr>
      </w:pPr>
    </w:p>
    <w:p>
      <w:pPr>
        <w:spacing w:after="0" w:line="58" w:lineRule="exact"/>
        <w:rPr>
          <w:sz w:val="24"/>
          <w:szCs w:val="24"/>
          <w:color w:val="auto"/>
        </w:rPr>
      </w:pPr>
    </w:p>
    <w:p>
      <w:pPr>
        <w:ind w:left="20"/>
        <w:spacing w:after="0" w:line="127" w:lineRule="exact"/>
        <w:tabs>
          <w:tab w:leader="none" w:pos="2900" w:val="left"/>
          <w:tab w:leader="none" w:pos="734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Accelerated filer</w:t>
      </w:r>
    </w:p>
    <w:p>
      <w:pPr>
        <w:spacing w:after="0" w:line="50" w:lineRule="exact"/>
        <w:rPr>
          <w:sz w:val="24"/>
          <w:szCs w:val="24"/>
          <w:color w:val="auto"/>
        </w:rPr>
      </w:pPr>
    </w:p>
    <w:p>
      <w:pPr>
        <w:ind w:left="20"/>
        <w:spacing w:after="0" w:line="127" w:lineRule="exact"/>
        <w:tabs>
          <w:tab w:leader="none" w:pos="2900" w:val="left"/>
          <w:tab w:leader="none" w:pos="7340" w:val="left"/>
        </w:tabs>
        <w:rPr>
          <w:sz w:val="20"/>
          <w:szCs w:val="20"/>
          <w:color w:val="auto"/>
        </w:rPr>
      </w:pP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33" w:lineRule="exact"/>
        <w:rPr>
          <w:sz w:val="24"/>
          <w:szCs w:val="24"/>
          <w:color w:val="auto"/>
        </w:rPr>
      </w:pPr>
    </w:p>
    <w:p>
      <w:pPr>
        <w:ind w:left="736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02" w:lineRule="exact"/>
        <w:rPr>
          <w:sz w:val="24"/>
          <w:szCs w:val="24"/>
          <w:color w:val="auto"/>
        </w:rPr>
      </w:pPr>
    </w:p>
    <w:p>
      <w:pPr>
        <w:sectPr>
          <w:pgSz w:w="11900" w:h="16838" w:orient="portrait"/>
          <w:cols w:equalWidth="0" w:num="2">
            <w:col w:w="9560" w:space="720"/>
            <w:col w:w="960"/>
          </w:cols>
          <w:pgMar w:left="300" w:top="210" w:right="359" w:bottom="1440" w:gutter="0" w:footer="0" w:header="0"/>
          <w:type w:val="continuous"/>
        </w:sectPr>
      </w:pPr>
    </w:p>
    <w:p>
      <w:pPr>
        <w:ind w:right="260" w:firstLine="255"/>
        <w:spacing w:after="0" w:line="15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2" w:lineRule="exact"/>
        <w:rPr>
          <w:sz w:val="24"/>
          <w:szCs w:val="24"/>
          <w:color w:val="auto"/>
        </w:rPr>
      </w:pPr>
    </w:p>
    <w:p>
      <w:pPr>
        <w:ind w:right="120" w:firstLine="255"/>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260"/>
        <w:spacing w:after="0"/>
        <w:tabs>
          <w:tab w:leader="none" w:pos="548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0"/>
          <w:szCs w:val="10"/>
          <w:color w:val="auto"/>
        </w:rPr>
        <w:t>Yes</w:t>
      </w:r>
    </w:p>
    <w:p>
      <w:pPr>
        <w:spacing w:after="0" w:line="9" w:lineRule="exact"/>
        <w:rPr>
          <w:sz w:val="24"/>
          <w:szCs w:val="24"/>
          <w:color w:val="auto"/>
        </w:rPr>
      </w:pPr>
    </w:p>
    <w:p>
      <w:pPr>
        <w:ind w:left="220" w:hanging="215"/>
        <w:spacing w:after="0" w:line="127" w:lineRule="exact"/>
        <w:tabs>
          <w:tab w:leader="none" w:pos="220" w:val="left"/>
        </w:tabs>
        <w:numPr>
          <w:ilvl w:val="0"/>
          <w:numId w:val="3"/>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46" w:lineRule="exact"/>
        <w:rPr>
          <w:sz w:val="24"/>
          <w:szCs w:val="24"/>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1"/>
          <w:szCs w:val="11"/>
          <w:color w:val="auto"/>
        </w:rPr>
        <w:t>The aggregate market value of common stock held by non-affiliates of the registrant, computed by reference to the closing price at which the common stock was sold on January 31, 2022, the last business day of the registrant’s most recently completed second fiscal quarter, as reported on the New York Stock Exchange, was approximately $5.4 billion.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 any other purpose.</w:t>
      </w:r>
    </w:p>
    <w:p>
      <w:pPr>
        <w:spacing w:after="0" w:line="1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1"/>
          <w:szCs w:val="11"/>
          <w:color w:val="auto"/>
        </w:rPr>
        <w:t>On August 31, 2022, the registrant had 84,084,360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382905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10"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1" w:lineRule="exact"/>
        <w:rPr>
          <w:sz w:val="20"/>
          <w:szCs w:val="20"/>
          <w:color w:val="auto"/>
        </w:rPr>
      </w:pPr>
    </w:p>
    <w:p>
      <w:pPr>
        <w:ind w:firstLine="255"/>
        <w:spacing w:after="0" w:line="300"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2022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349885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2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616"/>
        </w:trPr>
        <w:tc>
          <w:tcPr>
            <w:tcW w:w="9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20" w:type="dxa"/>
            <w:vAlign w:val="bottom"/>
            <w:gridSpan w:val="14"/>
          </w:tcPr>
          <w:p>
            <w:pPr>
              <w:jc w:val="center"/>
              <w:ind w:right="4540"/>
              <w:spacing w:after="0"/>
              <w:rPr>
                <w:sz w:val="20"/>
                <w:szCs w:val="20"/>
                <w:color w:val="auto"/>
              </w:rPr>
            </w:pPr>
            <w:r>
              <w:rPr>
                <w:rFonts w:ascii="Times New Roman" w:cs="Times New Roman" w:eastAsia="Times New Roman" w:hAnsi="Times New Roman"/>
                <w:sz w:val="14"/>
                <w:szCs w:val="14"/>
                <w:b w:val="1"/>
                <w:bCs w:val="1"/>
                <w:color w:val="auto"/>
              </w:rPr>
              <w:t>Guidewire Software,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20" w:type="dxa"/>
            <w:vAlign w:val="bottom"/>
            <w:gridSpan w:val="14"/>
          </w:tcPr>
          <w:p>
            <w:pPr>
              <w:jc w:val="center"/>
              <w:ind w:right="45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93"/>
        </w:trPr>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gridSpan w:val="9"/>
          </w:tcPr>
          <w:p>
            <w:pPr>
              <w:jc w:val="center"/>
              <w:ind w:right="522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45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Business</w:t>
            </w:r>
          </w:p>
        </w:tc>
        <w:tc>
          <w:tcPr>
            <w:tcW w:w="360" w:type="dxa"/>
            <w:vAlign w:val="bottom"/>
            <w:tcBorders>
              <w:top w:val="single" w:sz="8" w:color="0000FF"/>
            </w:tcBorders>
          </w:tcPr>
          <w:p>
            <w:pPr>
              <w:spacing w:after="0"/>
              <w:rPr>
                <w:sz w:val="13"/>
                <w:szCs w:val="13"/>
                <w:color w:val="auto"/>
              </w:rPr>
            </w:pPr>
          </w:p>
        </w:tc>
        <w:tc>
          <w:tcPr>
            <w:tcW w:w="5220" w:type="dxa"/>
            <w:vAlign w:val="bottom"/>
            <w:gridSpan w:val="8"/>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c>
          <w:tcPr>
            <w:tcW w:w="6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9360" w:type="dxa"/>
            <w:vAlign w:val="bottom"/>
            <w:gridSpan w:val="2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13</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37</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1020" w:type="dxa"/>
            <w:vAlign w:val="bottom"/>
            <w:tcBorders>
              <w:top w:val="single" w:sz="8" w:color="0000FF"/>
            </w:tcBorders>
            <w:gridSpan w:val="6"/>
          </w:tcPr>
          <w:p>
            <w:pPr>
              <w:spacing w:after="0"/>
              <w:rPr>
                <w:sz w:val="13"/>
                <w:szCs w:val="13"/>
                <w:color w:val="auto"/>
              </w:rPr>
            </w:pPr>
          </w:p>
        </w:tc>
        <w:tc>
          <w:tcPr>
            <w:tcW w:w="8480" w:type="dxa"/>
            <w:vAlign w:val="bottom"/>
            <w:gridSpan w:val="20"/>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33CC"/>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37</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9020" w:type="dxa"/>
            <w:vAlign w:val="bottom"/>
            <w:gridSpan w:val="2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37</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37</w:t>
            </w:r>
          </w:p>
        </w:tc>
        <w:tc>
          <w:tcPr>
            <w:tcW w:w="60" w:type="dxa"/>
            <w:vAlign w:val="bottom"/>
          </w:tcPr>
          <w:p>
            <w:pPr>
              <w:spacing w:after="0"/>
              <w:rPr>
                <w:sz w:val="13"/>
                <w:szCs w:val="13"/>
                <w:color w:val="auto"/>
              </w:rPr>
            </w:pPr>
          </w:p>
        </w:tc>
      </w:tr>
      <w:tr>
        <w:trPr>
          <w:trHeight w:val="373"/>
        </w:trPr>
        <w:tc>
          <w:tcPr>
            <w:tcW w:w="9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10"/>
          </w:tcPr>
          <w:p>
            <w:pPr>
              <w:jc w:val="center"/>
              <w:ind w:right="5200"/>
              <w:spacing w:after="0"/>
              <w:rPr>
                <w:sz w:val="20"/>
                <w:szCs w:val="20"/>
                <w:color w:val="auto"/>
              </w:rPr>
            </w:pPr>
            <w:r>
              <w:rPr>
                <w:rFonts w:ascii="Times New Roman" w:cs="Times New Roman" w:eastAsia="Times New Roman" w:hAnsi="Times New Roman"/>
                <w:sz w:val="14"/>
                <w:szCs w:val="14"/>
                <w:b w:val="1"/>
                <w:bCs w:val="1"/>
                <w:color w:val="0000FF"/>
                <w:w w:val="97"/>
              </w:rPr>
              <w:t>Part II</w:t>
            </w:r>
          </w:p>
        </w:tc>
        <w:tc>
          <w:tcPr>
            <w:tcW w:w="60" w:type="dxa"/>
            <w:vAlign w:val="bottom"/>
          </w:tcPr>
          <w:p>
            <w:pPr>
              <w:spacing w:after="0"/>
              <w:rPr>
                <w:sz w:val="24"/>
                <w:szCs w:val="24"/>
                <w:color w:val="auto"/>
              </w:rPr>
            </w:pPr>
          </w:p>
        </w:tc>
        <w:tc>
          <w:tcPr>
            <w:tcW w:w="140" w:type="dxa"/>
            <w:vAlign w:val="bottom"/>
            <w:tcBorders>
              <w:top w:val="single" w:sz="8" w:color="0033CC"/>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38</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63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auto"/>
              </w:rPr>
              <w:t>[Reserved]</w:t>
            </w:r>
          </w:p>
        </w:tc>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33CC"/>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40</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50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0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40</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58</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26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tcBorders>
              <w:top w:val="single" w:sz="8" w:color="0000FF"/>
            </w:tcBorders>
            <w:gridSpan w:val="2"/>
          </w:tcPr>
          <w:p>
            <w:pPr>
              <w:spacing w:after="0"/>
              <w:rPr>
                <w:sz w:val="13"/>
                <w:szCs w:val="13"/>
                <w:color w:val="auto"/>
              </w:rPr>
            </w:pPr>
          </w:p>
        </w:tc>
        <w:tc>
          <w:tcPr>
            <w:tcW w:w="6660" w:type="dxa"/>
            <w:vAlign w:val="bottom"/>
            <w:gridSpan w:val="15"/>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33CC"/>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60</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101</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40" w:type="dxa"/>
            <w:vAlign w:val="bottom"/>
            <w:tcBorders>
              <w:top w:val="single" w:sz="8" w:color="0000FF"/>
            </w:tcBorders>
            <w:gridSpan w:val="19"/>
          </w:tcPr>
          <w:p>
            <w:pPr>
              <w:spacing w:after="0"/>
              <w:rPr>
                <w:sz w:val="13"/>
                <w:szCs w:val="13"/>
                <w:color w:val="auto"/>
              </w:rPr>
            </w:pPr>
          </w:p>
        </w:tc>
        <w:tc>
          <w:tcPr>
            <w:tcW w:w="4940" w:type="dxa"/>
            <w:vAlign w:val="bottom"/>
            <w:gridSpan w:val="3"/>
          </w:tcPr>
          <w:p>
            <w:pPr>
              <w:spacing w:after="0"/>
              <w:rPr>
                <w:sz w:val="13"/>
                <w:szCs w:val="13"/>
                <w:color w:val="auto"/>
              </w:rPr>
            </w:pPr>
          </w:p>
        </w:tc>
        <w:tc>
          <w:tcPr>
            <w:tcW w:w="200" w:type="dxa"/>
            <w:vAlign w:val="bottom"/>
            <w:tcBorders>
              <w:top w:val="single" w:sz="8" w:color="0033CC"/>
              <w:bottom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101</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9040" w:type="dxa"/>
            <w:vAlign w:val="bottom"/>
            <w:gridSpan w:val="24"/>
          </w:tcPr>
          <w:p>
            <w:pPr>
              <w:spacing w:after="0"/>
              <w:rPr>
                <w:sz w:val="13"/>
                <w:szCs w:val="13"/>
                <w:color w:val="auto"/>
              </w:rPr>
            </w:pPr>
          </w:p>
        </w:tc>
        <w:tc>
          <w:tcPr>
            <w:tcW w:w="20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101</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102</w:t>
            </w:r>
          </w:p>
        </w:tc>
        <w:tc>
          <w:tcPr>
            <w:tcW w:w="6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5140" w:type="dxa"/>
            <w:vAlign w:val="bottom"/>
            <w:gridSpan w:val="5"/>
          </w:tcPr>
          <w:p>
            <w:pPr>
              <w:spacing w:after="0"/>
              <w:rPr>
                <w:sz w:val="13"/>
                <w:szCs w:val="13"/>
                <w:color w:val="auto"/>
              </w:rPr>
            </w:pPr>
          </w:p>
        </w:tc>
        <w:tc>
          <w:tcPr>
            <w:tcW w:w="60" w:type="dxa"/>
            <w:vAlign w:val="bottom"/>
            <w:tcBorders>
              <w:top w:val="single" w:sz="8" w:color="0033CC"/>
            </w:tcBorders>
          </w:tcPr>
          <w:p>
            <w:pPr>
              <w:spacing w:after="0"/>
              <w:rPr>
                <w:sz w:val="13"/>
                <w:szCs w:val="13"/>
                <w:color w:val="auto"/>
              </w:rPr>
            </w:pPr>
          </w:p>
        </w:tc>
        <w:tc>
          <w:tcPr>
            <w:tcW w:w="140" w:type="dxa"/>
            <w:vAlign w:val="bottom"/>
            <w:tcBorders>
              <w:top w:val="single" w:sz="8" w:color="0033CC"/>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10.</w:t>
            </w:r>
          </w:p>
        </w:tc>
        <w:tc>
          <w:tcPr>
            <w:tcW w:w="3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860" w:type="dxa"/>
            <w:vAlign w:val="bottom"/>
            <w:gridSpan w:val="16"/>
          </w:tcPr>
          <w:p>
            <w:pPr>
              <w:spacing w:after="0"/>
              <w:rPr>
                <w:sz w:val="13"/>
                <w:szCs w:val="13"/>
                <w:color w:val="auto"/>
              </w:rPr>
            </w:pPr>
          </w:p>
        </w:tc>
        <w:tc>
          <w:tcPr>
            <w:tcW w:w="20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103</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1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Executive Compensation</w:t>
            </w:r>
          </w:p>
        </w:tc>
        <w:tc>
          <w:tcPr>
            <w:tcW w:w="8660" w:type="dxa"/>
            <w:vAlign w:val="bottom"/>
            <w:gridSpan w:val="21"/>
          </w:tcPr>
          <w:p>
            <w:pPr>
              <w:spacing w:after="0"/>
              <w:rPr>
                <w:sz w:val="13"/>
                <w:szCs w:val="13"/>
                <w:color w:val="auto"/>
              </w:rPr>
            </w:pPr>
          </w:p>
        </w:tc>
        <w:tc>
          <w:tcPr>
            <w:tcW w:w="20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103</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5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4340" w:type="dxa"/>
            <w:vAlign w:val="bottom"/>
            <w:gridSpan w:val="2"/>
          </w:tcPr>
          <w:p>
            <w:pPr>
              <w:spacing w:after="0"/>
              <w:rPr>
                <w:sz w:val="13"/>
                <w:szCs w:val="13"/>
                <w:color w:val="auto"/>
              </w:rPr>
            </w:pPr>
          </w:p>
        </w:tc>
        <w:tc>
          <w:tcPr>
            <w:tcW w:w="200" w:type="dxa"/>
            <w:vAlign w:val="bottom"/>
            <w:tcBorders>
              <w:bottom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103</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100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103</w:t>
            </w:r>
          </w:p>
        </w:tc>
        <w:tc>
          <w:tcPr>
            <w:tcW w:w="60" w:type="dxa"/>
            <w:vAlign w:val="bottom"/>
          </w:tcPr>
          <w:p>
            <w:pPr>
              <w:spacing w:after="0"/>
              <w:rPr>
                <w:sz w:val="13"/>
                <w:szCs w:val="13"/>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42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5800" w:type="dxa"/>
            <w:vAlign w:val="bottom"/>
            <w:gridSpan w:val="13"/>
          </w:tcPr>
          <w:p>
            <w:pPr>
              <w:spacing w:after="0"/>
              <w:rPr>
                <w:sz w:val="13"/>
                <w:szCs w:val="13"/>
                <w:color w:val="auto"/>
              </w:rPr>
            </w:pPr>
          </w:p>
        </w:tc>
        <w:tc>
          <w:tcPr>
            <w:tcW w:w="200" w:type="dxa"/>
            <w:vAlign w:val="bottom"/>
            <w:tcBorders>
              <w:top w:val="single" w:sz="8" w:color="0033CC"/>
            </w:tcBorders>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103</w:t>
            </w:r>
          </w:p>
        </w:tc>
        <w:tc>
          <w:tcPr>
            <w:tcW w:w="60" w:type="dxa"/>
            <w:vAlign w:val="bottom"/>
          </w:tcPr>
          <w:p>
            <w:pPr>
              <w:spacing w:after="0"/>
              <w:rPr>
                <w:sz w:val="13"/>
                <w:szCs w:val="13"/>
                <w:color w:val="auto"/>
              </w:rPr>
            </w:pPr>
          </w:p>
        </w:tc>
      </w:tr>
      <w:tr>
        <w:trPr>
          <w:trHeight w:val="373"/>
        </w:trPr>
        <w:tc>
          <w:tcPr>
            <w:tcW w:w="9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gridSpan w:val="12"/>
          </w:tcPr>
          <w:p>
            <w:pPr>
              <w:jc w:val="center"/>
              <w:ind w:right="5140"/>
              <w:spacing w:after="0"/>
              <w:rPr>
                <w:sz w:val="20"/>
                <w:szCs w:val="20"/>
                <w:color w:val="auto"/>
              </w:rPr>
            </w:pPr>
            <w:r>
              <w:rPr>
                <w:rFonts w:ascii="Times New Roman" w:cs="Times New Roman" w:eastAsia="Times New Roman" w:hAnsi="Times New Roman"/>
                <w:sz w:val="14"/>
                <w:szCs w:val="14"/>
                <w:b w:val="1"/>
                <w:bCs w:val="1"/>
                <w:color w:val="0000FF"/>
              </w:rPr>
              <w:t>Part IV</w:t>
            </w:r>
          </w:p>
        </w:tc>
        <w:tc>
          <w:tcPr>
            <w:tcW w:w="60" w:type="dxa"/>
            <w:vAlign w:val="bottom"/>
            <w:tcBorders>
              <w:top w:val="single" w:sz="8" w:color="0033CC"/>
            </w:tcBorders>
          </w:tcPr>
          <w:p>
            <w:pPr>
              <w:spacing w:after="0"/>
              <w:rPr>
                <w:sz w:val="24"/>
                <w:szCs w:val="24"/>
                <w:color w:val="auto"/>
              </w:rPr>
            </w:pPr>
          </w:p>
        </w:tc>
        <w:tc>
          <w:tcPr>
            <w:tcW w:w="140" w:type="dxa"/>
            <w:vAlign w:val="bottom"/>
            <w:tcBorders>
              <w:top w:val="single" w:sz="8" w:color="0033CC"/>
            </w:tcBorders>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15.</w:t>
            </w:r>
          </w:p>
        </w:tc>
        <w:tc>
          <w:tcPr>
            <w:tcW w:w="446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460" w:type="dxa"/>
            <w:vAlign w:val="bottom"/>
            <w:tcBorders>
              <w:top w:val="single" w:sz="8" w:color="0000FF"/>
            </w:tcBorders>
            <w:gridSpan w:val="5"/>
          </w:tcPr>
          <w:p>
            <w:pPr>
              <w:spacing w:after="0"/>
              <w:rPr>
                <w:sz w:val="13"/>
                <w:szCs w:val="13"/>
                <w:color w:val="auto"/>
              </w:rPr>
            </w:pPr>
          </w:p>
        </w:tc>
        <w:tc>
          <w:tcPr>
            <w:tcW w:w="5160" w:type="dxa"/>
            <w:vAlign w:val="bottom"/>
            <w:gridSpan w:val="6"/>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w w:val="85"/>
              </w:rPr>
              <w:t>104</w:t>
            </w:r>
          </w:p>
        </w:tc>
        <w:tc>
          <w:tcPr>
            <w:tcW w:w="60" w:type="dxa"/>
            <w:vAlign w:val="bottom"/>
          </w:tcPr>
          <w:p>
            <w:pPr>
              <w:spacing w:after="0"/>
              <w:rPr>
                <w:sz w:val="13"/>
                <w:szCs w:val="13"/>
                <w:color w:val="auto"/>
              </w:rPr>
            </w:pPr>
          </w:p>
        </w:tc>
      </w:tr>
      <w:tr>
        <w:trPr>
          <w:trHeight w:val="904"/>
        </w:trPr>
        <w:tc>
          <w:tcPr>
            <w:tcW w:w="94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60" w:type="dxa"/>
            <w:vAlign w:val="bottom"/>
            <w:tcBorders>
              <w:top w:val="single" w:sz="8" w:color="0033CC"/>
              <w:bottom w:val="single" w:sz="8" w:color="9A9A9A"/>
            </w:tcBorders>
          </w:tcPr>
          <w:p>
            <w:pPr>
              <w:spacing w:after="0"/>
              <w:rPr>
                <w:sz w:val="24"/>
                <w:szCs w:val="24"/>
                <w:color w:val="auto"/>
              </w:rPr>
            </w:pPr>
          </w:p>
        </w:tc>
        <w:tc>
          <w:tcPr>
            <w:tcW w:w="140" w:type="dxa"/>
            <w:vAlign w:val="bottom"/>
            <w:tcBorders>
              <w:top w:val="single" w:sz="8" w:color="0033CC"/>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6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i w:val="1"/>
          <w:iCs w:val="1"/>
          <w:color w:val="auto"/>
        </w:rPr>
        <w:t>The sections titled “Business” and “Management’s Discussion and Analysis of Financial Condition and Results of Operations,” as well as other parts of this Annual Report on Form 10-K and certain information incorporated herein by reference contain forward-looking statements within the meaning of the Securities Act of 1933, as amended (the “Securities Act”), and the Securities Exchange Act of 1934, as amended (the “Exchange Act”),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services,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“Risk Factors,” and elsewhere in this Annual Report on Form 10-K. Many of the forward-looking statements are located in “Management’s Discussion and Analysis of Financial Condition and Results of Operations.”</w:t>
      </w:r>
    </w:p>
    <w:p>
      <w:pPr>
        <w:spacing w:after="0" w:line="10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Forward-looking statements are not guarantees of future performance and involve risks and uncertainties. The forward-looking statements contained in this Annual Report on Form 10-K are based on information available to us as of the filing date of this Annual Report on Form 10-K and our current expectations about future events, which are inherently subject to change and involve risks and uncertainties. You should not place undue reliance on these forward-looking statements.</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We do not undertake any obligation to update any forward-looking statements in this Annual Report on Form 10-K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152" w:lineRule="exact"/>
        <w:rPr>
          <w:sz w:val="20"/>
          <w:szCs w:val="20"/>
          <w:color w:val="auto"/>
        </w:rPr>
      </w:pPr>
    </w:p>
    <w:p>
      <w:pPr>
        <w:ind w:left="360" w:right="3120" w:firstLine="3118"/>
        <w:spacing w:after="0" w:line="404" w:lineRule="auto"/>
        <w:rPr>
          <w:sz w:val="20"/>
          <w:szCs w:val="20"/>
          <w:color w:val="auto"/>
        </w:rPr>
      </w:pPr>
      <w:r>
        <w:rPr>
          <w:rFonts w:ascii="Times New Roman" w:cs="Times New Roman" w:eastAsia="Times New Roman" w:hAnsi="Times New Roman"/>
          <w:sz w:val="14"/>
          <w:szCs w:val="14"/>
          <w:b w:val="1"/>
          <w:bCs w:val="1"/>
          <w:color w:val="auto"/>
        </w:rPr>
        <w:t xml:space="preserve">SUMMARY OF MATERIAL RISKS ASSOCIATED WITH OUR BUSINESS </w:t>
      </w:r>
      <w:r>
        <w:rPr>
          <w:rFonts w:ascii="Times New Roman" w:cs="Times New Roman" w:eastAsia="Times New Roman" w:hAnsi="Times New Roman"/>
          <w:sz w:val="14"/>
          <w:szCs w:val="14"/>
          <w:color w:val="auto"/>
        </w:rPr>
        <w:t>The principal risks and uncertainties affecting our business include the following:</w:t>
      </w:r>
    </w:p>
    <w:p>
      <w:pPr>
        <w:spacing w:after="0" w:line="1" w:lineRule="exact"/>
        <w:rPr>
          <w:sz w:val="20"/>
          <w:szCs w:val="20"/>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prospects of the property and casualty (“P&amp;C”) insurance industry and our company;</w:t>
      </w:r>
    </w:p>
    <w:p>
      <w:pPr>
        <w:spacing w:after="0" w:line="72"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developing market for subscription services and uncertainties attendant on emerging sales and delivery models, including the migration of our existing term license customers to cloud-based offerings on a subscription basis or failure to meet stipulated service levels with our subscription services;</w:t>
      </w:r>
    </w:p>
    <w:p>
      <w:pPr>
        <w:spacing w:after="0" w:line="2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trends in and timing of future sales, including the mix between license and subscription revenue and seasonality;</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environment and changes thereto;</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attributes of our software applications and delivery models;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our revenue mix resulting in potential declines in our subscription and support gross margin or our services gross margin;</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orders from a relatively small number of customers in the P&amp;C insurance industry for a substantial portion of our revenue and Annual Recurring Revenue (“ARR”);</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gross and operating margins and factors that affect such margins, including costs related to operating, securing, and enhancing our subscription services;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number of professional services engagements and the billing rates and utilization of our professional services employees and contractors;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further increase sales both in the United States and internationally;</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failure of any of our established services or products to satisfy customer demands or to maintain market acceptance;</w:t>
      </w:r>
    </w:p>
    <w:p>
      <w:pPr>
        <w:spacing w:after="0" w:line="83"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implementation cycles are lengthy and variable, depend upon factors outside our control, and could cause us to expend significant time and resources prior to generating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860" w:hanging="250"/>
        <w:spacing w:after="0" w:line="287" w:lineRule="auto"/>
        <w:tabs>
          <w:tab w:leader="none" w:pos="8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 customers have substantial negotiating leverage, which may require that we agree to terms and conditions that result in increased cost of revenue, decreased revenue, and lower average selling prices and gross margins;</w:t>
      </w:r>
    </w:p>
    <w:p>
      <w:pPr>
        <w:spacing w:after="0" w:line="1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customers renewing and expanding their license, support, and subscription contracts for our services and products;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inability to develop, introduce, and market new and enhanced versions of our services and products;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our research and development and cloud operations investment and efforts;</w:t>
      </w:r>
    </w:p>
    <w:p>
      <w:pPr>
        <w:spacing w:after="0" w:line="72" w:lineRule="exact"/>
        <w:rPr>
          <w:rFonts w:ascii="Times New Roman" w:cs="Times New Roman" w:eastAsia="Times New Roman" w:hAnsi="Times New Roman"/>
          <w:sz w:val="14"/>
          <w:szCs w:val="14"/>
          <w:color w:val="auto"/>
        </w:rPr>
      </w:pPr>
    </w:p>
    <w:p>
      <w:pPr>
        <w:jc w:val="both"/>
        <w:ind w:left="860" w:hanging="250"/>
        <w:spacing w:after="0" w:line="270" w:lineRule="auto"/>
        <w:tabs>
          <w:tab w:leader="none" w:pos="8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current and evolving local and foreign data privacy laws, including the General Data Protection Regulation in the European Union (“EU”) and in the United Kingdom (“U.K.”) and the California Consumer Privacy Act, the California Privacy Rights Act, and regulations in various other jurisdictions in the United States and abroad, and maintain the security of our customer’s data, our cloud-based services or products, and the related costs and liabilities that we may incur;</w:t>
      </w:r>
    </w:p>
    <w:p>
      <w:pPr>
        <w:spacing w:after="0" w:line="40"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retaining existing and hiring new personnel;</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be incurred, and benefits to be achieved, from our acquisitions;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provision for tax liabilities, judgments related to revenue recognition, and other critical accounting estimates;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any share repurchases by us;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or revised regulations, laws, including tax laws in jurisdictions in which we operate, and accounting standards;</w:t>
      </w:r>
    </w:p>
    <w:p>
      <w:pPr>
        <w:spacing w:after="0" w:line="72"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apply accounting guidance that requires management to make estimates and assumptions and to adapt to and interpret the requirements of new guidance, or to clearly explain to stockholders how new guidance affects reporting of our results of operations;</w:t>
      </w:r>
    </w:p>
    <w:p>
      <w:pPr>
        <w:spacing w:after="0" w:line="28"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market risks, including geographical and political events such as escalation in the ongoing conflict between Russia and Ukraine, supply chain disruptions and inflation, that may negatively impact our customers, partners, and vendors or our business operations;</w:t>
      </w:r>
    </w:p>
    <w:p>
      <w:pPr>
        <w:spacing w:after="0" w:line="2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privacy concerns could result in regulatory changes and impose additional costs and liabilities on us and limit our use of information;</w:t>
      </w:r>
    </w:p>
    <w:p>
      <w:pPr>
        <w:spacing w:after="0" w:line="72"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uncertainties related to the global COVID-19 pandemic and future mutations or related strains of the virus on the U.S. and global economies, our business, our employees, results of operations, financial condition, demand for our products, sales and implementation cycles, and the health of our customers’ and partners’ businesses;</w:t>
      </w:r>
    </w:p>
    <w:p>
      <w:pPr>
        <w:spacing w:after="0" w:line="2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security breaches of our cloud-based services or products or unauthorized access to our customers’ or employees’ data;</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may be volatile, which could result in securities class action litigation against us;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defend litigation brought against us; and</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satisfy future liquidity requirements.</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summary risk factors described above should be read together with the text of the Risk Factors included in Item 1A of Part I of this Annual Report on Form 10-K and the other information set forth in this Annual Report on Form 10-K, including our consolidated financial statements and related notes thereto, as well as in other documents that we file with the U.S. Securities and Exchange Commission (the “SEC”). Additional risks and uncertainties, beyond those summarized above or discussed elsewhere in this Annual Report on Form 10-K may apply to our business, activities, or operations as currently conducted or as we may conduct them in the future or in the markets in which we operate or may in the future operate.</w:t>
      </w:r>
    </w:p>
    <w:p>
      <w:pPr>
        <w:spacing w:after="0" w:line="14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w:t>
      </w:r>
    </w:p>
    <w:p>
      <w:pPr>
        <w:spacing w:after="0" w:line="1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Unless the context requires otherwise, we are referring to Guidewire Software, Inc. together with its subsidiaries when we use the terms “Guidewire,” the “Company,” “we,” “our,” 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and Purpose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better underwrite new and evolving risks. To support P&amp;C insurers globally, we have localized, and will continue to localize, our platform for use in a variety of international regulatory, language, and currency environments.</w:t>
      </w:r>
    </w:p>
    <w:p>
      <w:pPr>
        <w:spacing w:after="0" w:line="10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Guidewire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InsuranceNow is a complete, cloud-based application that offers policy, billing, and claims management functionality to insurers.</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InsuranceSuite for self-managed installations is comprised of three core applications (PolicyCenter, BillingCenter, and ClaimCenter) that can be licensed separately or together and can be deployed and updated by our customers and their implementation partners.</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10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sell our cloud-delivered offerings through subscription services and our self-managed products through term licenses. We generally price our services and products based on the amount of direct written premium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services, products, and platform. A majority of our services revenue is billed monthly on a time and materials basis.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began our principal business operations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P&amp;C insurance industry is large, fragmented, highly regulated, and complex. It is also highly competitive, with insurers competing primarily on product differentiation, pricing options, customer service, marketing and advertising, affiliate programs, and channel strategies.</w:t>
      </w:r>
    </w:p>
    <w:p>
      <w:pPr>
        <w:spacing w:after="0" w:line="8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P&amp;C insurers modernize their transactional core systems to manage key functional areas of P&amp;C insurance, including product definition, underwriting and policy administration, claims management, and billing. Product definition specifies the insurance coverage, pricing, and financial and legal terms of insurance policies. Underwriting and policy administration includes collecting information from potential policyholders, determining appropriate coverages and terms, pricing policies, issuing policies, and updating and maintaining policies over their lifetimes. Claims management includes loss intake, investigation and evaluation of incidents, settlement negotiation, vendor management, litigation management, and payment processing. Billing includes policyholder invoicing, payment collection, and agent commission calculation. We believe insurers that adopt modern core systems can enhance customer experience, operate more efficiently, and introduce innovative services and products more rapidly.</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believe the P&amp;C insurance industry is experiencing accelerating change in how insurers engage with, sell to, and manage relationships with consumers and businesses. Today, P&amp;C insurers are striving to respond to significant changes in their competitive marketplace and the character of the risks they underwrite. The most significant changes include:</w:t>
      </w:r>
    </w:p>
    <w:p>
      <w:pPr>
        <w:spacing w:after="0" w:line="82" w:lineRule="exact"/>
        <w:rPr>
          <w:sz w:val="20"/>
          <w:szCs w:val="20"/>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industry rapidly going through change that requires agility and efficiency from its core systems;</w:t>
      </w:r>
    </w:p>
    <w:p>
      <w:pPr>
        <w:spacing w:after="0" w:line="136"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catastrophes and natural disasters impacting the P&amp;C insurance industry that requires agility and efficiency from its core systems;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rise in customer expectations for digital, mobile, and omni-channel interaction rather than the traditional agent model;</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need for 100% digital engagement capabilities;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growth in demand for personalized services and products;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technology and market-driven changes in vehicular risk, including usage and driving habit based insurance;</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for coverage of emerging risks such as terrorism, cybersecurity, pandemic, and reputational risk;</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wealth of data and desire to harness data to improve and grow business;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the use of data and analytics to better market to and engage with customers, price policies, and manage claims;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opportunities to compete or partner with non-traditional players that offer disruptive technology-based value propositions;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industry leaders are facing increased competition from new entrants in the market, including insurtech companies; and</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and leveraging of new technologies, such as drones, artificial intelligence, the “Internet of Things,” chatbots, and telematics.</w:t>
      </w:r>
    </w:p>
    <w:p>
      <w:pPr>
        <w:spacing w:after="0" w:line="13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Many of these trends, such as digital engagement capabilities and data analytics, have increased in importance as a result of the COVID-19 pandemic. In response to these trends, changes, challenges, and opportunities, we believe that P&amp;C insurers need a core system that can increase agility and enhance digital engagement and analytics offerings.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While each insurer may have different goals and priorities when pursuing new technology investments, there are several major themes that we believe guide these investments:</w:t>
      </w:r>
    </w:p>
    <w:p>
      <w:pPr>
        <w:spacing w:after="0" w:line="83" w:lineRule="exact"/>
        <w:rPr>
          <w:sz w:val="20"/>
          <w:szCs w:val="20"/>
          <w:color w:val="auto"/>
        </w:rPr>
      </w:pPr>
    </w:p>
    <w:p>
      <w:pPr>
        <w:jc w:val="both"/>
        <w:ind w:left="860" w:hanging="250"/>
        <w:spacing w:after="0" w:line="263" w:lineRule="auto"/>
        <w:tabs>
          <w:tab w:leader="none" w:pos="8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Digital Engagement Models</w:t>
      </w:r>
      <w:r>
        <w:rPr>
          <w:rFonts w:ascii="Times New Roman" w:cs="Times New Roman" w:eastAsia="Times New Roman" w:hAnsi="Times New Roman"/>
          <w:sz w:val="14"/>
          <w:szCs w:val="14"/>
          <w:color w:val="auto"/>
        </w:rPr>
        <w:t>. We believe that insurers will need to provide a more intuitive, digital user experience to reduce the risk of customer dissatisfaction and loss. Investment in digital user experience will allow insurers to deepen their engagement with customers and transition from passive and transactional customer interactions to active and advisory relationships. This transition will require investments in software services and products that are designed to model user journeys and enable more frequent, informed, and dynamic interactions between insurers and their customers. We believe these efforts can improve financial performance for insurers through increased lead conversions and lower customer churn.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ind w:left="860" w:hanging="250"/>
        <w:spacing w:after="0" w:line="270" w:lineRule="auto"/>
        <w:tabs>
          <w:tab w:leader="none" w:pos="8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Cloud-Delivered Solutions</w:t>
      </w:r>
      <w:r>
        <w:rPr>
          <w:rFonts w:ascii="Times New Roman" w:cs="Times New Roman" w:eastAsia="Times New Roman" w:hAnsi="Times New Roman"/>
          <w:sz w:val="14"/>
          <w:szCs w:val="14"/>
          <w:color w:val="auto"/>
        </w:rPr>
        <w:t>. We believe that increased recognition of the compelling economic benefits of deploying software solutions on public infrastructure combined with increased confidence in the security and reliability of such platforms will cause more insurers to consider cloud-deployed solutions. Insurers benefit from an optimized division of labor and risk, allowing third parties to manage their infrastructure as they focus on competitively differentiating activities.</w:t>
      </w:r>
    </w:p>
    <w:p>
      <w:pPr>
        <w:spacing w:after="0" w:line="29" w:lineRule="exact"/>
        <w:rPr>
          <w:rFonts w:ascii="Times New Roman" w:cs="Times New Roman" w:eastAsia="Times New Roman" w:hAnsi="Times New Roman"/>
          <w:sz w:val="14"/>
          <w:szCs w:val="14"/>
          <w:color w:val="auto"/>
        </w:rPr>
      </w:pPr>
    </w:p>
    <w:p>
      <w:pPr>
        <w:jc w:val="both"/>
        <w:ind w:left="860" w:hanging="250"/>
        <w:spacing w:after="0" w:line="264" w:lineRule="auto"/>
        <w:tabs>
          <w:tab w:leader="none" w:pos="8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 Driven Decision-Making</w:t>
      </w:r>
      <w:r>
        <w:rPr>
          <w:rFonts w:ascii="Times New Roman" w:cs="Times New Roman" w:eastAsia="Times New Roman" w:hAnsi="Times New Roman"/>
          <w:sz w:val="14"/>
          <w:szCs w:val="14"/>
          <w:color w:val="auto"/>
        </w:rPr>
        <w:t>. Insurers are seeking to explore, visualize, and analyze proprietary and third-party data to optimize decision-making across the insurance lifecycle. We believe that such predictive analytical solutions are most effective when they provide predictive scores and other analytical insights to insurers’ employees as they perform their underwriting and claims management activities. Insurers may also apply data and machine learning to automate certain tasks whenever possible, thereby enabling efficiencies, such as straight-through processing, that lessen the burden on subject matter experts.</w:t>
      </w:r>
    </w:p>
    <w:p>
      <w:pPr>
        <w:spacing w:after="0" w:line="44" w:lineRule="exact"/>
        <w:rPr>
          <w:rFonts w:ascii="Times New Roman" w:cs="Times New Roman" w:eastAsia="Times New Roman" w:hAnsi="Times New Roman"/>
          <w:sz w:val="14"/>
          <w:szCs w:val="14"/>
          <w:color w:val="auto"/>
        </w:rPr>
      </w:pPr>
    </w:p>
    <w:p>
      <w:pPr>
        <w:jc w:val="both"/>
        <w:ind w:left="860" w:hanging="250"/>
        <w:spacing w:after="0" w:line="270" w:lineRule="auto"/>
        <w:tabs>
          <w:tab w:leader="none" w:pos="8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Innovation</w:t>
      </w:r>
      <w:r>
        <w:rPr>
          <w:rFonts w:ascii="Times New Roman" w:cs="Times New Roman" w:eastAsia="Times New Roman" w:hAnsi="Times New Roman"/>
          <w:sz w:val="14"/>
          <w:szCs w:val="14"/>
          <w:color w:val="auto"/>
        </w:rPr>
        <w:t>. Insurers are under pressure to innovate across their product lifecycle in order to grow their business and improve service quality. Examples of focus areas include creating services and products to target under-insured risks such as cyber, supply chain disruption, and reputational risk and partnering with insurtech providers to streamline operations and improve service to policyholders and agents.</w:t>
      </w:r>
    </w:p>
    <w:p>
      <w:pPr>
        <w:spacing w:after="0" w:line="40"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Legacy System Modernization</w:t>
      </w:r>
      <w:r>
        <w:rPr>
          <w:rFonts w:ascii="Times New Roman" w:cs="Times New Roman" w:eastAsia="Times New Roman" w:hAnsi="Times New Roman"/>
          <w:sz w:val="14"/>
          <w:szCs w:val="14"/>
          <w:color w:val="auto"/>
        </w:rPr>
        <w:t>. A significant portion of the market continues to rely on legacy systems. We believe new claims, policy management, and billing systems will continue to be adopted as insurers that rely on legacy systems seek to gain operating efficiencies, expand into new markets and lines of business, and introduce new digital and data offerings.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is designed to be the platform insurers trust in order to engage, innovate, and grow efficiently. Our platform combines core operations, digital engagement, analytics, and AI applications, so that insurers can increase revenue, reduce operational costs and losses, improve pricing, and engage with a customer base that increasingly demands mobile and automated forms of self-service and communication. We are investing in research and development to accelerate improvements in our cloud platform services, products, and marketplace to better serve our customers.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Core Operational Services and Products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offer the following core operational services and products: Guidewire InsuranceSuite Cloud, Guidewire InsuranceNow, and Guidewire InsuranceSuite for Self-Managed.</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InsuranceSuite Cloud</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InsuranceSuite Cloud is comprised of three primary applications (PolicyCenter Cloud, BillingCenter Cloud, and ClaimCenter Cloud) optimized for our GWCP infrastructure. We offer several complementary applications designed to work seamlessly with these primary applications. InsuranceSuite Cloud is hosted on Amazon Web Services (“AWS”) and managed by our internal cloud operations team.</w:t>
      </w:r>
    </w:p>
    <w:p>
      <w:pPr>
        <w:spacing w:after="0" w:line="93"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Guidewire PolicyCenter Cloud is our flexible underwriting and policy administration application that serves as a comprehensive system-of-record supporting the entire policy lifecycle, including product definition, underwriting, quoting, binding, issuance, endorsements, audits, cancellations, and renewals. Guidewire BillingCenter Cloud automates the billing lifecycle, enables the design of a wide variety of billing and payment plans, manages agent commissions, and integrates with external payment systems. Guidewire ClaimCenter Cloud is a complete end-to-end claims management solution that offers core claims functionality. These primary applications also include predictive analytics that drive smart decisions, digital engagement, and an ecosystem of partners and insurtechs.</w:t>
      </w:r>
    </w:p>
    <w:p>
      <w:pPr>
        <w:spacing w:after="0" w:line="270"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GWCP is a Guidewire-developed infrastructure layer built on top of AWS that provides specialized cloud services, including multi-tenant cloud-native services that support the core operational services and integration of digital experiences and analytics. The Guidewire Data Platform is a P&amp;C insurance-specific data repository, built on GWCP, which collects data from InsuranceSuite Cloud and InsuranceNow, as well as other internal and external sources, to provide analytical insights across the insurance lifecycle for our customers. The Guidewire Data Platform powers all analytical applications. Additionally, we provide tools for automation and self-service of routine implementation and deployment tasks to increase our customers’ agility while providing enterprise-grade performance, availability, privacy, and security. Given the specialized needs of the P&amp;C insurance industry, we have developed a scalable cloud architecture that combines these multi-tenant cloud services and tools with the ability to isolate each customer’s system of record and database instances. This approach provides our customers with the benefits of cloud-native infrastructure and services and the flexibility to provide differentiated services to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InsuranceNow</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InsuranceNow is a complete, cloud-based core system for P&amp;C insurers in the United States, offering policy, billing, and claims management functionality, plus pre-integrated document production, analytics, and other capabilities, that increases agility without adding complexity.</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InsuranceSuite for Self-Managed</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InsuranceSuite for Self-Managed is comprised of three primary applications (PolicyCenter, BillingCenter, and ClaimCenter) that can be licensed separately or together and can be deployed and updated by our customers and their implementation partners on their premises or in a third-party cloud infrastructure.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Guidewire InsuranceSuite: Complementary Applications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offer several complementary applications designed to work seamlessly with our core operational services and products, including:</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Rating Management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Guidewire Rating Management enables P&amp;C insurers to manage the pricing of their insurance services and products.</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Reinsurance Management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Guidewire Reinsurance Management enables P&amp;C insurers to use rules-based logic to execute their reinsurance strategy through their underwriting and claims processes.</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Client Data Management</w:t>
      </w:r>
    </w:p>
    <w:p>
      <w:pPr>
        <w:spacing w:after="0" w:line="13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Guidewire Client Data Management helps P&amp;C insurers capitalize on customer information more coherently, overcoming traditional siloed practices that impair efficiency and customer service.</w:t>
      </w: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Product Content Management</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Product Content Management provides software tools and standards-based, line-of-business templates to enable insurers to more rapidly introduce and modify services and products by reducing product configuration and maintenance efforts. Any such product introduction or modification must connect to and incorporate regulatory or industry-standard data and content, such as Insurance Services Office (“ISO”) or National Council on Compensation Insurance (“NCCI”) content.</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Underwriting Management</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Underwriting Management is a cloud-based, integrated business application designed for commercial and specialty line insurers to drive premium growth and profit from better underwriting. This feature-rich workstation delivers straight-through processing, exception-based underwriting, real-time collaboration, and knowledge management in one integrated solution. Guidewire Underwriting Management is typically sold alongside Guidewire PolicyCenter, although it functions with other policy administration systems as well.</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AppReader</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AppReader is a submission intake management solution that enables P&amp;C insurers to process Association for Cooperative Operations Research and Development (“ACORD”) forms faster and more accurately than with manual processes or traditional upload solutions. AppReader is available for both Guidewire Underwriting Management and Guidewire PolicyCenter.</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ClaimCenter Package for the London Market</w:t>
      </w:r>
    </w:p>
    <w:p>
      <w:pPr>
        <w:spacing w:after="0" w:line="138" w:lineRule="exact"/>
        <w:rPr>
          <w:sz w:val="20"/>
          <w:szCs w:val="20"/>
          <w:color w:val="auto"/>
        </w:rPr>
      </w:pPr>
    </w:p>
    <w:p>
      <w:pPr>
        <w:jc w:val="both"/>
        <w:ind w:firstLine="350"/>
        <w:spacing w:after="0" w:line="280" w:lineRule="auto"/>
        <w:rPr>
          <w:sz w:val="20"/>
          <w:szCs w:val="20"/>
          <w:color w:val="auto"/>
        </w:rPr>
      </w:pPr>
      <w:r>
        <w:rPr>
          <w:rFonts w:ascii="Times New Roman" w:cs="Times New Roman" w:eastAsia="Times New Roman" w:hAnsi="Times New Roman"/>
          <w:sz w:val="14"/>
          <w:szCs w:val="14"/>
          <w:color w:val="auto"/>
        </w:rPr>
        <w:t>Guidewire ClaimCenter Package for the London Market supports the claims workflow used by London Market insurers and brokers. Integration of London Market Electronic Claims File (“ECF”) Write-Back lets insurers perform tasks and interact with the central industry market Claims Loss and Advice Settlement system directly from Guidewire ClaimCenter through message queues.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Digital Engagement Applications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Digital Engagement Applications enable insurers to provide digital experiences to customers, agents, vendors, and field personnel through their device of choice. As consumers increasingly use self-service functions on the internet and on mobile devices, we believe that many of them prefer to interact with their insurance providers digitally and that they expect to have a consistent and efficient transactional experience through multiple channels, whether online, in-person or by phone. Our Digital Engagement Applications also benefit agents and brokers who are seeking to automate business processes with insurers to improve customer service and productivity. In order to provide a holistic experience, Digital Applications are unified with InsuranceSuite.</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for Salesforce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for Salesforce integrates Guidewire core systems with Salesforce for insurance carrier agents and service representatives. It provides customer information regarding their policies and claims.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Data, Analytics, and Artificial Intelligence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offer a variety of applications that allow insurers to uncover hidden opportunities and write more profitable business by enabling a seamless path from data to value.</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Predict</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Guidewire Predict is a P&amp;C-specific machine-learning platform that empowers insurers to make intelligent data-driven decisions throughout the insurance lifecycle. By building (or importing) predictive models built from multiple data sets, designing comprehensive solutions, and operationalizing the predictive insights, Predict allows insurers to rapidly turn any model into business value by delivering guidance to frontline decision makers. Predict for Claims helps customers to better manage claim indemnity and loss-adjustment expenses. Predict for Profitability improves pricing accuracy and customer satisfaction.</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HazardHub</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HazardHub allows insurers to understand, assess, price, and manage property risk quickly and intelligently. HazardHub provides a single source of geospatial risk data, and provides access to more than 950 risk variables, including perils from air, water, earth, and fire. HazardHub is a cloud-native solution delivered through an Application Programming Interface (“API”) that provides access to this information for any personal or commercial property located in the United States, and has the ability to evaluate an entire portfolio for property risk.</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Canvas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Canvas is a cloud-native application included with ClaimCenter Cloud. It features an interactive map that enables claims management and catastrophe response teams to geo-visualize claims to help improve customer satisfaction and reduce indemnity by proactively responding to storm events.</w:t>
      </w:r>
    </w:p>
    <w:p>
      <w:pPr>
        <w:spacing w:after="0" w:line="1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Compare</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Compare is a cloud-native application included with ClaimCenter Cloud that monitors key claims measures and gives feedback on how those compare against peer insurers in the Guidewire community, or within a single insurer across regions or over time. Compare allows claims organizations to increase their processing efficiency by monitoring key claims measures such as indemnity, expenses, cycle times, reserves, salvage, subrogation, percentage closed, catastrophe, and litigated.</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Explore</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Explore is a cloud-native application that gathers and curates InsuranceSuite data in near real-time to augment decision making inside and outside InsuranceSuite. Explore includes free-form search across the data set, along with visualizations and dashboards for common business metrics. It allows business users to examine operational claims data, underwriting management data, and operational policy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Cyence</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Guidewire Cyence is a cyber-risk economic modeling product that helps P&amp;C insurers accurately measure the financial impact of cyber risk on their customers. It does this by capturing data about cyber threats from more than 400 sources, including public data, open-source data, proprietary, and third-party data. Cyence then curates and analyzes the data through AI and machine-learning statistical models to extract meaningful signals. Based on these models, Cyence produces insights delivered through reports that will predict the likelihood and economic impact of cyber attacks on a target company or individual. This can be used for underwriting, pricing, and developing cyber insurance products.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Guidewire DataHub and InfoCenter</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Guidewire DataHub is an operational data store that unifies, standardizes, and stores data from the patchwork of insurer’s systems as well as from external sources. It is available for self-managed and InsuranceSuite Cloud customers.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Guidewire InfoCenter is a business intelligence warehouse for P&amp;C insurers that provides information in easy-to-use formats for business intelligence, analysis, and enhanced decision making.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Guidewire InfoCenter, insurers gain flexible operational insights as well as the ability to optimize their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Guidewire Marketplace</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Guidewire Marketplace is where insurers find trusted applications and content that complement the Guidewire platform from our PartnerConnect partners, as well as from Guidewire product and services teams. These applications and content help insurers to rapidly innovate and differentiate their businesses by allowing them to leverage capabilities provided by the Guidewire partner ecosystem to meet their business goals. The Guidewire Marketplace also empowers customers pursuing innovation initiatives by providing access to a curated collection of insurtech applications. As of July 31, 2022, the Guidewire Marketplace had over 170 partner-developed integrations that have been validated by us and awarded Ready for Guidewire branding and hundreds of Guidewire-developed resources available for download. We anticipate expanding the reach of the Guidewire Marketplace.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increased the scope of our platform and business through internal development and acquisitions. This growing scope has required greater investment in the development of application interfaces and shared services necessary to unify the operations and user experience across our applications. The shift to cloud-delivered solutions has also required significant focus in improving our ability to manage, secure, and operate our applications since our cloud-based deployments, unlike our self-managed implementations, shift many operational responsibilities to us.</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cloud infrastructure is designed to maximize the security, stability, scalability and efficiency of our applications. Our cloud infrastructure leverages AWS, provides services hosted in AWS regions worldwide, and is tailored to provide both the benefit of cloud subscription services delivered in a cloud-native multi-tenant model while still providing insurers with the ability to configure and extend their applications via single-tenant environments which are easily managed via Guidewire Cloud Console. All of our cloud services and products comply with standards set by ISO, AICPA, and PCI SSC.</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Finally, we continue to improve the scalability of our service, which performs millions of complex, business-critical transactions daily. The accuracy and availability of our services must be maintained not only during normal business operations, but also during extraordinary events such as catastrophes, which may result in extremely high transaction volume in a short period of time.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Services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provide implementation, cloud migration, and integration services to help our customers realize the benefits of our cloud-based services and software products. Our delivery services teams assist customers in building implementation or migration plans, integrating our software with their existing systems, and defining business rules and specific requirements unique to each customer. We also partner with leading SI consulting firms, certified on our software, to achieve scalable, cost-effective implementations for our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 Support</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provide support for our subscription customers as part of our subscription services and to our license customers for an annual fee based on a percentage of the license fees. Subscription services also include regular updates to Guidewire software to ensure that Guidewire Cloud customers can easily access our latest innovations. New capabilities are often toggled-off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customers can activate them at the right time for their businesses. This enables our customers to deliver improvements at a steady pace, optimized for their employees and customers.</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subscriptions include Guidewire Cloud Assurance Services, which provides for review of all configurations and integrations to ensure they follow published standards, best practices and required security methodologies. Furthermore, our internal cloud operations team monitors application performance and our customer success team works directly with customers to optimize adoption, user experience, and business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business requires attracting, developing, and retaining a motivated team of individuals who thrive in a culture based on integrity, rationality, and collegiality and that embraces diversity, inclusion, and belonging. Understanding and proactively anticipating the priorities and needs of our current and future employees is important to realizing our mission to be the platform P&amp;C insurers trust to engage, innovate, and grow efficiently.</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July 31, 2022, we had 3,376 employees, including 1,668 in global product development and operations (comprised of research and development, cloud operations, and technical support), 755 in professional services, 475 in sales and marketing, and 478 in general and administrative roles. As of July 31, 2022, we had 1,775 employees in the United States and 1,601 employees internationally.</w:t>
      </w:r>
    </w:p>
    <w:p>
      <w:pPr>
        <w:spacing w:after="0" w:line="1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Attracting, Developing, and Retaining Employees</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recruiting, development, and retention objectives focus on attracting skilled and engaged employees who contribute the talent and diverse perspectives critical to our innovative, forward-looking, and inclusive workforce. Our recruiting process actively sources diverse talent and is designed to reduce bias, supporting our ability to hire candidates with professional qualifications, personal potential, and differing perspectives. Our flexible work policies expand our ability to hire and retain talent in geographies where we do not have physical offices. Fostering career progression by encouraging regular professional education empowers our employees to pursue their professional goals, which is critical to developing and retaining our employees. We invest in broad-based development for all of our employees in various ways such as skills-building programs, on-demand learning options, mentoring programs, and leadership development courses. In an effort to create more development opportunities for all employees, we are currently expanding our intern, mentoring, and leadership development programs. We gauge progress and efficacy, identify opportunities for change, and pursue solutions through tracking and analyzing data from various sources such as annual talent reviews and our progress toward hiring/promotion goals in our development, diversity and inclusion plans.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Diversity, Inclusion, and Belonging</w:t>
      </w:r>
    </w:p>
    <w:p>
      <w:pPr>
        <w:spacing w:after="0" w:line="138"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We believe that understanding and respecting another’s perspective, experience, background, and beliefs provides an opportunity to expand horizons, challenge complacency, and foster empathy. Diversity of perspective, experience, background, and beliefs fuel our innovative, collaborative, and engaged workplace. We aim for the highest standards of fairness and equal opportunity in recruitment, hiring, promotions, job assignments, and compensation. Initiatives to create greater diversity and belonging among our employees include inclusive recruiting and outreach programs for diverse candidates, employee resource groups (“ERGs”), and management-led listening circles. Our ERGs are employee-led and comprised of volunteers who represent common interests, experiences, backgrounds, or demographics. As of the end of fiscal year 2022, we had seven ERGs including Womens’ Leadership, African Ancestry, LGBTQ+, Asian and Pacific Islander, and LatinX groups.</w:t>
      </w:r>
    </w:p>
    <w:p>
      <w:pPr>
        <w:spacing w:after="0" w:line="274" w:lineRule="exact"/>
        <w:rPr>
          <w:sz w:val="20"/>
          <w:szCs w:val="20"/>
          <w:color w:val="auto"/>
        </w:rPr>
      </w:pPr>
    </w:p>
    <w:p>
      <w:pPr>
        <w:jc w:val="both"/>
        <w:ind w:firstLine="350"/>
        <w:spacing w:after="0" w:line="267" w:lineRule="auto"/>
        <w:rPr>
          <w:sz w:val="20"/>
          <w:szCs w:val="20"/>
          <w:color w:val="auto"/>
        </w:rPr>
      </w:pPr>
      <w:r>
        <w:rPr>
          <w:rFonts w:ascii="Times New Roman" w:cs="Times New Roman" w:eastAsia="Times New Roman" w:hAnsi="Times New Roman"/>
          <w:sz w:val="14"/>
          <w:szCs w:val="14"/>
          <w:color w:val="auto"/>
        </w:rPr>
        <w:t>Guidewire Gives Back (“GGB”) is a program focused on investing in local communities where we operate by encouraging employee volunteerism, philanthropy, and social impact investment. The GGB program is centered around employee engagement and community impact through volunteer hours from the Guidewire community and financial donations, both of which are geared toward making a measurable difference. The GGB strategy, programs, and collaborative partnerships reflect employees’ passions and embody Guidewire’s corporate mission as well as our customers' purpose.</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Positive Corporate Culture</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employees are critical to our success, and we believe creating a positive, inclusive culture is essential to attracting and retaining engaged employees. Our values of integrity, rationality, and collegiality are the foundation of how we work with one another. We incorporate a wide variety of communication and training activities to encourage collaboration amongst our colleagues around the world. We measure the program’s efficacy and identify opportunities for improvements through an engagement survey distributed annually, with the last survey completed in May 2022, and periodic pulse surveys to elicit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Health and Wellness</w:t>
      </w:r>
    </w:p>
    <w:p>
      <w:pPr>
        <w:spacing w:after="0" w:line="138"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We believe a healthy, engaged, and high-performing workforce is part of our competitive advantage. We want all of our employees to thrive, and we regularly re-evaluate how to best support our employees’ wellness, health, and safety through benefits and resources. Our current benefit and wellness programs drive engagement that positively impacts our culture, job satisfaction, recruiting, and retention programs. In response to the COVID-19 pandemic, we expanded our physical, mental, and family health programs and informational outreach through professional development opportunities and personal empowerment, safe and healthy workspaces, wellness initiatives (including physical, emotional, and mental health), fair compensation, benefits, and recognition. Additionally, we have announced our intention to transition to a hybrid work environment in which a significant portion of our workforce will work either in-person on a part-time basis or remotely on a permanent basis.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i w:val="1"/>
          <w:iCs w:val="1"/>
          <w:color w:val="auto"/>
        </w:rPr>
        <w:t>Labor Relations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employees in the United States are not represented by a labor union; however, in certain foreign locations, there are workers’ councils that represent our employees. We have not experienced any work stoppages, and we consider our relations with our employees to be good. We recognize the critical role that our supervisors and managers play in fostering a productive, inclusive and respectful work environment, and we encourage employees to work directly with their supervisors, where possible, to efficiently and effectively resolve workplace concerns. We also respect our employees’ rights to voluntarily establish and join unions and similar associations without unlawful interference. We strive to work collaboratively with the councils and associations that represent our workers.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market and sell our services and products to a wide variety of global P&amp;C insurers ranging from some of the largest global insurers to national and regional companies. We believe strong customer relationships are a key driver of our success given the long-term nature of our customer engagements and importance of customer references for new sales. We focus on developing and maintaining our customer relationships through customer service and account management. Customers are defined as entities that have placed orders for our services or products. In some instances, a parent corporation can have multiple entities, or insurance brands, that place orders for our services or products. As of July 31, 2022, we had approximately 520 customers representing approximately 520 insurance brands, also referred to as insurers, using one or more of our services or products in 38 countries. The acquisition of HazardHub in August 2021 added approximately 160 customers, many of which are not insurers.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Relationships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extensive relationships with SI, consulting, technology, and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work closely with our network of third-party SI partners to facilitate new sales and implementations of both our subscription services and self-managed products. Our partnerships with leading SI partners allow us to increase efficiency and scale while reducing customer implementation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implementations.</w:t>
      </w:r>
    </w:p>
    <w:p>
      <w:pPr>
        <w:spacing w:after="0" w:line="10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part of our PartnerConnect alliance program, we have a community of solution partners developing integrations that enable software and insurance business solutions to interoperate with our services and products, many of which are in the Guidewire Marketplace. These integrations help customers reduce implementation risk and effort, and lower the total cost of implementation and operation.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Consistent with our industry focus and the mission-critical needs our services and products address, our sales and marketing efforts are tailored to communicate effectively to senior executives within the P&amp;C insurance industry. Our sales, marketing, and executive teams work together to cultivate long-term relationships with current and prospective customers in each of the geographies in which we are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direct sales team serves as both our exclusive sales channel and our account management function and is organized by geographic region across the Americas, EMEA, and APAC. We augment our sales professionals with a pre-sales team possessing insurance domain and technical expertise, who engage customers to understand their specific business needs and then represent our services and products through demonstrations tailored to address those needs.</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marketing team supports sales with competitive analysis and sales tools, while investing to strengthen our brand name and reputation. We participate at industry conferences, are published frequently in the industry press, and have active relationships with all of the major industry analysts. We also host Connections, our annual user conference where customers both participate in and deliver in-person and virtual presentations on a wide range of Guidewire and insurance technology topics. We invite potential customers and partners to our user conference, as we believe customer references are a key component of driving new sales. Our strong relationships with leading system integrators enhance our direct sales through co-marketing efforts and by providing additional market validation of the distinctiveness and quality of our offerings.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research and development efforts focus on enhancing our platform, services, and products to meet the complex requirements of P&amp;C insurers with a focus on capabilities, operational efficiency, data analytics, security, and privacy in the cloud. These efforts are intended to help our customers improve their operations; drive greater digital engagement with their customers, agents, and brokers; and gather, store and analyze data to improve business decisions. We also invest significantly in developing our services and products and necessary integrations to meet the market requirements, including regulations, language, currency, and local terminology, of each country or state in which our customers operate. This market-segment specific functionality must be updated regularly in order to stay current with regulatory changes in each market. We rely on a multi-national engineering team, which has grown organically and through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software market that caters to the P&amp;C insurance industry is highly competitive and fragmented. Increased spending by insurers on software solutions and the emergence of new platforms that have broadened from core system modernization to new digital engagement and data and analytics solutions have generated significant interest among investors and entrepreneurs. Increased capital allows market participants, or potential market participants such as insurtech companies, to adopt more aggressive go-to-market strategies, improve existing services or products, introduce new services or products, develop innovative solutions that disrupt the market, and consolidate with other vendors. This market is also subject to changing technology preferences, shifting customer needs, and the adoption of cloud deployed solutions. These factors create an environment of increasing competition. Our current and future competitors vary in size and in the breadth and scope of the services or products they offer. As we expand our product portfolio, we may begin to compete with software and service providers we have not traditionally competed against. Our current competitors include, but are not limited to, customers’ internally developed proprietary solutions; P&amp;C insurance software vendors such as Duck Creek, EIS Group, Insurity, Majesco, Prima Solutions, RGI, Origami Risk, and Sapiens; and horizontal software vendors such as SAP and Salesforce.</w:t>
      </w:r>
    </w:p>
    <w:p>
      <w:pPr>
        <w:spacing w:after="0" w:line="10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Competitive factors in our industry depend on the product being offered and the size, geographic market, and line of business of potential customers. The principal competitive factors include product functionality, performance, customer references, total cost of ownership, solution completeness, implementation track record, security and in-depth knowledge of the P&amp;C insurance industry. We typically compete favorably on the basis of these factors in most geographies.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software industry is characterized by the existence of a large number of patents and frequent claims and related litigation regarding patent and other intellectual property rights. Our success and ability to compete depend in part upon our ability to protect our proprietary technology, to establish and adequately protect our intellectual property rights, and to protect against third-party claims and litigation related to intellectual property. To accomplish these objectives, we rely on a combination of patent, trademark, copyright, and trade secret laws in the United States and other jurisdictions, as well as license agreements and other contractual protections. We own or have pending patents and patent applications, which generally apply to our software. Our owned patents have expiration dates starting in 2025. We also rely on several registered and unregistered trademarks, as well as pending applications for such registrations, in order to protect our brand both in the United States and internationally.</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investments in services and partners are designed to ensure customer success by committing additional resources to both cloud-based and self-managed implementation projects. Our investments in cloud operations are focused on managing the infrastructure for our cloud-based customers in a secure, efficient, and cost-effective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Segment and Geographic Revenue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Information about geographic revenue is set forth in Note 2 “Revenue” and information about segment reporting is set forth in Note 13 “Segment Information” to our consolidated financial statements included 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have experienced seasonal variations in our license revenue and, to a lesser extent, in our subscription revenue as a result of increased customer orders in our fourth fiscal quarter. We generally see significantly increased orders in our fourth fiscal quarter, which is the quarter ending July 31, due to efforts by our sales team to achieve annual incentives. Because we recognize revenue upfront for new term licenses and multi-year renewals compared to over time for subscription services, changes in the mix between term license and subscription services may impact our quarterly results. Additionally, any quarter in which a significant multi-year term license or multi-year term license renewal or non-renewal occurs could be impacted. For example, in the first quarter of fiscal year 2021, we experienced license revenue growth due to a five-year term license renewal under which revenue was recognized upfront, which overshadowed the comparison with our second fiscal quarter of 2021 and created a challenging comparable period for the first quarter of fiscal year 2022. Additionally, as subscriptions increase as a percentage of total sales, the revenue we can recognize in the initial fiscal quarter and fiscal year of an order is reduced, deferred revenue increases,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services revenue is also subject to seasonal fluctuations, though to a lesser degree than our license revenue and subscription revenue. Our services revenue is impacted by the number of billable days in a given fiscal quarter. The fiscal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The following filings are available to view and download free of charge on our investor relations website as soon as reasonably practicable after we file them with the SEC: Annual Report on Form 10-K, Quarterly Reports on Form 10-Q, Current Reports on Form 8-K, and our Proxy Statement for our annual meeting of stockholders. Our website is located at </w:t>
      </w:r>
      <w:r>
        <w:rPr>
          <w:rFonts w:ascii="Times New Roman" w:cs="Times New Roman" w:eastAsia="Times New Roman" w:hAnsi="Times New Roman"/>
          <w:sz w:val="14"/>
          <w:szCs w:val="14"/>
          <w:u w:val="single" w:color="auto"/>
          <w:color w:val="auto"/>
        </w:rPr>
        <w:t>www.guidewire.com</w:t>
      </w:r>
      <w:r>
        <w:rPr>
          <w:rFonts w:ascii="Times New Roman" w:cs="Times New Roman" w:eastAsia="Times New Roman" w:hAnsi="Times New Roman"/>
          <w:sz w:val="14"/>
          <w:szCs w:val="14"/>
          <w:color w:val="auto"/>
        </w:rPr>
        <w:t xml:space="preserve">, and our investor relations website is located at </w:t>
      </w:r>
      <w:r>
        <w:rPr>
          <w:rFonts w:ascii="Times New Roman" w:cs="Times New Roman" w:eastAsia="Times New Roman" w:hAnsi="Times New Roman"/>
          <w:sz w:val="14"/>
          <w:szCs w:val="14"/>
          <w:u w:val="single" w:color="auto"/>
          <w:color w:val="auto"/>
        </w:rPr>
        <w:t>ir.guidewire.com</w:t>
      </w:r>
      <w:r>
        <w:rPr>
          <w:rFonts w:ascii="Times New Roman" w:cs="Times New Roman" w:eastAsia="Times New Roman" w:hAnsi="Times New Roman"/>
          <w:sz w:val="14"/>
          <w:szCs w:val="14"/>
          <w:color w:val="auto"/>
        </w:rPr>
        <w:t xml:space="preserve">. We also provide a link to the section of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that has all of our public filings, including periodic reports, proxy statements, and other information.</w:t>
      </w:r>
    </w:p>
    <w:p>
      <w:pPr>
        <w:spacing w:after="0" w:line="98"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We provide access to a recording of our earnings calls and certain events we participate in or host with members of the investment community on our investor relations website. Additionally, we also provide notifications on our investor relations website of news or announcements regarding our financial performance, including SEC filings, investor events, press releases, and earnings releases. Investors and others can receive notifications of new information posted on our investor relations website in real time by signing up for email alerts and RSS feeds. Corporate governance information, including our governance guidelines and code of business conduct and ethics, is also available on our investor relations website under the heading “Corporate Governance.” Corporate sustainability information, including our approach and progress in respect of environmentally and socially responsible business practices, is available on our website and is located at www.guidewire.com/corporate-sustainability. The contents of our websites, including any information contained in reports or other resources found on such websites, are not intended to be incorporated by reference into this Annual Report on Form 10-K or in any other report or document we file with the SEC. Any references to our websites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729615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0000FF"/>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jc w:val="both"/>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A description of the risks and uncertainties associated with our business is set forth below. You should carefully consider such risks and uncertainties, together with the other information contained in this Annual Report on Form 10-K,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3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significant quarterly and annual fluctuations in our results of operations due to a number of factors.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Factors that may affect our results of operations include:</w:t>
      </w:r>
    </w:p>
    <w:p>
      <w:pPr>
        <w:spacing w:after="0" w:line="83" w:lineRule="exact"/>
        <w:rPr>
          <w:sz w:val="20"/>
          <w:szCs w:val="20"/>
          <w:color w:val="auto"/>
        </w:rPr>
      </w:pPr>
    </w:p>
    <w:p>
      <w:pPr>
        <w:ind w:left="860" w:hanging="250"/>
        <w:spacing w:after="0" w:line="287" w:lineRule="auto"/>
        <w:tabs>
          <w:tab w:leader="none" w:pos="8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economic downturns and related market volatility caused by economic volatility, inflation, or other national and worldwide events on our business and the businesses of our customers, partners, and vendors;</w:t>
      </w:r>
    </w:p>
    <w:p>
      <w:pPr>
        <w:spacing w:after="0" w:line="1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domestic and international customers and renew existing customers;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buying patterns of our potential customers and our ability to sell additional software and services to existing customers;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proportion and timing of subscription sales as opposed to term or perpetual software licenses, and the variations in revenue recognition between these contract types;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contract durations of term software licenses and renewals;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costs related to cloud operations, product development, and services;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achieve market adoption of cloud-based services, including the impact of our customers transitioning from term software licenses to subscription services;</w:t>
      </w:r>
    </w:p>
    <w:p>
      <w:pPr>
        <w:spacing w:after="0" w:line="83"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erosion in services margins or significant fluctuations in services revenue caused by changing customer demand, negotiated professional services billing rates, investments in customer implementation and migration projects, or fixed fee contracts;</w:t>
      </w:r>
    </w:p>
    <w:p>
      <w:pPr>
        <w:spacing w:after="0" w:line="28"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18"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2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and privacy concerns related to employee data, customer data, and systems that are accessed or otherwise used by our hybrid workforce and customers;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accounting rules and our related accounting policies, interpretations, and controls;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expected benefits from our acquisitions and other strategic business transactions;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our customers’ budgets for information technology purchases and delays in their purchasing decisions;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retention, the ability to hire appropriate personnel, and the timing of hiring personnel and employee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860" w:hanging="250"/>
        <w:spacing w:after="0" w:line="287" w:lineRule="auto"/>
        <w:tabs>
          <w:tab w:leader="none" w:pos="8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recession or any other adverse global economic condition on our business, including pandemics, geographic and political conflicts, trade tariffs, trade agreements, and other uncertainties that may cause a delay in entering into or a failure to enter into significant customer agreements or the fulfillment of professional service arrangements;</w:t>
      </w:r>
    </w:p>
    <w:p>
      <w:pPr>
        <w:spacing w:after="0" w:line="1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litigation judgments, dispute-related settlement payments, or litigation-related costs;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 and</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inflation or deflation in the economies in which we operate and its impact on our revenues given the multi-year term of most customer agreements.</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0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8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Additionally, ARR, which reflects the annualized recurring value of active customer contracts at the end of a reporting period, will be impacted by the seasonality of new sales orders, even if the revenue is recognized ratably.</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quarterly growth in revenue or ARR also may not coincide with new orders or cash flows in a given quarter, which could mask the impact of seasonal variations. This mismatch is primarily due to the following reasons:</w:t>
      </w:r>
    </w:p>
    <w:p>
      <w:pPr>
        <w:spacing w:after="0" w:line="29" w:lineRule="exact"/>
        <w:rPr>
          <w:sz w:val="20"/>
          <w:szCs w:val="20"/>
          <w:color w:val="auto"/>
        </w:rPr>
      </w:pPr>
    </w:p>
    <w:p>
      <w:pPr>
        <w:ind w:left="860" w:hanging="250"/>
        <w:spacing w:after="0"/>
        <w:tabs>
          <w:tab w:leader="none" w:pos="8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our subscription arrangements are recognized ratably and only a portion, if any, of the revenue from an order is recognized in the same fiscal period of the order;</w:t>
      </w:r>
    </w:p>
    <w:p>
      <w:pPr>
        <w:spacing w:after="0" w:line="71" w:lineRule="exact"/>
        <w:rPr>
          <w:rFonts w:ascii="Arial" w:cs="Arial" w:eastAsia="Arial" w:hAnsi="Arial"/>
          <w:sz w:val="14"/>
          <w:szCs w:val="14"/>
          <w:color w:val="auto"/>
        </w:rPr>
      </w:pPr>
    </w:p>
    <w:p>
      <w:pPr>
        <w:ind w:left="860" w:hanging="250"/>
        <w:spacing w:after="0"/>
        <w:tabs>
          <w:tab w:leader="none" w:pos="8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subscription arrangements generally have ramped invoicing schedules over the initial term, which affects ARR, but revenue is recognized ratably over the initial term;</w:t>
      </w:r>
    </w:p>
    <w:p>
      <w:pPr>
        <w:spacing w:after="0" w:line="82" w:lineRule="exact"/>
        <w:rPr>
          <w:rFonts w:ascii="Arial" w:cs="Arial" w:eastAsia="Arial" w:hAnsi="Arial"/>
          <w:sz w:val="14"/>
          <w:szCs w:val="14"/>
          <w:color w:val="auto"/>
        </w:rPr>
      </w:pPr>
    </w:p>
    <w:p>
      <w:pPr>
        <w:ind w:left="860" w:hanging="250"/>
        <w:spacing w:after="0"/>
        <w:tabs>
          <w:tab w:leader="none" w:pos="860"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our term license agreements and multi-year term license renewals generally have annual billing arrangements even though revenue is recognized upfront for the entire committed term;</w:t>
      </w:r>
    </w:p>
    <w:p>
      <w:pPr>
        <w:spacing w:after="0" w:line="82" w:lineRule="exact"/>
        <w:rPr>
          <w:rFonts w:ascii="Arial" w:cs="Arial" w:eastAsia="Arial" w:hAnsi="Arial"/>
          <w:sz w:val="14"/>
          <w:szCs w:val="14"/>
          <w:color w:val="auto"/>
        </w:rPr>
      </w:pPr>
    </w:p>
    <w:p>
      <w:pPr>
        <w:ind w:left="860" w:hanging="250"/>
        <w:spacing w:after="0" w:line="286" w:lineRule="auto"/>
        <w:tabs>
          <w:tab w:leader="none" w:pos="8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18" w:lineRule="exact"/>
        <w:rPr>
          <w:rFonts w:ascii="Arial" w:cs="Arial" w:eastAsia="Arial" w:hAnsi="Arial"/>
          <w:sz w:val="14"/>
          <w:szCs w:val="14"/>
          <w:color w:val="auto"/>
        </w:rPr>
      </w:pPr>
    </w:p>
    <w:p>
      <w:pPr>
        <w:ind w:left="860" w:hanging="250"/>
        <w:spacing w:after="0" w:line="286" w:lineRule="auto"/>
        <w:tabs>
          <w:tab w:leader="none" w:pos="856" w:val="left"/>
        </w:tabs>
        <w:numPr>
          <w:ilvl w:val="0"/>
          <w:numId w:val="11"/>
        </w:numPr>
        <w:rPr>
          <w:rFonts w:ascii="Arial" w:cs="Arial" w:eastAsia="Arial" w:hAnsi="Arial"/>
          <w:sz w:val="14"/>
          <w:szCs w:val="14"/>
          <w:color w:val="auto"/>
        </w:rPr>
      </w:pPr>
      <w:r>
        <w:rPr>
          <w:rFonts w:ascii="Times New Roman" w:cs="Times New Roman" w:eastAsia="Times New Roman" w:hAnsi="Times New Roman"/>
          <w:sz w:val="14"/>
          <w:szCs w:val="14"/>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860" w:hanging="250"/>
        <w:spacing w:after="0" w:line="286" w:lineRule="auto"/>
        <w:tabs>
          <w:tab w:leader="none" w:pos="856"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revenue recognition may not occur in the period when the order is placed due to certain revenue recognition criteria not being met, such as delivery of the software or providing access to the subscription services.</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five-year renewal of a single license agreement, which resulted in the first quarter of fiscal year 2021 lacking comparability to the prior year and creating a challenging comparable for the first quarter of fiscal year 2022.</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 address demand trends in the P&amp;C insurance industry, we now offer customers the use of our software products through a cloud-based offering sold on a subscription basis in addition to our</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contractually-obligated subscription or service fees.</w:t>
      </w:r>
    </w:p>
    <w:p>
      <w:pPr>
        <w:spacing w:after="0" w:line="27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101"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in the early stages of re-architecting our existing services and products and developing new services and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8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69"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from year to year. In fiscal year 2020, our ten largest customers accounted for 27% of our revenue, in fiscal year 2021 they accounted for 28%, and in fiscal year 2022 they accounted for 23%. Additionally, our ten largest customers based on ARR accounted for 26% of total ARR at July 31, 2022.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services and products to one or more of these anticipated customers in any particular period or fail to identify additional potential customers or such customers purchase fewer of our services or products,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1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80"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derive a significant majority of our revenue and cash flows from our established product offerings, including Guidewire InsuranceSuite Cloud, Guidewire InsuranceNow, Guidewire InsuranceSuite for self-managed installations, and our digital and data services and products. We expect to continue to derive a substantial portion of our revenue from these sources. As such, continued market acceptance of these services and products is critical to our growth and success. Demand for our services and products is affected by a number of factors, some of which are beyond our control, including the successful implementation of our services and products, the timing of development and release of product upgrades and new products by us and our competitors, the cost and effort to migrate from self-managed products to subscription services, the ease of integrating our software to third-party software and services, technological advances that reduce the appeal of our services and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services and products, our business, results of operations, financial condition and growth prospects may be adversely affected.</w:t>
      </w:r>
    </w:p>
    <w:p>
      <w:pPr>
        <w:spacing w:after="0" w:line="1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Recent global events have adversely affected, and may continue to adversely affect, our business, results of operations, and financial condition.</w:t>
      </w:r>
    </w:p>
    <w:p>
      <w:pPr>
        <w:spacing w:after="0" w:line="13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Recent global events have adversely affected and are continuing to adversely affect workforces, organizations, economies, and financial markets globally, leading to economic downturns, inflation, and increased market volatility. The continuing COVID-19 pandemic, the ongoing conflict between Russia and Ukraine, inflation higher than we have seen in decades, and supply chain issues have added to global economic and market volatility. Our business and financial results during fiscal year 2022, including our ARR growth rates, services revenue, and margins, were adversely impacted due to the disruptions resulting from these events. The pandemic, as well as measures undertaken to contain the spread of COVID-19 variants, have affected and could further affect our ability to travel to customers and prospects, resulting in delays in services delivery, delays in implementations, and interruptions or modifications in our sales and marketing activities, including Connections, our annual user conference, which has adversely affected, and may continue to adversely affect, our business, results of operations, and financial condition.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421005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delays. In the third quarter of our fiscal year 2022, the ongoing conflict between Russia and Ukraine resulted in our ceasing operations in Russia, which resulted in our recording $3.0 million of bad debt expense and removing $3.1 million of ARR due to our cancellation of contracts with customers in Russia.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are in the process of transitioning to a hybrid in-person and remote workforce, which will subject us to certain operational challenges and risks and potential harm to our business.</w:t>
      </w:r>
    </w:p>
    <w:p>
      <w:pPr>
        <w:spacing w:after="0" w:line="138"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In response to the COVID-19 pandemic, our workforce shifted from in-person to remote work. We have announced our intention to transition to a hybrid work environment in which a significant portion of our workforce will work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in our market, which could negatively impact our business, results of operations, and financial condition and cause our market share to decline.</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services and products. We also compete against technology consulting firms that either helped create such legacy systems or may own, in full or in part, subsidiaries that develop software and systems for the P&amp;C insurance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8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0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103"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0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80"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The typical sales cycle for our services and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services and products, including the technical capabilities of our services and products and the potential cost savings achievable by organizations deploying our services and products. Customers typically undertake a significant evaluation process, which frequently involves not only our services and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service and product offering at the request of a customer or group of customers and are unable to recognize revenue until the specific functions have been added to our services and products. Providing this additional functionality may be time consuming and may involve factors that are outside of our control. Customers may also insist that we commit to certain time frames in which systems built around our services and products will be operational or that once implemented our services and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10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implementation and testing of our services and products by our customers typically lasts six to 24 months or longer and unexpected implementation delays and difficulties can occur. Implementing our services and products typically involves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integration with our customers’ and third parties’ systems, as well as adding customer and third-party data to our platform. This process can be complex, time consuming, and expensive for our customers and can result in delays in the implementation and deployment of our services and products. Failing to meet the expectations of our customers during the implementation of our services and products could result in a loss of customers and negative publicity about us and our services and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sales or upon renewals of existing licenses and services, potential reversals of previously recognized revenue, renegotiating existing customer’s contractual terms, and a customer’s refusal to pay their contractually-obligated license,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06"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Furthermore, our sales and implementation cycles could be interrupted or affected by other factors outside of our control. For example, the COVID-19 pandemic caused sales and implementation cycles to lengthen, along with other impacts on our business.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continue to affect services delivery, delay implementations, and interrupt sales activity. We cannot predict the duration or the extent of adverse impacts from the COVID-19 pandemic and other global events on our business, results of operations, and financial condition.</w:t>
      </w:r>
    </w:p>
    <w:p>
      <w:pPr>
        <w:spacing w:after="0" w:line="2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Failure to manage our expanding operations effectively could harm our business.</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have experienced consistent growth and expect to continue to expand our operations, including the number of employees and the locations and scope of our international operations. Additionally, we have announced our intention to transition to a hybrid work environment in which a large portion of our workforce will work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or enhanced services and products or investments in cloud operations. If we increase the size of our organization without experiencing an increase in sales of our services and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 mix, as well as declines in our subscription and support gross margin or our services gross margin, could adversely affect our overall gross margin and profitability.</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subscription and support revenue was 42%, 34%, and 27% of total revenue for fiscal years 2022, 2021, and 2020, respectively. Our subscription and support revenue produces lower gross margins than our license revenue. The gross margin of our subscription and support revenue was 38%, 35%, and 42% for fiscal years 2022, 2021, and 2020, respectively, while the gross margin for license revenue was 97%, 97%, and 97% for fiscal years 2022, 2021, and 2020,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further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inflation, or other global events and disasters.</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Further, our services revenue was 26%, 25%, and 28% of total revenue for fiscal years 2022, 2021, and 2020, respectively. Our services revenue produces lower gross margin than either our license revenue or our subscription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revenue. The gross margin of our services revenue was negative for fiscal years 2022, 2021, and 2020.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 the implementation of new services and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10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8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Some of our customers include the world’s largest P&amp;C insurers. These customers have significant bargaining power when negotiating new licenses or subscriptions or renewals of existing agreements, and have the ability to buy similar services and products from other vendors or develop such systems internally. These customers have and may continue to seek advantageous pricing and other commercial and performance terms that may require us to develop additional features in the services and products we sell to them or add complexity to our customer agreements. We have been required to, and may continue to be required to, reduce the average selling price of our services and products in response to these pressures. If we are unable to avoid reducing our average selling prices, our results of operations could be harmed.</w:t>
      </w:r>
    </w:p>
    <w:p>
      <w:pPr>
        <w:spacing w:after="0" w:line="99"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customers renewing and expanding their license, support, and subscription contracts for our services and products. A decline in our customer renewals and expansions could harm our future results of operations.</w:t>
      </w:r>
    </w:p>
    <w:p>
      <w:pPr>
        <w:spacing w:after="0" w:line="8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services and products, the prices of our services and products, the prices of services and products offered by our competitors, reduction in our customers’ business including their DWP, reductions in our customers’ spending levels due to the macroeconomic environment or other factors, or the sale of their operations to a buyer that is not a current customer.</w:t>
      </w:r>
    </w:p>
    <w:p>
      <w:pPr>
        <w:spacing w:after="0" w:line="10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develop, introduce, and market new and enhanced versions of our services and products, we may be put at a competitive disadvantage.</w:t>
      </w:r>
    </w:p>
    <w:p>
      <w:pPr>
        <w:spacing w:after="0" w:line="138" w:lineRule="exact"/>
        <w:rPr>
          <w:sz w:val="20"/>
          <w:szCs w:val="20"/>
          <w:color w:val="auto"/>
        </w:rPr>
      </w:pPr>
    </w:p>
    <w:p>
      <w:pPr>
        <w:jc w:val="both"/>
        <w:ind w:firstLine="350"/>
        <w:spacing w:after="0" w:line="276" w:lineRule="auto"/>
        <w:rPr>
          <w:sz w:val="20"/>
          <w:szCs w:val="20"/>
          <w:color w:val="auto"/>
        </w:rPr>
      </w:pPr>
      <w:r>
        <w:rPr>
          <w:rFonts w:ascii="Times New Roman" w:cs="Times New Roman" w:eastAsia="Times New Roman" w:hAnsi="Times New Roman"/>
          <w:sz w:val="14"/>
          <w:szCs w:val="14"/>
          <w:color w:val="auto"/>
        </w:rPr>
        <w:t>Our success depends on our continued ability to develop, introduce, and market new and enhanced versions of our services and products to meet evolving customer requirements. Because some of our services and products are complex and require rigorous testing, new features, new functionality, and updates to our existing products and services can take significant time and resources to</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develop and bring to market. As we expand internationally, our services and products must be modified and adapted to comply with regulations and other requirements of the countries in which our customers do business. Additionally, market conditions may dictate that we change the delivery method of our services and products or the technology platform underlying our existing services and products or that new services and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68" w:lineRule="auto"/>
        <w:rPr>
          <w:sz w:val="20"/>
          <w:szCs w:val="20"/>
          <w:color w:val="auto"/>
        </w:rPr>
      </w:pPr>
      <w:r>
        <w:rPr>
          <w:rFonts w:ascii="Times New Roman" w:cs="Times New Roman" w:eastAsia="Times New Roman" w:hAnsi="Times New Roman"/>
          <w:sz w:val="14"/>
          <w:szCs w:val="14"/>
          <w:color w:val="auto"/>
        </w:rPr>
        <w:t>If we fail to develop new services and products, enhance our existing services and products, or migrate our products to the cloud, our business could be adversely affected, especially if our competitors are able to introduce services and products with enhanced functionality in the cloud. It is critical to our success for us to anticipate changes in technology, industry standards, and customer requirements and to successfully introduce new, enhanced, and competitive services and products to meet our customers’ and prospective customers’ needs on a timely basis. We have</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invested and intend to increase investments in research and development and cloud operations to meet these challenges. Revenue may not be sufficient to support the future product development that is required for us to remain competitive. If we fail to develop services and products in a timely manner that are competitive in technology and price or develop services and products that fail to meet</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customer demands, our market share will decline and our business and results of operations could be harmed. If our development efforts do not develop services, products or features that our customers find valuable, then we might incur impairment charges related to our capitalized software development costs.</w:t>
      </w:r>
    </w:p>
    <w:p>
      <w:pPr>
        <w:spacing w:after="0" w:line="8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Real or perceived errors or failures in our services and products, including implementation services, may affect our reputation, cause us to lose customers, and reduce sales and renewal rates, which may harm our business and results of operations and subject us to liability for breach of warranty claims.</w:t>
      </w:r>
    </w:p>
    <w:p>
      <w:pPr>
        <w:spacing w:after="0" w:line="8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Because we offer complex services and products, undetected errors or failures may exist or occur, especially when services and products are first introduced or when new versions or updates are released. Our services and products are often installed and used in large-scale computing environments with different operating systems, system management software, and equipment and networking configurations, which may cause errors or failures in our services and products or may expose undetected errors, failures, or bugs in our services and products. Despite testing by us, we may not identify all errors, failures, or bugs in new services and products or releases until after commencement of commercial sales or installation. In the past, we have discovered software errors,</w:t>
      </w:r>
    </w:p>
    <w:p>
      <w:pPr>
        <w:spacing w:after="0" w:line="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failures, and bugs in some of our offerings after their introduction. Additionally, our Guidewire Cloud offerings rely on third-party hosting services, primarily AWS. Any material disruption or slowdown in these services or the systems of third parties who we depend upon could cause outages or delays in our services, which could harm our reputation and adversely affect our results of operations.</w:t>
      </w:r>
    </w:p>
    <w:p>
      <w:pPr>
        <w:spacing w:after="0" w:line="12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provide our customers with upfront estimates regarding the duration, resources, and costs associated with the migration and implementation of our services and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renegotiation or modification of existing contracts that could potentially result in reversals of previously recognized revenue, or a customer’s refusal to pay its contractually-obligated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spacing w:after="0" w:line="27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9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93"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If we or our SI partners do not effectively assist our customers in deploying our services and products, successfully help our customers quickly resolve post-deployment issues, assist our customers in migrating from self-managed licenses to subscription services, and provide effective ongoing support, our ability to renew existing agreements and sell additional services and products to existing customers would be adversely affected and our reputation with potential customers could be damaged. Once our services and products are deployed and integrated with our customers’ existing information technology environment, our customers may depend on our technical support services and/or the support of SI partners or internal resources to resolve any issues relating to our services and products. High-quality support is critical for the continued successful marketing and sale of our services and products. In addition, as we continue to expand our operations internationally, our support organization will face additional challenges, including those associated with delivering support, training,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419100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documentation in multiple languages. Many enterprise customers require higher levels of support than smaller customers. If we fail to meet the requirements of our larger customers, it may be more difficult to sell additional services and products to these customers or to transition existing license customers to subscription services, a key strategy for the growth of our revenue and profitability. In addition, as we further expand our cloud-based services and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services and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0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80"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API-driven property risk insights. Acquisitions and alliances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services and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services and products, the timing of revenue from the sale of services and products that we acquired or that result from the alliance, or from the sale of a bundle of services and products that includes such new services and products, may be different than the timing of revenue from existing services and products. In addition, our ability to maintain favorable pricing of new services and products may be challenging if we bundle such services and products with existing services and products. A delay in the recognition of revenue from sales of acquired or alliance services and products, or reduced pricing due to bundled sales, may cause fluctuations in our quarterly financial results, may adversely affect our operating margins, and may reduce the benefits of such acquisitions or alliances.</w:t>
      </w:r>
    </w:p>
    <w:p>
      <w:pPr>
        <w:spacing w:after="0" w:line="11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9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continue the successful development of our global direct sales force and the expansion of our relationships with our strategic partners, sales of our services and products will suffer and our growth could be slower than we project.</w:t>
      </w:r>
    </w:p>
    <w:p>
      <w:pPr>
        <w:spacing w:after="0" w:line="8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services and products will suffer and our growth will be impeded.</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SI partners help us reach additional customers. We believe our future growth also will depend on the retention and expansion of successful relationships with SI partners, including with SI partners that will focus on services and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services and products may compete directly against services and products that such leading SI partners support or market. Additionally, we are unable to control the quantity or quality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resources that our SI partners commit to migrating or implementing our services and products, the quality or timeliness of such migrations and implementations, or the effects of the COVID-19 pandemic and other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services and products, would have an adverse effect on our business and our results of operations could fail to grow in line with our projections.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sales and operations subject us to additional risks that can adversely affect our business, results of operations, and financial condition.</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sell our services and products to customers located outside the United States, and we are continuing to expand our international operations as part of our growth strategy. In fiscal years 2022, 2021, and 2020, $296.2 million, $271.1 million, and $279.8 million of our revenue, respectively, was from customers outside of the United States. Our current international operations and our plans to expand our international operations subject us to a variety of risks, including:</w:t>
      </w:r>
    </w:p>
    <w:p>
      <w:pPr>
        <w:spacing w:after="0" w:line="40" w:lineRule="exact"/>
        <w:rPr>
          <w:sz w:val="20"/>
          <w:szCs w:val="20"/>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management, travel, infrastructure, and legal compliance costs associated with having multiple international operations;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terms and conditions in contract negotiations imposed by customers in foreign countries;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and difficulties in enforcing contracts and collecting accounts receivable;</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localize our contracts and our services and products for international customers;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familiarity with and unexpected changes in foreign regulatory requirements;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exposure to fluctuations in currency exchange rates, especially on revenue and ARR;</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inflationary international economies, such as Argentina;</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geographic and political conflicts, such as that between Russia and Ukraine;</w:t>
      </w:r>
    </w:p>
    <w:p>
      <w:pPr>
        <w:spacing w:after="0" w:line="83"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burdens and costs of complying with a wide variety of foreign laws and legal standards, including the General Data Protection Regulation in the European Union (“EU”) and the U.K.;</w:t>
      </w:r>
    </w:p>
    <w:p>
      <w:pPr>
        <w:spacing w:after="0" w:line="28"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the U.S. Foreign Corrupt Practices Act of 1977, as amended, the U.K. Bribery Act of 2010 and other anti-corruption regulations, particularly in emerging market countries;</w:t>
      </w:r>
    </w:p>
    <w:p>
      <w:pPr>
        <w:spacing w:after="0" w:line="1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by international staff with accounting practices generally accepted in the United States, including adherence to our accounting policies and internal controls;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and export license requirements, tariffs, taxes and other trade barriers;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tax and reporting burdens and complexities;</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weaker protection of intellectual property rights in some countries;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and possibly overlapping tax regimes;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sanctions that may interfere with our ability to sell into particular countries, such as Russia;</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to our operations caused by epidemics or pandemics, such as COVID-19; and</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social, and economic instability abroad, terrorist attacks, and security concerns in general.</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Incorrect or improper use of our services and products or our failure to properly train customers on how to utilize our services and products could result in customer dissatisfaction and negatively affect our business, results of operations, financial condition, and growth prospects.</w:t>
      </w:r>
    </w:p>
    <w:p>
      <w:pPr>
        <w:spacing w:after="0" w:line="8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services and products are complex and are deployed in a wide variety of network environments. The proper use of our services and products requires training of the customer. If our services and products are not used correctly or as intended, inadequate performance may result. Our services and products may also be intentionally misused or abused by customers or their employees or third parties who are able to access or use our services and products. Because our customers rely on our services, products, and support to manage a wide range of operations, the incorrect or improper use of our services and products, our failure to properly train customers on how to efficiently and effectively use our services and products, 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services and products.</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if there is substantial turnover of customer personnel responsible, especially at the executive level, for the use and support of our services and products, or if customer personnel are not well trained in the use and support of our services and products, customers may defer the deployment of our services and products, may deploy them in a more limited manner than originally anticipated, or may not deploy them at all. Further, if there is substantial turnover of the customer personnel responsible for use of our services and products, our ability to renew existing licenses and make additional sales may be substantially limited.</w:t>
      </w:r>
    </w:p>
    <w:p>
      <w:pPr>
        <w:spacing w:after="0" w:line="9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8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may need additional financing to execute on our current or future business strategies, including to develop new or enhance existing services and products, acquire businesses and technologies, or otherwise to respond to competitive pressures.</w:t>
      </w:r>
    </w:p>
    <w:p>
      <w:pPr>
        <w:spacing w:after="0" w:line="82"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services and products, or otherwise respond to competitive pressures would be significantly limited. Any of these factors could harm our results of operations.</w:t>
      </w:r>
    </w:p>
    <w:p>
      <w:pPr>
        <w:spacing w:after="0" w:line="34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Data Security and Privacy, Intellectual Property, and Information Technology</w:t>
      </w:r>
    </w:p>
    <w:p>
      <w:pPr>
        <w:spacing w:after="0" w:line="13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products or cloud-based services experience data security breaches or there is unauthorized access to our customers’ data, we may lose current or future customers and our reputation and business may be harmed.</w:t>
      </w:r>
    </w:p>
    <w:p>
      <w:pPr>
        <w:spacing w:after="0" w:line="80" w:lineRule="exact"/>
        <w:rPr>
          <w:sz w:val="20"/>
          <w:szCs w:val="20"/>
          <w:color w:val="auto"/>
        </w:rPr>
      </w:pPr>
    </w:p>
    <w:p>
      <w:pPr>
        <w:jc w:val="both"/>
        <w:ind w:firstLine="350"/>
        <w:spacing w:after="0" w:line="268" w:lineRule="auto"/>
        <w:rPr>
          <w:sz w:val="20"/>
          <w:szCs w:val="20"/>
          <w:color w:val="auto"/>
        </w:rPr>
      </w:pPr>
      <w:r>
        <w:rPr>
          <w:rFonts w:ascii="Times New Roman" w:cs="Times New Roman" w:eastAsia="Times New Roman" w:hAnsi="Times New Roman"/>
          <w:sz w:val="14"/>
          <w:szCs w:val="14"/>
          <w:color w:val="auto"/>
        </w:rPr>
        <w:t>If our security measures are breached or unauthorized access to customer data is otherwise obtained, our cloud services may be perceived as not being secure, customers may reduce the use of or stop using our services, we may incur significant 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liabilities for our company. 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Privacy concerns could result in regulatory changes and impose additional costs and liabilities on us, limit our use of information, and adversely affect our business.</w:t>
      </w:r>
    </w:p>
    <w:p>
      <w:pPr>
        <w:spacing w:after="0" w:line="17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adoption of our cloud-based services occurs, the amount of customer data, including customer personal information, that we manage, hold, and/or collect continues to increase. In addition, our services and products may collect, process, store, and use transaction-level data aggregated across insurers using our common data model. We anticipate that over time we will continue to expand the use and collection of personal information as greater amounts of such personal information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transferred from our customers to us and we recognize that privacy and data security has become a significant issue in the United States, Europe, the U.K., and many other jurisdictions where we operate.</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takes substantial effect on January 1, 2023,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w:t>
      </w:r>
    </w:p>
    <w:p>
      <w:pPr>
        <w:spacing w:after="0" w:line="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Schrems II decision. Schrems II now requires companies to conduct case-by-case assessments of each data transfer to a non-EU, or non-UK, country in order to ensure that such data is adequately protected.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services and products and reduce overall demand.</w:t>
      </w:r>
    </w:p>
    <w:p>
      <w:pPr>
        <w:spacing w:after="0" w:line="27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Furthermore, concerns regarding data privacy and/or security may cause our customers’ customers to resist providing the data and information necessary to allow our customers to use our services and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80"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On April 27, 2016, the EU adopted the General Data Protection Regulation 2016/679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jurisdiction where the data importer is based, and there continue to be concerns about whether SCCs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The revised clauses must be used for relevant new data transfers from September 27, 2021, while existing standard contractual clauses arrangements must be migrated to the revised clauses by December 27, 2022. We will be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 for the transfer and</w:t>
      </w:r>
    </w:p>
    <w:p>
      <w:pPr>
        <w:spacing w:after="0" w:line="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receipt of personal data from the EU to the United States and other countries. As data protection authorities continue to issue further guidance and orders on personal data export mechanisms and/or continue taking enforcement action, we could suffer additional costs, complaints and/or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398780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may experience hesitancy, reluctance, or refusal by European or multi-national customers to continue to use our services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Given our current transition to more cloud-based services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0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Starting on January 1, 2021, as a result of Brexit, the U.K. has brought the GDPR into domestic U.K. law with the Data Protection Act 2018 (“U.K. GDPR”), which will remain in force.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adequacy decision if the Commission deems the U.K. to no longer provide adequate protection for personal data. These changes may lead to additional costs and increase our overall risk exposure.</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9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8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9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Although we believe that our services and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Failure to protect our intellectual property could substantially harm our business and results of operations.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8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9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10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services and products that have enabled us to be successful to date.</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and our customers rely on technology and intellectual property of third parties, the loss of which could limit the functionality of our services and products and disrupt our business.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use technology and intellectual property licensed from unaffiliated third parties in certain of our services and products, and we may license additional third-party technology and intellectual property in the future. Any errors or defects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third-party technology and intellectual property or the integration of third-party technology and intellectual property with our services and products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services and products and might require us to redesign our services and products.</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addition, our Guidewire Cloud offerings rely on third-party hosting and infrastructure services provided by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Some of our services and technologies may use “open source” software, which may restrict how we use or distribute our services or require that we release the source code of certain services and products subject to those licenses.</w:t>
      </w:r>
    </w:p>
    <w:p>
      <w:pPr>
        <w:spacing w:after="0" w:line="8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10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services and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04"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80"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software license agreements typically contain provisions permitting the customer to become a party to, or a beneficiary of, a source code escrow agreement under which we place the proprietary source code for our applicable services and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services and products by exercising this right, and others may do so in the future.</w:t>
      </w:r>
    </w:p>
    <w:p>
      <w:pPr>
        <w:spacing w:after="0" w:line="10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Disclosing the content of our source code may limit the intellectual property protection we can obtain or maintain for that source code or the services and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1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Risks Related to Legal, Regulatory, Accounting, and Tax Matters</w:t>
      </w:r>
    </w:p>
    <w:p>
      <w:pPr>
        <w:spacing w:after="0" w:line="13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404495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results. If we are unsuccessful in adapting to and interpreting the requirements of new guidance, or in clearly explaining to stockholders how new guidance affects reporting of our results of operations, our stock price may decline.</w:t>
      </w:r>
    </w:p>
    <w:p>
      <w:pPr>
        <w:spacing w:after="0" w:line="80"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prepare our consolidated financial statements to conform to United States Generally Accepted Accounting Principles (“GAAP”). These accounting principles are subject to interpretation by the SEC, Financial Accounting Standards Board (“FASB”), and various bodies formed to interpret and create accounting rules and regulations. Accounting standards, such as ASC 606 - Revenue from Contracts with Customers or ASC 842 - Leases,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Further, revenue recognition standards require significant judgment and estimates that impact our reported revenue and results of operations. Additionally, reported revenue has and will vary</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the ARR and cash flow associated with each customer agreement. 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9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8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If tax laws change or we experience adverse outcomes resulting from examination of our income tax returns, it could adversely affect our results of operations.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are subject to federal, state, and local income taxes in the United States and in foreign jurisdictions. Our future effective tax rates and the value of our deferred tax assets could be adversely affected by changes in, interpretations 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guidance regarding tax laws, including impacts of the Tax Cuts and Jobs Act of 2017 (the “Tax Act”), the Coronavirus Aid, Relief, Economic Security Act of 2020, and the Inflation Reduction Act of 2022.</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7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may be volatile, which could result in securities class action litigation against us.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or international currency fluctuations, have and may continue to affect the market price of our common stock.</w:t>
      </w:r>
    </w:p>
    <w:p>
      <w:pPr>
        <w:spacing w:after="0" w:line="13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8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8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40" w:lineRule="exact"/>
        <w:rPr>
          <w:sz w:val="20"/>
          <w:szCs w:val="20"/>
          <w:color w:val="auto"/>
        </w:rPr>
      </w:pPr>
    </w:p>
    <w:p>
      <w:pPr>
        <w:ind w:left="860" w:hanging="250"/>
        <w:spacing w:after="0"/>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providing for cumulative voting in the election of directors, which limits the ability of minority stockholders to elect director candidates;</w:t>
      </w:r>
    </w:p>
    <w:p>
      <w:pPr>
        <w:spacing w:after="0" w:line="72"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our board of directors to issue, without stockholder approval, preferred stock rights senior to those of common stock, which could be used to significantly dilute the ownership of a hostile acquirer;</w:t>
      </w:r>
    </w:p>
    <w:p>
      <w:pPr>
        <w:spacing w:after="0" w:line="28"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which forces stockholder action to be taken at an annual or special meeting of our stockholders;</w:t>
      </w:r>
    </w:p>
    <w:p>
      <w:pPr>
        <w:spacing w:after="0" w:line="72"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persons who may call special meetings of stockholders, which could delay the ability of our stockholders to force consideration of a proposal or to take action, including the removal of directors; and</w:t>
      </w:r>
    </w:p>
    <w:p>
      <w:pPr>
        <w:spacing w:after="0" w:line="28"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8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affirmative vote of the holders of at least a majority of our shares of capital stock entitled to vote is generally necessary to amend or repeal the above provisions that are contained in our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Also, absent approval of our board of directors, our amended and restated bylaws may only be amended or repealed by the affirmative vote of the holders of at least 50% of our shares of capital stock entitled to vote.</w:t>
      </w:r>
    </w:p>
    <w:p>
      <w:pPr>
        <w:spacing w:after="0" w:line="8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8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80" w:lineRule="exact"/>
        <w:rPr>
          <w:sz w:val="20"/>
          <w:szCs w:val="20"/>
          <w:color w:val="auto"/>
        </w:rPr>
      </w:pPr>
    </w:p>
    <w:p>
      <w:pPr>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to the fullest extent permitted by law, the Court of Chancery of the State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 will be the sole and exclusive forum for any state law claim for:</w:t>
      </w:r>
    </w:p>
    <w:p>
      <w:pPr>
        <w:spacing w:after="0" w:line="69" w:lineRule="exact"/>
        <w:rPr>
          <w:sz w:val="20"/>
          <w:szCs w:val="20"/>
          <w:color w:val="auto"/>
        </w:rPr>
      </w:pPr>
    </w:p>
    <w:p>
      <w:pPr>
        <w:ind w:left="860" w:hanging="250"/>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72"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a fiduciary duty owed by any of our directors, officers, or other employees to us or our stockholders;</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arising pursuant to the Delaware General Corporation Law, our amended and restated certificate of incorporation or our amended and restated bylaws; or</w:t>
      </w:r>
    </w:p>
    <w:p>
      <w:pPr>
        <w:spacing w:after="0" w:line="83" w:lineRule="exact"/>
        <w:rPr>
          <w:rFonts w:ascii="Times New Roman" w:cs="Times New Roman" w:eastAsia="Times New Roman" w:hAnsi="Times New Roman"/>
          <w:sz w:val="14"/>
          <w:szCs w:val="14"/>
          <w:color w:val="auto"/>
        </w:rPr>
      </w:pPr>
    </w:p>
    <w:p>
      <w:pPr>
        <w:ind w:left="860" w:hanging="250"/>
        <w:spacing w:after="0"/>
        <w:tabs>
          <w:tab w:leader="none" w:pos="8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that is governed by the internal affairs doctrine (the “Delaware Forum Provision”).</w:t>
      </w:r>
    </w:p>
    <w:p>
      <w:pPr>
        <w:spacing w:after="0" w:line="16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0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uncertainty as to whether other courts will enforce our Federal Forum Provision. If the Federal Forum Provision is found to be unenforceable, we may incur additional costs associated with</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any share repurchase program will be fully consummated or it will enhance stockholder value, and share repurchases could affect the price of our common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w:t>
      </w:r>
    </w:p>
    <w:p>
      <w:pPr>
        <w:spacing w:after="0" w:line="12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October 2020, our board of directors authorized and approved a share repurchase program of up to $200 million of our outstanding common stock. The share repurchase program was completed in the second quarter of fiscal year 2022. However, our board of directors may authorize a new share repurchase program in the future. If approved in the future, share repurchases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by us. The timing, pricing, and sizes of repurchases will depend on a number of factors, including the market price of our common stock and general market and economic conditions. A share repurchase program does not obligate us to repurchase any dollar amount or number of shares, and the program may be suspended or discontinued at any time, which may result in a decrease in the price of our common stock. A share repurchase program could affect the price of our common stock, increase volatility, and diminish our cash reserves.</w:t>
      </w:r>
    </w:p>
    <w:p>
      <w:pPr>
        <w:spacing w:after="0" w:line="1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3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of July 31, 2022,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9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274"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conversion feature of the Convertible Senior Notes, if triggered, may adversely affect our financial condition and results of operations.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Transactions relating to our Convertible Senior Notes may affect the value of our common stock.</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10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However, recently issued accounting guidance that will be effective for us on August 1, 2022 will no longer permit the use of the treasury stock method. In August 2020, the FASB issued</w:t>
      </w:r>
    </w:p>
    <w:p>
      <w:pPr>
        <w:spacing w:after="0" w:line="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Accounting Standards Update (“ASU”) 2020-06, Debt</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4"/>
          <w:szCs w:val="14"/>
          <w:color w:val="auto"/>
        </w:rPr>
        <w:t>Debt with Conversion and Other Options (Subtopic 470-20) and Derivatives and Hedging</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4"/>
          <w:szCs w:val="14"/>
          <w:color w:val="auto"/>
        </w:rPr>
        <w:t>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will most likely adversely affect our diluted earnings per share and that we will no longer be required to accrete the debt discount which will result in lower interest expense.</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with respect to the capped call transactions.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7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customers may defer or forego purchases of our services or products in the event of weakened global economic conditions, political transitions, and industry consolidation.</w:t>
      </w:r>
    </w:p>
    <w:p>
      <w:pPr>
        <w:spacing w:after="0" w:line="13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General worldwide economic conditions remain unstable, and prolonged economic uncertainties or downturns could harm our business, results of operations, or financial condition. In particular, pursuant to a decision by referendum in June 2016, the U.K. voted to withdraw from the EU. A trade and cooperation agreement, which addresses trade, economic arrangements, law enforcement, judicial cooperation and a governance framework including procedures for dispute resolution, among other things, was recently ratified by the European Parliament and the Council of the EU to govern the U.K.’s future relationship with the EU.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 Brexit may further result in new regulatory and cost challenges to our U.K. and global operations, particularly with respect to data protection. Depending on the market and regulatory effects of Brexit, it is possible that there may be adverse practical or operational implications on our business, and prolonged economic uncertainties or downturns caused by Brexit could harm our business and results of operations.</w:t>
      </w:r>
    </w:p>
    <w:p>
      <w:pPr>
        <w:spacing w:after="0" w:line="10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Further, other global events such as global inflation concerns and the ongoing conflict between Russia and Ukraine,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services and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Furthermore, the increased pace of consolidation in the P&amp;C insurance industry may result in reduced overall spending on our services and products.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retain our personnel and hire and integrate additional skilled personnel, we may be unable to achieve our goals and our business will suffer.</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76" w:lineRule="auto"/>
        <w:rPr>
          <w:sz w:val="20"/>
          <w:szCs w:val="20"/>
          <w:color w:val="auto"/>
        </w:rPr>
      </w:pPr>
      <w:r>
        <w:rPr>
          <w:rFonts w:ascii="Times New Roman" w:cs="Times New Roman" w:eastAsia="Times New Roman" w:hAnsi="Times New Roman"/>
          <w:sz w:val="14"/>
          <w:szCs w:val="14"/>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9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the COVID-19 pandemic,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which has increased in connection with the COVID-19 pandemic and its associated workplace-related ramifications, or we may be required to pay increased compensation in order to do so.</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Because of the technical nature of our services and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services and products and enhancements of existing services and products.</w:t>
      </w:r>
    </w:p>
    <w:p>
      <w:pPr>
        <w:spacing w:after="0" w:line="91"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93"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 between Russia and Ukraine,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Recently, for example, various parts of the United States have suffered extensive damage due to hurricanes, droughts, floods, severe heat and cold events, fires, and other natural disasters, Germany and other parts of Europe have experienced flooding, and Australia has experienced extensive damage due to</w:t>
      </w:r>
    </w:p>
    <w:p>
      <w:pPr>
        <w:spacing w:after="0" w:line="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corporate headquarters and the majority of our operations are located in the San Francisco Bay Area, a region known for seismic activity and near an area subject to severe fire damage. A significant natural disaster, such as an earthquake,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tsunami, fire, flood, epidemic, or pandemic, such as the COVID-19 pandemic, could have a material adverse impact on our business, results of operations, and financial condition.</w:t>
      </w:r>
    </w:p>
    <w:p>
      <w:pPr>
        <w:spacing w:after="0" w:line="16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9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revenue, results of operations and cash flows are subject to fluctuations due to changes in foreign currency exchange rates, particularly changes in the Australian Dollar, British Pound, Canadian Dollar, Euro, Indian Rupee, and Polish Zloty.</w:t>
      </w:r>
    </w:p>
    <w:p>
      <w:pPr>
        <w:spacing w:after="0" w:line="80"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While we have limited currency exchange exposure to the Russian Ruble, we expect global exchange rates for various currencies may be more volatile than normal as a result of the ongoing conflict between Russia and Ukraine and related events. We will continue to experience fluctuations in foreign currency exchange rates, which, if material, may harm our revenue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756285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Properties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corporate headquarters in San Mateo, California consists of approximately 189,000 square feet of space leased through December 2029. Our European headquarters in Dublin, Ireland consists of approximately 85,000 square feet of space leased through March 2032. As of July 31, 2022, we also lease facilities for our sales, services, development, operations and administrative activities in various locations in the United States and around the world, including in the Americas, Europe, and Asia-Pacific.</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believe that our facilities are suitable to meet our current needs. We are evaluating our real estate strategy as it relates to the impact of the COVID-19 pandemic and anticipated needs of a hybrid workforce. In the future, we may expand our facilities or add new facilities as we add employees and enter new geographic markets, and we believe that suitable additional or alternative space will be available as needed to accommodate any such growth. We expect to incur additional expenses in connection with such new or expanded facilities.</w:t>
      </w:r>
    </w:p>
    <w:p>
      <w:pPr>
        <w:spacing w:after="0" w:line="15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described in Note 9 “Commitments and Contingencies” to our consolidated financial statements included elsewhere in this Annual Report on Form 10-K, which are incorporated by reference herein, we are not party to any material pending legal proceedings.</w:t>
      </w:r>
    </w:p>
    <w:p>
      <w:pPr>
        <w:spacing w:after="0" w:line="2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608330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“GWRE”.</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July 29, 2022, the last reported sale price of our common stock on the New York Stock Exchange for fiscal year 2022 was $77.72 per share. As of July 31, 2022, we had 38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spacing w:after="0" w:line="1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8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of our filings under the Securities Act of 1933 or the Exchange Act.</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following graph shows a comparison of the cumulative total return for our common stock, the NASDAQ Composite-Total Return Index and S&amp;P Software &amp; Services Select Industry Index for the period from July 31, 2017 through July 31, 2022. Such returns are based on historical results and are not intended to suggest future performance. Data for the NASDAQ Composite Total Return Index and S&amp;P Software &amp; Services Select Industry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68580</wp:posOffset>
            </wp:positionV>
            <wp:extent cx="4608195" cy="2236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08195" cy="223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gridSpan w:val="3"/>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rPr>
              <w:t>7/31/2017</w:t>
            </w:r>
          </w:p>
        </w:tc>
        <w:tc>
          <w:tcPr>
            <w:tcW w:w="320" w:type="dxa"/>
            <w:vAlign w:val="bottom"/>
          </w:tcPr>
          <w:p>
            <w:pPr>
              <w:spacing w:after="0"/>
              <w:rPr>
                <w:sz w:val="10"/>
                <w:szCs w:val="10"/>
                <w:color w:val="auto"/>
              </w:rPr>
            </w:pPr>
          </w:p>
        </w:tc>
        <w:tc>
          <w:tcPr>
            <w:tcW w:w="720" w:type="dxa"/>
            <w:vAlign w:val="bottom"/>
            <w:gridSpan w:val="3"/>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rPr>
              <w:t>7/31/2018</w:t>
            </w:r>
          </w:p>
        </w:tc>
        <w:tc>
          <w:tcPr>
            <w:tcW w:w="320" w:type="dxa"/>
            <w:vAlign w:val="bottom"/>
          </w:tcPr>
          <w:p>
            <w:pPr>
              <w:spacing w:after="0"/>
              <w:rPr>
                <w:sz w:val="10"/>
                <w:szCs w:val="10"/>
                <w:color w:val="auto"/>
              </w:rPr>
            </w:pPr>
          </w:p>
        </w:tc>
        <w:tc>
          <w:tcPr>
            <w:tcW w:w="720" w:type="dxa"/>
            <w:vAlign w:val="bottom"/>
            <w:gridSpan w:val="3"/>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rPr>
              <w:t>7/31/2019</w:t>
            </w:r>
          </w:p>
        </w:tc>
        <w:tc>
          <w:tcPr>
            <w:tcW w:w="340" w:type="dxa"/>
            <w:vAlign w:val="bottom"/>
          </w:tcPr>
          <w:p>
            <w:pPr>
              <w:spacing w:after="0"/>
              <w:rPr>
                <w:sz w:val="10"/>
                <w:szCs w:val="10"/>
                <w:color w:val="auto"/>
              </w:rPr>
            </w:pPr>
          </w:p>
        </w:tc>
        <w:tc>
          <w:tcPr>
            <w:tcW w:w="720" w:type="dxa"/>
            <w:vAlign w:val="bottom"/>
            <w:gridSpan w:val="3"/>
          </w:tcPr>
          <w:p>
            <w:pPr>
              <w:jc w:val="center"/>
              <w:ind w:left="153"/>
              <w:spacing w:after="0"/>
              <w:rPr>
                <w:sz w:val="20"/>
                <w:szCs w:val="20"/>
                <w:color w:val="auto"/>
              </w:rPr>
            </w:pPr>
            <w:r>
              <w:rPr>
                <w:rFonts w:ascii="Times New Roman" w:cs="Times New Roman" w:eastAsia="Times New Roman" w:hAnsi="Times New Roman"/>
                <w:sz w:val="11"/>
                <w:szCs w:val="11"/>
                <w:b w:val="1"/>
                <w:bCs w:val="1"/>
                <w:color w:val="auto"/>
              </w:rPr>
              <w:t>7/31/2020</w:t>
            </w:r>
          </w:p>
        </w:tc>
        <w:tc>
          <w:tcPr>
            <w:tcW w:w="580" w:type="dxa"/>
            <w:vAlign w:val="bottom"/>
          </w:tcPr>
          <w:p>
            <w:pPr>
              <w:spacing w:after="0"/>
              <w:rPr>
                <w:sz w:val="10"/>
                <w:szCs w:val="10"/>
                <w:color w:val="auto"/>
              </w:rPr>
            </w:pP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7/31/2021</w:t>
            </w:r>
          </w:p>
        </w:tc>
        <w:tc>
          <w:tcPr>
            <w:tcW w:w="6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7/31/2022</w:t>
            </w:r>
          </w:p>
        </w:tc>
        <w:tc>
          <w:tcPr>
            <w:tcW w:w="520" w:type="dxa"/>
            <w:vAlign w:val="bottom"/>
          </w:tcPr>
          <w:p>
            <w:pPr>
              <w:spacing w:after="0"/>
              <w:rPr>
                <w:sz w:val="10"/>
                <w:szCs w:val="10"/>
                <w:color w:val="auto"/>
              </w:rPr>
            </w:pPr>
          </w:p>
        </w:tc>
      </w:tr>
      <w:tr>
        <w:trPr>
          <w:trHeight w:val="22"/>
        </w:trPr>
        <w:tc>
          <w:tcPr>
            <w:tcW w:w="3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Guidewire Software, Inc.</w:t>
            </w:r>
          </w:p>
        </w:tc>
        <w:tc>
          <w:tcPr>
            <w:tcW w:w="11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100.00</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119.46</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141.46</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163.05</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159.65</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107.71</w:t>
            </w:r>
          </w:p>
        </w:tc>
        <w:tc>
          <w:tcPr>
            <w:tcW w:w="520" w:type="dxa"/>
            <w:vAlign w:val="bottom"/>
          </w:tcPr>
          <w:p>
            <w:pPr>
              <w:spacing w:after="0"/>
              <w:rPr>
                <w:sz w:val="15"/>
                <w:szCs w:val="15"/>
                <w:color w:val="auto"/>
              </w:rPr>
            </w:pP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Composite-Total Return Index</w:t>
            </w:r>
          </w:p>
        </w:tc>
        <w:tc>
          <w:tcPr>
            <w:tcW w:w="11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8"/>
              </w:rPr>
              <w:t>100.00</w:t>
            </w: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8"/>
              </w:rPr>
              <w:t>122.13</w:t>
            </w:r>
          </w:p>
        </w:tc>
        <w:tc>
          <w:tcPr>
            <w:tcW w:w="2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8"/>
              </w:rPr>
              <w:t>131.59</w:t>
            </w:r>
          </w:p>
        </w:tc>
        <w:tc>
          <w:tcPr>
            <w:tcW w:w="2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center"/>
              <w:ind w:left="173"/>
              <w:spacing w:after="0"/>
              <w:rPr>
                <w:sz w:val="20"/>
                <w:szCs w:val="20"/>
                <w:color w:val="auto"/>
              </w:rPr>
            </w:pPr>
            <w:r>
              <w:rPr>
                <w:rFonts w:ascii="Times New Roman" w:cs="Times New Roman" w:eastAsia="Times New Roman" w:hAnsi="Times New Roman"/>
                <w:sz w:val="14"/>
                <w:szCs w:val="14"/>
                <w:color w:val="auto"/>
                <w:w w:val="98"/>
              </w:rPr>
              <w:t>174.72</w:t>
            </w:r>
          </w:p>
        </w:tc>
        <w:tc>
          <w:tcPr>
            <w:tcW w:w="2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240.30</w:t>
            </w:r>
          </w:p>
        </w:tc>
        <w:tc>
          <w:tcPr>
            <w:tcW w:w="2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204.37</w:t>
            </w:r>
          </w:p>
        </w:tc>
        <w:tc>
          <w:tcPr>
            <w:tcW w:w="520" w:type="dxa"/>
            <w:vAlign w:val="bottom"/>
          </w:tcPr>
          <w:p>
            <w:pPr>
              <w:spacing w:after="0"/>
              <w:rPr>
                <w:sz w:val="15"/>
                <w:szCs w:val="15"/>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Software &amp; Services Select Industry Index</w:t>
            </w:r>
          </w:p>
        </w:tc>
        <w:tc>
          <w:tcPr>
            <w:tcW w:w="11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100.00</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129.31</w:t>
            </w: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156.77</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center"/>
              <w:ind w:left="173"/>
              <w:spacing w:after="0"/>
              <w:rPr>
                <w:sz w:val="20"/>
                <w:szCs w:val="20"/>
                <w:color w:val="auto"/>
              </w:rPr>
            </w:pPr>
            <w:r>
              <w:rPr>
                <w:rFonts w:ascii="Times New Roman" w:cs="Times New Roman" w:eastAsia="Times New Roman" w:hAnsi="Times New Roman"/>
                <w:sz w:val="14"/>
                <w:szCs w:val="14"/>
                <w:color w:val="auto"/>
                <w:w w:val="98"/>
              </w:rPr>
              <w:t>185.57</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274.61</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193.87</w:t>
            </w:r>
          </w:p>
        </w:tc>
        <w:tc>
          <w:tcPr>
            <w:tcW w:w="520" w:type="dxa"/>
            <w:vAlign w:val="bottom"/>
          </w:tcPr>
          <w:p>
            <w:pPr>
              <w:spacing w:after="0"/>
              <w:rPr>
                <w:sz w:val="15"/>
                <w:szCs w:val="15"/>
                <w:color w:val="auto"/>
              </w:rPr>
            </w:pPr>
          </w:p>
        </w:tc>
      </w:tr>
      <w:tr>
        <w:trPr>
          <w:trHeight w:val="956"/>
        </w:trPr>
        <w:tc>
          <w:tcPr>
            <w:tcW w:w="3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 from Registered Securities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689610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20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36"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should be read in conjunction with our consolidated financial statements and related notes thereto included in Item 8 and the Risk Factors included in Item 1A of Part I of this Annual Report on Form 10-K. All information presented herein is based on our fiscal calendar. Unless otherwise stated, references in this Annual Report on Form 10-K to particular years or quarters refer to our fiscal years ended in July and the associated quarters of those fiscal years. We assume no obligation to revise or update any forward-looking statements for any reason, except as required by law.</w:t>
      </w:r>
    </w:p>
    <w:p>
      <w:pPr>
        <w:spacing w:after="0" w:line="95"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We have elected to omit discussion on the earliest of the three years covered by the consolidated financial statements presented. Refer to Item 7. Management’s Discussion and Analysis of Financial Condition and Results of Operations located in our Form 10-K for the fiscal year ended July 31, 2021, filed on September 24, 2021, for reference to discussion of the fiscal year ended July 31, 2020, the earliest of the three fiscal years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Guidewire delivers a leading platform that property and casualty (“P&amp;C”) insurers trust to engage, innovate, and grow efficiently. Guidewire’s platform combines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core operational services and products are InsuranceSuite Cloud, InsuranceNow, and InsuranceSuite for self-managed installations. These services and products are transactional systems of record that support the entire insurance lifecycle, including insurance product definition, distribution, underwriting, policyholder services, and claims management.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101" w:lineRule="exact"/>
        <w:rPr>
          <w:sz w:val="20"/>
          <w:szCs w:val="20"/>
          <w:color w:val="auto"/>
        </w:rPr>
      </w:pPr>
    </w:p>
    <w:p>
      <w:pPr>
        <w:jc w:val="both"/>
        <w:ind w:firstLine="350"/>
        <w:spacing w:after="0" w:line="317" w:lineRule="auto"/>
        <w:rPr>
          <w:sz w:val="20"/>
          <w:szCs w:val="20"/>
          <w:color w:val="auto"/>
        </w:rPr>
      </w:pPr>
      <w:r>
        <w:rPr>
          <w:rFonts w:ascii="Times New Roman" w:cs="Times New Roman" w:eastAsia="Times New Roman" w:hAnsi="Times New Roman"/>
          <w:sz w:val="14"/>
          <w:szCs w:val="14"/>
          <w:color w:val="auto"/>
        </w:rPr>
        <w:t>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Guidewire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InsuranceNow is a complete, cloud-based application that offers policy, billing, and claims management functionality to insurers.</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InsuranceSuite for self-managed installations is comprised of three core applications (PolicyCenter, BillingCenter, and ClaimCenter) that can be licensed separately or together and can be deployed and updated by our customers and their implementation partners.</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9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Because our platform is critical to our new and existing customers’ businesses, their decision-making and product evaluation process is thorough, which often results in an extended sales cycle. These evaluation periods can extend further if a customer purchases multiple services and products or is considering a move to a cloud-based subscription for the first time. Sales to new customers also involve extensive customer due diligence and reference checks. The success of our sales efforts relies on continued improvements and enhancements to our current services and products, the introduction of new services and products, efficient operation of our cloud infrastructure, continued development of relevant local content and automated tools for updating content, and successful implementations.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sell our cloud-delivered offerings through subscription services and our self-managed products through term licenses. We generally price our services and products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To extend our technology leadership in the global market and to drive operating efficiency, we continue to invest in product development and cloud operations to enhance and improve our current services and products, introduce new services and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9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0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work closely with our network of third-party SI partners to facilitate new sales and implementations of both our subscription services and self-managed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services and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01"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services and products, and cost-effectively and securely managing the infrastructure of our cloud-based customers. In response to these and other risks we might face, we continue to invest in many areas of our business, including product development, cloud operations, cybersecurity, implementation services, and sales and marketing.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COVID-19 Impact</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March 2020, the World Health Organization declared the outbreak of COVID-19 a pandemic, which has continued to spread throughout the United States and the world and has resulted in authorities implementing numerous measures to contain the virus, including travel bans and restrictions, quarantines, shelter-in-place orders, and business limitations and shutdowns. While we are unable to accurately predict the full impact that COVID-19 will have on our results of operations, financial condition, liquidity, and cash flows due to numerous uncertainties, including the duration and severity of the pandemic, and containment measures and if there are any periods of increases in the number of COVID-19 cases or future variants of the 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areas in which we operate, our compliance with containment measures has impacted our day-to-day operations and could continue to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extend our sales cycle, to delay the timing of new orders, and increase the time to complete professional services engagements in the future.</w:t>
      </w:r>
    </w:p>
    <w:p>
      <w:pPr>
        <w:spacing w:after="0" w:line="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business and financial results since the third quarter of fiscal year 2020 have been impacted due to these disruptions, which has effected our annual recurring revenue (“ARR”) growth rates, services revenue and margins, operating cash flow and expenses, potentially higher employee attrition, challenges in hiring necessary personnel, and the change in fair value of strategic investments. ARR growth rates and revenue, especially services revenue, continued to be impacted in fiscal year 2022 as a result of these challenges. Additionally, in recent quarters, inflation has reached levels that have not been seen for decades, which is impacting the global economy and magnifying the impact of these and other disruptions.</w:t>
      </w:r>
    </w:p>
    <w:p>
      <w:pPr>
        <w:spacing w:after="0" w:line="9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Although vaccines have made progress against the COVID-19 pandemic in the United States and certain other parts of the world where vaccinations are widely available, the economic impact of the pandemic on our business and the businesses of our customers, SI partners, and vendors may continue. We believe that new sales activities are being delayed, not cancelled, and implementation engagements are being rescheduled to later periods or being completed over a longer period of time. Certain marketing events have been cancelled or postponed, while others are being hosted both in-person and virtually, like our customer conference, Connections. Our customers may be unable to pay or may request amended payment terms for their outstanding invoices due to the economic impacts from COVID-19 and inflation,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services and products based on the amount of DWP that will be managed by our platform. Additionally, we may be required to record impairment related to our operating lease assets, investments, long-lived assets, or goodwill.</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will continue to evaluate the nature and extent of the impact of COVID-19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7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Annual Report on Form 10-K.</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 (“ARR”)</w:t>
      </w:r>
    </w:p>
    <w:p>
      <w:pPr>
        <w:spacing w:after="0" w:line="181"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other arrangements that are not expected to recur (primarily perpetual licenses and professional services) are excluded.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In fiscal year 2022, the recurring license and support or subscription contract value recognized as services revenue was $28.9 million.</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83" w:lineRule="exact"/>
        <w:rPr>
          <w:sz w:val="20"/>
          <w:szCs w:val="20"/>
          <w:color w:val="auto"/>
        </w:rPr>
      </w:pPr>
    </w:p>
    <w:p>
      <w:pPr>
        <w:jc w:val="both"/>
        <w:ind w:firstLine="350"/>
        <w:spacing w:after="0" w:line="246" w:lineRule="auto"/>
        <w:rPr>
          <w:sz w:val="20"/>
          <w:szCs w:val="20"/>
          <w:color w:val="auto"/>
        </w:rPr>
      </w:pPr>
      <w:r>
        <w:rPr>
          <w:rFonts w:ascii="Times New Roman" w:cs="Times New Roman" w:eastAsia="Times New Roman" w:hAnsi="Times New Roman"/>
          <w:sz w:val="14"/>
          <w:szCs w:val="14"/>
          <w:color w:val="auto"/>
        </w:rPr>
        <w:t>As of July 31, 2022, ARR was $664 million, or $683 million based on currency exchange rates as of July 31, 2021. In March 2022, we announced that we will stop doing business and terminated all customer contracts in Russia. The impact of this decision resulted in the removal of $3.1 million in ARR. We measure ARR on a constant currency basis during the fiscal year and revalue ARR at year end to current currency rates. ARR grew in fiscal year 2022 by 14%, or 17% on a constant currency basis.</w:t>
      </w:r>
    </w:p>
    <w:p>
      <w:pPr>
        <w:spacing w:after="0" w:line="1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170"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Free cash flow in fiscal year 2022 was impacted by payments of $69.1 million related to our fiscal year 2021 corporate bonus and accrued vacation balances in countries in which we adopted a non-accrual vacation policy, which was $47.8 million higher than the bonus payment during fiscal year 2021. A portion of the fiscal year 2020 bonus in the amount of $9.9 million, which would have been paid in the first quarter of fiscal year 2021, was accelerated due to the COVID-19 pandemic and paid in fiscal year 2020, which correspondingly resulted in lower bonus payments in fiscal year 2021. This partial early bonus payout was approved by our board of directors in order to support our employees and, in turn, their local economies during the extraordinary situation created by the COVID-19 pandemic. The build out and furnishing of our new offices in Mississauga, Canada and Dublin, Ireland impacted free cash flow by a total of $15.6 million for the fiscal year 2021. For a further discussion of our operating cash flows, see “Liquidity and Capital Resources –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Fiscal years ended July 31,</w:t>
            </w:r>
          </w:p>
        </w:tc>
        <w:tc>
          <w:tcPr>
            <w:tcW w:w="1280" w:type="dxa"/>
            <w:vAlign w:val="bottom"/>
            <w:tcBorders>
              <w:bottom w:val="single" w:sz="8" w:color="auto"/>
            </w:tcBorders>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9"/>
        </w:trPr>
        <w:tc>
          <w:tcPr>
            <w:tcW w:w="7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80" w:type="dxa"/>
            <w:vAlign w:val="bottom"/>
            <w:gridSpan w:val="3"/>
          </w:tcPr>
          <w:p>
            <w:pPr>
              <w:jc w:val="right"/>
              <w:ind w:right="416"/>
              <w:spacing w:after="0"/>
              <w:rPr>
                <w:sz w:val="20"/>
                <w:szCs w:val="20"/>
                <w:color w:val="auto"/>
              </w:rPr>
            </w:pPr>
            <w:r>
              <w:rPr>
                <w:rFonts w:ascii="Times New Roman" w:cs="Times New Roman" w:eastAsia="Times New Roman" w:hAnsi="Times New Roman"/>
                <w:sz w:val="13"/>
                <w:szCs w:val="13"/>
                <w:color w:val="auto"/>
              </w:rPr>
              <w:t>(in thousands)</w:t>
            </w:r>
          </w:p>
        </w:tc>
        <w:tc>
          <w:tcPr>
            <w:tcW w:w="1280" w:type="dxa"/>
            <w:vAlign w:val="bottom"/>
          </w:tcPr>
          <w:p>
            <w:pPr>
              <w:spacing w:after="0"/>
              <w:rPr>
                <w:sz w:val="13"/>
                <w:szCs w:val="13"/>
                <w:color w:val="auto"/>
              </w:rPr>
            </w:pP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111,587</w:t>
            </w: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(19,008)</w:t>
            </w:r>
          </w:p>
        </w:tc>
      </w:tr>
      <w:tr>
        <w:trPr>
          <w:trHeight w:val="1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1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(12,266)</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(9,846)</w:t>
            </w:r>
          </w:p>
        </w:tc>
      </w:tr>
      <w:tr>
        <w:trPr>
          <w:trHeight w:val="163"/>
        </w:trPr>
        <w:tc>
          <w:tcPr>
            <w:tcW w:w="7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Free cash flow</w:t>
            </w:r>
          </w:p>
        </w:tc>
        <w:tc>
          <w:tcPr>
            <w:tcW w:w="128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(59,716)</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82,733</w:t>
            </w:r>
          </w:p>
        </w:tc>
      </w:tr>
      <w:tr>
        <w:trPr>
          <w:trHeight w:val="20"/>
        </w:trPr>
        <w:tc>
          <w:tcPr>
            <w:tcW w:w="7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076"/>
        </w:trPr>
        <w:tc>
          <w:tcPr>
            <w:tcW w:w="7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Accounting policies, methods, and estimates are an integral part of the preparation of our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our consolidated financial statements and because of the possibility that future events affecting them may differ markedly from management’s current judgments. While there are a number of significant accounting policies, methods, and estimates affecting our consolidated financial statements, which are described in Note 1 “The Company and a Summary of Significant Accounting Policies and Estimates” to our consolidated financial statements included in this Annual Report on Form 10-K, our revenue recognition policies are critical to the periods presented.</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revenue is derived from contracts with customers. The majority of our revenue is derived from subscriptions to our cloud services, licensing arrangements for our software, and implementation and other professional services arrangements. We account for revenue in accordance with Accounting Standards Codification 606, Revenue from Contracts with Customers (“ASC 606”).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consolidated financial statements included in this Annual Report on Form 10-K.</w:t>
      </w:r>
    </w:p>
    <w:p>
      <w:pPr>
        <w:spacing w:after="0" w:line="10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estimates and assumptions requiring significant judgment under our revenue policy in accordance with ASC 606 are as follows: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Allocation of the transaction price to the performance obligations in the contract</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will use the residual method.</w:t>
      </w:r>
    </w:p>
    <w:p>
      <w:pPr>
        <w:spacing w:after="0" w:line="10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majority of our contracts contain multiple performance obligations, such as when licenses are sold with support, implementation services or training services. As customers enter into a subscription agreement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Additionally, contract modifications for services and products that are distinct but are not priced commensurate with their SSP or are not distinct from the existing contract may affect the initial transaction price or the allocation of the transaction price to the performance obligations in the contract. In such cases, revenue recognized may be adjusted.</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Modernization of Regulation S-K Items 101, 103, and 105</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SEC issued Release No. 33-10825, “Modernization of Regulation S-K Items 101, 103, and 105,” effective for annual periods beginning subsequent to November 2020. This release was adopted to modernize the description of business, legal proceedings, and risk factor disclosures that registrants are required to make pursuant to Regulation S-K. Specifically, this release requires registrants to provide disclosures relating to their human capital resources and to restructure their risk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disclosures. Additionally, the release increases the threshold for disclosure of environmental proceedings to which the government is a party.</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Selected Financial Data, and Supplementary Financial Information</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SEC issued Release No. 33-10890 “Management’s Discussion and Analysis, Selected Financial Data, Supplementary Financial Information” which became fully effective on August 9, 2021. This release was adopted to modernize, simplify, and enhance certain financial disclosure requirements in Regulation S-K. Specifically, the SEC eliminated the requirement for selected financial data, only requiring quarterly disclosure when there are retrospective changes affecting comprehensive income, and amending the matters required to be presented under Management’s Discussion and Analysis (“MD&amp;A”) to, among other things, eliminate the requirement of the contractual obligations table.</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With our adoption of this release, we have eliminated from this document the items discussed above that are no longer required. Information on our contractual obligations is still disclosed in narrative form within the “Management’s Discussion and Analysis of Financial Condition and Results of Operations” in Item 7 of Part II of this Annual Report on Form 10-K.</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See Note 1 “The Company and Summary of Significant Accounting Policies and Estimates” to our consolidated financial statements included in this Annual Report on Form 10-K for a full description of recent accounting pronouncements adopted, including the dates of adoption, and recent accounting pronouncements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sets forth our results of operations for the years presented. The data has been derived from the consolidated financial statements contained in this Annual Report on Form 10-K. The results for any period should not be considered indicative of results for any future period.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center"/>
              <w:ind w:left="951"/>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As a % of Total Revenue</w:t>
            </w:r>
          </w:p>
        </w:tc>
        <w:tc>
          <w:tcPr>
            <w:tcW w:w="6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1"/>
                <w:szCs w:val="11"/>
                <w:b w:val="1"/>
                <w:bCs w:val="1"/>
                <w:color w:val="auto"/>
              </w:rPr>
              <w:t>As a % of Total Revenue</w:t>
            </w:r>
          </w:p>
        </w:tc>
      </w:tr>
      <w:tr>
        <w:trPr>
          <w:trHeight w:val="150"/>
        </w:trPr>
        <w:tc>
          <w:tcPr>
            <w:tcW w:w="4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640" w:type="dxa"/>
            <w:vAlign w:val="bottom"/>
          </w:tcPr>
          <w:p>
            <w:pPr>
              <w:spacing w:after="0"/>
              <w:rPr>
                <w:sz w:val="13"/>
                <w:szCs w:val="13"/>
                <w:color w:val="auto"/>
              </w:rPr>
            </w:pPr>
          </w:p>
        </w:tc>
      </w:tr>
      <w:tr>
        <w:trPr>
          <w:trHeight w:val="18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Subscription and support</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343,708</w:t>
            </w:r>
          </w:p>
        </w:tc>
        <w:tc>
          <w:tcPr>
            <w:tcW w:w="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60" w:type="dxa"/>
            <w:vAlign w:val="bottom"/>
          </w:tcPr>
          <w:p>
            <w:pPr>
              <w:spacing w:after="0"/>
              <w:rPr>
                <w:sz w:val="15"/>
                <w:szCs w:val="15"/>
                <w:color w:val="auto"/>
              </w:rPr>
            </w:pP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252,358</w:t>
            </w: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258,631</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303,792</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41</w:t>
            </w:r>
          </w:p>
        </w:tc>
      </w:tr>
      <w:tr>
        <w:trPr>
          <w:trHeight w:val="180"/>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210,275</w:t>
            </w:r>
          </w:p>
        </w:tc>
        <w:tc>
          <w:tcPr>
            <w:tcW w:w="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187,117</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25</w:t>
            </w:r>
          </w:p>
        </w:tc>
      </w:tr>
      <w:tr>
        <w:trPr>
          <w:trHeight w:val="171"/>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812,614</w:t>
            </w:r>
          </w:p>
        </w:tc>
        <w:tc>
          <w:tcPr>
            <w:tcW w:w="6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743,267</w:t>
            </w: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100</w:t>
            </w:r>
          </w:p>
        </w:tc>
      </w:tr>
      <w:tr>
        <w:trPr>
          <w:trHeight w:val="157"/>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Subscription and support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213,275</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164,983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22</w:t>
            </w: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94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8,754</w:t>
            </w:r>
          </w:p>
        </w:tc>
        <w:tc>
          <w:tcPr>
            <w:tcW w:w="60" w:type="dxa"/>
            <w:vAlign w:val="bottom"/>
          </w:tcPr>
          <w:p>
            <w:pPr>
              <w:spacing w:after="0"/>
              <w:rPr>
                <w:sz w:val="15"/>
                <w:szCs w:val="15"/>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10,569</w:t>
            </w:r>
          </w:p>
        </w:tc>
        <w:tc>
          <w:tcPr>
            <w:tcW w:w="80" w:type="dxa"/>
            <w:vAlign w:val="bottom"/>
          </w:tcPr>
          <w:p>
            <w:pPr>
              <w:spacing w:after="0"/>
              <w:rPr>
                <w:sz w:val="15"/>
                <w:szCs w:val="15"/>
                <w:color w:val="auto"/>
              </w:rPr>
            </w:pP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9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238,365</w:t>
            </w:r>
          </w:p>
        </w:tc>
        <w:tc>
          <w:tcPr>
            <w:tcW w:w="6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199,502</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27</w:t>
            </w:r>
          </w:p>
        </w:tc>
      </w:tr>
      <w:tr>
        <w:trPr>
          <w:trHeight w:val="171"/>
        </w:trPr>
        <w:tc>
          <w:tcPr>
            <w:tcW w:w="4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cost of revenue</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460,394</w:t>
            </w:r>
          </w:p>
        </w:tc>
        <w:tc>
          <w:tcPr>
            <w:tcW w:w="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375,054</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50</w:t>
            </w:r>
          </w:p>
        </w:tc>
      </w:tr>
      <w:tr>
        <w:trPr>
          <w:trHeight w:val="16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Subscription and support</w:t>
            </w:r>
          </w:p>
        </w:tc>
        <w:tc>
          <w:tcPr>
            <w:tcW w:w="9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130,433</w:t>
            </w:r>
          </w:p>
        </w:tc>
        <w:tc>
          <w:tcPr>
            <w:tcW w:w="60" w:type="dxa"/>
            <w:vAlign w:val="bottom"/>
          </w:tcPr>
          <w:p>
            <w:pPr>
              <w:spacing w:after="0"/>
              <w:rPr>
                <w:sz w:val="15"/>
                <w:szCs w:val="15"/>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87,375</w:t>
            </w:r>
          </w:p>
        </w:tc>
        <w:tc>
          <w:tcPr>
            <w:tcW w:w="80" w:type="dxa"/>
            <w:vAlign w:val="bottom"/>
          </w:tcPr>
          <w:p>
            <w:pPr>
              <w:spacing w:after="0"/>
              <w:rPr>
                <w:sz w:val="15"/>
                <w:szCs w:val="15"/>
                <w:color w:val="auto"/>
              </w:rPr>
            </w:pP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12</w:t>
            </w: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249,877</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293,223</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39</w:t>
            </w:r>
          </w:p>
        </w:tc>
      </w:tr>
      <w:tr>
        <w:trPr>
          <w:trHeight w:val="180"/>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(28,090)</w:t>
            </w:r>
          </w:p>
        </w:tc>
        <w:tc>
          <w:tcPr>
            <w:tcW w:w="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(12,385)</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gross profit</w:t>
            </w: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352,220</w:t>
            </w:r>
          </w:p>
        </w:tc>
        <w:tc>
          <w:tcPr>
            <w:tcW w:w="6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368,213</w:t>
            </w: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49</w:t>
            </w:r>
          </w:p>
        </w:tc>
      </w:tr>
      <w:tr>
        <w:trPr>
          <w:trHeight w:val="157"/>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4"/>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249,665</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219,494</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30</w:t>
            </w:r>
          </w:p>
        </w:tc>
      </w:tr>
      <w:tr>
        <w:trPr>
          <w:trHeight w:val="180"/>
        </w:trPr>
        <w:tc>
          <w:tcPr>
            <w:tcW w:w="4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and marketing</w:t>
            </w:r>
          </w:p>
        </w:tc>
        <w:tc>
          <w:tcPr>
            <w:tcW w:w="9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194,611</w:t>
            </w:r>
          </w:p>
        </w:tc>
        <w:tc>
          <w:tcPr>
            <w:tcW w:w="60" w:type="dxa"/>
            <w:vAlign w:val="bottom"/>
          </w:tcPr>
          <w:p>
            <w:pPr>
              <w:spacing w:after="0"/>
              <w:rPr>
                <w:sz w:val="15"/>
                <w:szCs w:val="15"/>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160,544</w:t>
            </w:r>
          </w:p>
        </w:tc>
        <w:tc>
          <w:tcPr>
            <w:tcW w:w="80" w:type="dxa"/>
            <w:vAlign w:val="bottom"/>
          </w:tcPr>
          <w:p>
            <w:pPr>
              <w:spacing w:after="0"/>
              <w:rPr>
                <w:sz w:val="15"/>
                <w:szCs w:val="15"/>
                <w:color w:val="auto"/>
              </w:rPr>
            </w:pP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22</w:t>
            </w:r>
          </w:p>
        </w:tc>
      </w:tr>
      <w:tr>
        <w:trPr>
          <w:trHeight w:val="18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107,391</w:t>
            </w:r>
          </w:p>
        </w:tc>
        <w:tc>
          <w:tcPr>
            <w:tcW w:w="6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93,759</w:t>
            </w:r>
          </w:p>
        </w:tc>
        <w:tc>
          <w:tcPr>
            <w:tcW w:w="8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13</w:t>
            </w:r>
          </w:p>
        </w:tc>
      </w:tr>
      <w:tr>
        <w:trPr>
          <w:trHeight w:val="171"/>
        </w:trPr>
        <w:tc>
          <w:tcPr>
            <w:tcW w:w="4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551,667</w:t>
            </w:r>
          </w:p>
        </w:tc>
        <w:tc>
          <w:tcPr>
            <w:tcW w:w="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473,797</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65</w:t>
            </w: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(199,447)</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(105,584)</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40" w:type="dxa"/>
            <w:vAlign w:val="bottom"/>
          </w:tcPr>
          <w:p>
            <w:pPr>
              <w:spacing w:after="0"/>
              <w:rPr>
                <w:sz w:val="15"/>
                <w:szCs w:val="15"/>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6,277</w:t>
            </w:r>
          </w:p>
        </w:tc>
        <w:tc>
          <w:tcPr>
            <w:tcW w:w="60" w:type="dxa"/>
            <w:vAlign w:val="bottom"/>
          </w:tcPr>
          <w:p>
            <w:pPr>
              <w:spacing w:after="0"/>
              <w:rPr>
                <w:sz w:val="15"/>
                <w:szCs w:val="15"/>
                <w:color w:val="auto"/>
              </w:rPr>
            </w:pPr>
          </w:p>
        </w:tc>
        <w:tc>
          <w:tcPr>
            <w:tcW w:w="1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7,395</w:t>
            </w:r>
          </w:p>
        </w:tc>
        <w:tc>
          <w:tcPr>
            <w:tcW w:w="80" w:type="dxa"/>
            <w:vAlign w:val="bottom"/>
          </w:tcPr>
          <w:p>
            <w:pPr>
              <w:spacing w:after="0"/>
              <w:rPr>
                <w:sz w:val="15"/>
                <w:szCs w:val="15"/>
                <w:color w:val="auto"/>
              </w:rPr>
            </w:pPr>
          </w:p>
        </w:tc>
        <w:tc>
          <w:tcPr>
            <w:tcW w:w="16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(19,446)</w:t>
            </w:r>
          </w:p>
        </w:tc>
        <w:tc>
          <w:tcPr>
            <w:tcW w:w="6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(18,711)</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(3)</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(17,099)</w:t>
            </w:r>
          </w:p>
        </w:tc>
        <w:tc>
          <w:tcPr>
            <w:tcW w:w="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12,619</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w:t>
            </w: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provision for (benefit from) income taxes</w:t>
            </w: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(229,715)</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(104,281)</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r>
      <w:tr>
        <w:trPr>
          <w:trHeight w:val="18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(49,284)</w:t>
            </w:r>
          </w:p>
        </w:tc>
        <w:tc>
          <w:tcPr>
            <w:tcW w:w="6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(37,774)</w:t>
            </w:r>
          </w:p>
        </w:tc>
        <w:tc>
          <w:tcPr>
            <w:tcW w:w="8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(7)</w:t>
            </w:r>
          </w:p>
        </w:tc>
      </w:tr>
      <w:tr>
        <w:trPr>
          <w:trHeight w:val="196"/>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(180,431)</w:t>
            </w:r>
          </w:p>
        </w:tc>
        <w:tc>
          <w:tcPr>
            <w:tcW w:w="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(66,507)</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Fiscal Years Ended July 31, 2022 and 2021</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derive our revenue primarily from delivering cloud-based services, licensing our software applications, providing support, and delivering professional services.</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Subscription and Support</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growing portion of our revenue consists of fees for our subscription services, which are generally priced based on the amount of DWP that is managed by our subscription services. Subscription revenue is recognized ratably over the term of the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License</w:t>
      </w:r>
    </w:p>
    <w:p>
      <w:pPr>
        <w:spacing w:after="0" w:line="13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270"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Services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2022</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2021</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80" w:type="dxa"/>
            <w:vAlign w:val="bottom"/>
            <w:tcBorders>
              <w:bottom w:val="single" w:sz="8" w:color="auto"/>
            </w:tcBorders>
          </w:tcPr>
          <w:p>
            <w:pPr>
              <w:spacing w:after="0"/>
              <w:rPr>
                <w:sz w:val="13"/>
                <w:szCs w:val="13"/>
                <w:color w:val="auto"/>
              </w:rPr>
            </w:pPr>
          </w:p>
        </w:tc>
      </w:tr>
      <w:tr>
        <w:trPr>
          <w:trHeight w:val="145"/>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4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4"/>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Subscription and support: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Subscription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168,649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90,583</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0"/>
        </w:trPr>
        <w:tc>
          <w:tcPr>
            <w:tcW w:w="4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Support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42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License: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44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Term license</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303,309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(44,868)</w:t>
            </w:r>
          </w:p>
        </w:tc>
        <w:tc>
          <w:tcPr>
            <w:tcW w:w="420" w:type="dxa"/>
            <w:vAlign w:val="bottom"/>
          </w:tcPr>
          <w:p>
            <w:pPr>
              <w:spacing w:after="0"/>
              <w:rPr>
                <w:sz w:val="15"/>
                <w:szCs w:val="15"/>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Perpetual license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4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210,275</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187,117</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23,158</w:t>
            </w:r>
          </w:p>
        </w:tc>
        <w:tc>
          <w:tcPr>
            <w:tcW w:w="4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4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812,614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743,267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69,347</w:t>
            </w: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Subscription and Support</w:t>
      </w:r>
    </w:p>
    <w:p>
      <w:pPr>
        <w:spacing w:after="0" w:line="13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We anticipate subscriptions will continue to represent a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in a given period, our short-term growth rates will be negatively impacted. Due to the seasonal nature of our business, the impact of new subscription orders in the fourth fiscal quarter, our historically largest quarter for new orders, is not fully reflected in revenues until the following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Subscription revenue increased by $90.6 million, compared to the prior year, primarily due to the impact of cloud transition and new subscription agreements for InsuranceSuite Cloud entered into and provisioned since July 31, 2021.</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Support revenue was relatively flat compared to the prior year.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continue to reduce the growth in, or result in lower, support revenue in the future.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License</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Term license revenue decreased by $44.9 million, compared to the prior year, primarily due to the impact of multi-year term license renewals and new deals in the same period a year ago, and, to a lesser extent, term license customers migrating to subscription services. The impact on term license revenue from contracts with an initial term of greater than two years or a renewal term of greater than one year was $2.5 million during fiscal year 2022 compared with $24.4 million in the prior year.</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Perpetual license revenue decreased by $0.3 million, compared to the prior year, and accounted for less than 1% of total revenue in fiscal year 2022. We expect perpetual license revenue to continue to represent a small percentage of our total revenue. Perpetual license revenue may potentially be volatile across periods due to the large amount of perpetual revenue that may be generated from a single customer order.</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Services Revenue</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Services revenue increased $23.2 million, compared to the prior year. The increase is primarily driven by an increase in the number and size of subscription implementation and migration projects, but services revenue overall continues to be impacted by contracts with lower average services billing rates and increased investments in customer implementations, including fixed fee or capped arrangements, to accelerate customer transition to the cloud. In these arrangements when a project extends longer than originally anticipated, the average billing rate we recognize may decrease, which can result in revenue adjustments and lower gross profit.</w:t>
      </w:r>
    </w:p>
    <w:p>
      <w:pPr>
        <w:spacing w:after="0" w:line="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expect some level of variability in our services revenue in future periods. As we successfully leverage our SI partners to lead more implementations, our services revenue could decrease. We expect challenges related to COVID-19, inflation, and our ability to hire additional services professionals will also continue to negatively impact services revenue. As we continue to expand into new markets and develop new services and products, we have, and may continue to, enter into contracts with lower average billing rates, make investments in customer implementation and migration engagements, and enter into fixed price contracts, which may impact services revenue and services margins.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and Gross Profit</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Effective as of the beginning of fiscal year 2023, we are revising our allocation methodology to more closely reflect the way our business is managed and to be more comparable to other companies in our industry. The change will result in facilities expenses, information technology infrastructure and software expenses, and information security infrastructure and software expenses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allocated to all functional departments based on headcount, while the remaining expenses will be recorded within general and administrative expenses. The expected impact is an increase in general and administrative expenses and a decrease in cost of revenue and other operating expense categories. Prior period amounts will be re-classified to reflect the revised methodology in our future consolidated financial statements and accompanying notes.</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5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0" w:type="dxa"/>
            <w:vAlign w:val="bottom"/>
            <w:tcBorders>
              <w:bottom w:val="single" w:sz="8" w:color="auto"/>
            </w:tcBorders>
          </w:tcPr>
          <w:p>
            <w:pPr>
              <w:spacing w:after="0"/>
              <w:rPr>
                <w:sz w:val="13"/>
                <w:szCs w:val="13"/>
                <w:color w:val="auto"/>
              </w:rPr>
            </w:pPr>
          </w:p>
        </w:tc>
      </w:tr>
      <w:tr>
        <w:trPr>
          <w:trHeight w:val="150"/>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 of total revenue</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 of total revenue</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Subscription and support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213,275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48,292</w:t>
            </w:r>
          </w:p>
        </w:tc>
        <w:tc>
          <w:tcPr>
            <w:tcW w:w="400" w:type="dxa"/>
            <w:vAlign w:val="bottom"/>
          </w:tcPr>
          <w:p>
            <w:pPr>
              <w:spacing w:after="0"/>
              <w:rPr>
                <w:sz w:val="15"/>
                <w:szCs w:val="15"/>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29 %</w:t>
            </w: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License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12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126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238,365</w:t>
            </w:r>
          </w:p>
        </w:tc>
        <w:tc>
          <w:tcPr>
            <w:tcW w:w="126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199,502</w:t>
            </w:r>
          </w:p>
        </w:tc>
        <w:tc>
          <w:tcPr>
            <w:tcW w:w="126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38,863</w:t>
            </w:r>
          </w:p>
        </w:tc>
        <w:tc>
          <w:tcPr>
            <w:tcW w:w="400" w:type="dxa"/>
            <w:vAlign w:val="bottom"/>
          </w:tcPr>
          <w:p>
            <w:pPr>
              <w:spacing w:after="0"/>
              <w:rPr>
                <w:sz w:val="15"/>
                <w:szCs w:val="15"/>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revenue</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460,394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375,054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85,340</w:t>
            </w: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23 %</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r>
        <w:trPr>
          <w:trHeight w:val="153"/>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Includes stock-based compensation of:</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subscription and support revenue</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license revenue</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0"/>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Cost of services revenue</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21,809</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4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r>
      <w:tr>
        <w:trPr>
          <w:trHeight w:val="196"/>
        </w:trPr>
        <w:tc>
          <w:tcPr>
            <w:tcW w:w="4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38,257</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33,810</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4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37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Cost of subscription and support revenue increased by $48.3 million primarily due to increases in personnel costs of $27.9 million as a result of our continued investment in our cloud operations to increase operational efficiency and scale, cloud infrastructure expense of $21.3 million for our growing cloud customer base, higher amortization of previously capitalized software development costs of $2.5 million, and higher royalties of $1.2 million. These increases were partially offset by a decrease in amortization of acquired intangible assets of $4.1 million and a decrease in professional services of $0.6 million.</w:t>
      </w:r>
    </w:p>
    <w:p>
      <w:pPr>
        <w:spacing w:after="0" w:line="9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Due to our continued investment in cloud-based operations, increase in new cloud-based customers, and increased usage from existing cloud-based customers, the costs to provide our subscription and support services increased. We expect our cost of subscription and support revenue to increase as we continue to invest in our cloud operations to improve efficiencies and to continuously improve and maintain secure environments, more customers migrate from term licenses to subscription services, and we incur higher cloud infrastructure costs as our cloud customer base and their usage grows. However, we believe that the cost of subscription and support revenue will grow at a slower rate than subscription and support revenue in future years as we achieve economies of scale and other efficiencies. The short-term impact of these trends along with mix within subscription and support revenue may result in a decline in subscription and support gross margin even though subscription and support gross profit increases in absolute dollars.</w:t>
      </w:r>
    </w:p>
    <w:p>
      <w:pPr>
        <w:spacing w:after="0" w:line="10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$1.8 million decrease in our cost of license revenue was primarily due to a decrease in amortization of acquired intangible assets of $1.5 million due to certain acquired intangible assets being fully amortized and lower personnel costs associated with the development of online training curriculum included with the latest releases of InsuranceSuite of $0.8 million. These decreases were partially offset by an increase in royalties of $0.5 million.</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continue to anticipate lower cost of license revenue over time as our term license customers transition to cloud subscription agreements.</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$38.9 million increase in cost of services revenue was primarily due to an increase of $37.9 million in subcontractor and personnel expenses for InsuranceSuite Cloud implementations and, to a lesser extent, increases of $0.6 million in software subscriptions and $0.3 million in web hosting services.</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had 696 cloud operations and technical support employees and 755 professional service employees at July 31, 2022 compared to 600 cloud operations and technical support employees and 657 professional services employees at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956"/>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0" w:type="dxa"/>
            <w:vAlign w:val="bottom"/>
            <w:tcBorders>
              <w:bottom w:val="single" w:sz="8" w:color="auto"/>
            </w:tcBorders>
          </w:tcPr>
          <w:p>
            <w:pPr>
              <w:spacing w:after="0"/>
              <w:rPr>
                <w:sz w:val="13"/>
                <w:szCs w:val="13"/>
                <w:color w:val="auto"/>
              </w:rPr>
            </w:pPr>
          </w:p>
        </w:tc>
      </w:tr>
      <w:tr>
        <w:trPr>
          <w:trHeight w:val="150"/>
        </w:trPr>
        <w:tc>
          <w:tcPr>
            <w:tcW w:w="4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margin %</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rPr>
              <w:t>margin %</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0"/>
        </w:trPr>
        <w:tc>
          <w:tcPr>
            <w:tcW w:w="4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Subscription and support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130,433</w:t>
            </w:r>
          </w:p>
        </w:tc>
        <w:tc>
          <w:tcPr>
            <w:tcW w:w="320" w:type="dxa"/>
            <w:vAlign w:val="bottom"/>
          </w:tcPr>
          <w:p>
            <w:pPr>
              <w:spacing w:after="0"/>
              <w:rPr>
                <w:sz w:val="15"/>
                <w:szCs w:val="15"/>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5"/>
              </w:rPr>
              <w:t>38 %</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87,375</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35 %</w:t>
            </w: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rPr>
              <w:t>43,058</w:t>
            </w:r>
          </w:p>
        </w:tc>
        <w:tc>
          <w:tcPr>
            <w:tcW w:w="4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r>
      <w:tr>
        <w:trPr>
          <w:trHeight w:val="18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License</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249,877</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293,223</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4"/>
                <w:szCs w:val="14"/>
                <w:color w:val="auto"/>
              </w:rPr>
              <w:t>(43,346)</w:t>
            </w: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(28,090)</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CCEEFF"/>
            </w:tcBorders>
          </w:tcPr>
          <w:p>
            <w:pPr>
              <w:jc w:val="right"/>
              <w:ind w:right="76"/>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4"/>
                <w:szCs w:val="14"/>
                <w:color w:val="auto"/>
              </w:rPr>
              <w:t>(15,705)</w:t>
            </w:r>
          </w:p>
        </w:tc>
        <w:tc>
          <w:tcPr>
            <w:tcW w:w="4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right"/>
              <w:ind w:right="92"/>
              <w:spacing w:after="0"/>
              <w:rPr>
                <w:sz w:val="20"/>
                <w:szCs w:val="20"/>
                <w:color w:val="auto"/>
              </w:rPr>
            </w:pPr>
            <w:r>
              <w:rPr>
                <w:rFonts w:ascii="Times New Roman" w:cs="Times New Roman" w:eastAsia="Times New Roman" w:hAnsi="Times New Roman"/>
                <w:sz w:val="14"/>
                <w:szCs w:val="14"/>
                <w:color w:val="auto"/>
              </w:rPr>
              <w:t>127</w:t>
            </w:r>
          </w:p>
        </w:tc>
      </w:tr>
      <w:tr>
        <w:trPr>
          <w:trHeight w:val="19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gross profit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352,220</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5"/>
              </w:rPr>
              <w:t>43 %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368,213</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50 %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4"/>
                <w:szCs w:val="14"/>
                <w:color w:val="auto"/>
              </w:rPr>
              <w:t>(15,993)</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37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gross profit decreased $16.0 million compared to the prior year. Gross profit was impacted by a decrease in term license revenue due to the impact of multi-year term license arrangements entered into in fiscal year 2022 being significantly lower than the impact of multi-year term license arrangements in the same period a year ago and, to a lesser extent, a decrease in services gross profit due to the investments that we are making in our customers' transition to subscription services. These decreases were partially offset by an increase in subscription and support gross profit due to the increase in subscription revenue, which has a lower gross margin compared to license revenue.</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gross margin decreased to 43% in fiscal year 2022, as compared to 50% in fiscal year 2021. Gross margin was primarily impacted by the increase as a percentage of total revenue of subscription and support revenue, which has a lower gross margin compared to license revenue.</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expect subscription and support gross margins will fluctuate as our subscription revenue increases and we continue to invest in our cloud operations. However, as we gain efficiencies and increase the number of cloud customers, we expect subscription gross margins to improve over the next several years. In addition, the impact of our investment in customer migrations and implementations, challenges related to COVID-19, and inflation may continue to negatively impact services gross margin going forward. We expect license gross margin will fluctuate based on changes in revenue due to the timing of delivery of new multi-year term licenses and the execution of multi-year term license renewals, as cost of license revenue is expected to be relatively consistent from period to period in the future. Overall, we expect gross margins to decline in the short-term primarily due to the mix between license revenue and subscription and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8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Effective as of the beginning of fiscal year 2023, we are revising our allocation methodology to more closely reflect the way our business is managed and to be more comparable to other companies in our industry. The change will result in facilities expenses, information technology infrastructure and software expenses, and information security infrastructure and software expenses being allocated to all functional departments based on headcount, while the remaining expenses will be recorded within general and administrative expenses. The expected impact is an increase general and administrative expenses and a decrease in cost of revenue and other operating expense categories. Prior period amounts will be re-classified to reflect the revised methodology in our future consolidated financial statements and accompanying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4"/>
        </w:trPr>
        <w:tc>
          <w:tcPr>
            <w:tcW w:w="4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2022</w:t>
            </w: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2021</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80" w:type="dxa"/>
            <w:vAlign w:val="bottom"/>
            <w:tcBorders>
              <w:bottom w:val="single" w:sz="8" w:color="auto"/>
            </w:tcBorders>
          </w:tcPr>
          <w:p>
            <w:pPr>
              <w:spacing w:after="0"/>
              <w:rPr>
                <w:sz w:val="13"/>
                <w:szCs w:val="13"/>
                <w:color w:val="auto"/>
              </w:rPr>
            </w:pPr>
          </w:p>
        </w:tc>
      </w:tr>
      <w:tr>
        <w:trPr>
          <w:trHeight w:val="145"/>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4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4"/>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0"/>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249,665</w:t>
            </w:r>
          </w:p>
        </w:tc>
        <w:tc>
          <w:tcPr>
            <w:tcW w:w="320" w:type="dxa"/>
            <w:vAlign w:val="bottom"/>
          </w:tcPr>
          <w:p>
            <w:pPr>
              <w:spacing w:after="0"/>
              <w:rPr>
                <w:sz w:val="15"/>
                <w:szCs w:val="15"/>
                <w:color w:val="auto"/>
              </w:rPr>
            </w:pPr>
          </w:p>
        </w:tc>
        <w:tc>
          <w:tcPr>
            <w:tcW w:w="9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219,494</w:t>
            </w:r>
          </w:p>
        </w:tc>
        <w:tc>
          <w:tcPr>
            <w:tcW w:w="300" w:type="dxa"/>
            <w:vAlign w:val="bottom"/>
          </w:tcPr>
          <w:p>
            <w:pPr>
              <w:spacing w:after="0"/>
              <w:rPr>
                <w:sz w:val="15"/>
                <w:szCs w:val="15"/>
                <w:color w:val="auto"/>
              </w:rPr>
            </w:pPr>
          </w:p>
        </w:tc>
        <w:tc>
          <w:tcPr>
            <w:tcW w:w="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30 %</w:t>
            </w:r>
          </w:p>
        </w:tc>
        <w:tc>
          <w:tcPr>
            <w:tcW w:w="6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30,171</w:t>
            </w:r>
          </w:p>
        </w:tc>
        <w:tc>
          <w:tcPr>
            <w:tcW w:w="400" w:type="dxa"/>
            <w:vAlign w:val="bottom"/>
          </w:tcPr>
          <w:p>
            <w:pPr>
              <w:spacing w:after="0"/>
              <w:rPr>
                <w:sz w:val="15"/>
                <w:szCs w:val="15"/>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194,611</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160,544</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34,067</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107,391</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93,759</w:t>
            </w:r>
          </w:p>
        </w:tc>
        <w:tc>
          <w:tcPr>
            <w:tcW w:w="3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13,632</w:t>
            </w:r>
          </w:p>
        </w:tc>
        <w:tc>
          <w:tcPr>
            <w:tcW w:w="4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551,667</w:t>
            </w: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473,797</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65 %</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77,870</w:t>
            </w: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143"/>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Includes stock-based compensation of:</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36,134</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29,524</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32,960</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25,820</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29,660</w:t>
            </w:r>
          </w:p>
        </w:tc>
        <w:tc>
          <w:tcPr>
            <w:tcW w:w="3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25,855</w:t>
            </w:r>
          </w:p>
        </w:tc>
        <w:tc>
          <w:tcPr>
            <w:tcW w:w="3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3,805</w:t>
            </w:r>
          </w:p>
        </w:tc>
        <w:tc>
          <w:tcPr>
            <w:tcW w:w="4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96"/>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98,754</w:t>
            </w: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81,199</w:t>
            </w: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17,555</w:t>
            </w:r>
          </w:p>
        </w:tc>
        <w:tc>
          <w:tcPr>
            <w:tcW w:w="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research and development expenses primarily consist of personnel costs for our technical staff and consultants providing professional services.</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$30.2 million increase in research and development expenses was primarily due to increases of $21.7 million in personnel costs associated with higher headcount, $4.3 million in cloud infrastructure costs for our development environments, $3.1 million in acquisition consideration holdback costs recognized over a service period relating to the HazardHub acquisition, and $1.2 million in software subscription costs.</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research and development headcount was 972 as of July 31, 2022 compared with 853 as of July 31, 2021.</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expect our research and development expenses to increase in absolute dollars as we continue to hire and dedicate internal resources to develop, improve, and expand the functionality of our solutions and migrate our solutions to the cloud. Research and development expenses may also increase if we pursue additional acquisitions.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five years. Sales and marketing expenses also include travel expenses, professional services for marketing activities, and amortization of certain acquired intangibles.</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$34.1 million increase in sales and marketing expenses was primarily due to increases of $26.9 million in personnel costs due to higher headcount to sell and market our services and products; $5.3 million in travel expenses as in-person prospect and client interactions have resumed; $1.6 million in marketing and advertising expense associated with Connections Reimagined, our annual sales conference which was a hybrid event held in November 2021, compared to two fully virtual events in fiscal year 2021; $0.3 million in professional services; and $0.2 million in web hosting costs. These increases were partially offset by a decrease of $0.4 million due to certain acquired intangible assets being fully amortized.</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sales and marketing headcount was 475 as of July 31, 2022 compared with 426 as of July 31, 2021.</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expect our sales and marketing expenses to continue to increase in absolute dollars as we continue to invest in sales and marketing activities and resume business travel to support our growth and objectives.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general and administrative expenses include executive, finance, human resources, legal, and corporate development and strategy functions, and primarily consist of personnel costs, as well as professional services.</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$13.6 million increase in our general and administrative expenses was primarily due to increases of $9.6 million in personnel costs due to higher headcount, $4.8 million in software subscription and web hosting costs, and $3.0 million of bad debt expense related to a contract termination as a result of United States government sanctions on Russia. These increases were partially offset by a decrease of $3.7 million in professional services.</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general and administrative headcount was 478 as of July 31, 2022 compared with 406 as of July 31, 2021. General and administrative headcount includes personnel in information technology, information security, facilities, and recruiting whose expenses are allocated across all functional departments.</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to the impact of revising our allocation methodology mentioned above, we expect that our general and administrative expenses will increase in absolute dollars as we continue to invest in personnel, corporate infrastructure, and systems required to support our strategic initiatives, grow our business, and meet our compliance and reporting obligations.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200" w:type="dxa"/>
            <w:vAlign w:val="bottom"/>
            <w:tcBorders>
              <w:bottom w:val="single" w:sz="8" w:color="auto"/>
            </w:tcBorders>
          </w:tcPr>
          <w:p>
            <w:pPr>
              <w:spacing w:after="0"/>
              <w:rPr>
                <w:sz w:val="13"/>
                <w:szCs w:val="13"/>
                <w:color w:val="auto"/>
              </w:rPr>
            </w:pPr>
          </w:p>
        </w:tc>
      </w:tr>
      <w:tr>
        <w:trPr>
          <w:trHeight w:val="150"/>
        </w:trPr>
        <w:tc>
          <w:tcPr>
            <w:tcW w:w="4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w:t>
            </w:r>
          </w:p>
        </w:tc>
        <w:tc>
          <w:tcPr>
            <w:tcW w:w="1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40" w:type="dxa"/>
            <w:vAlign w:val="bottom"/>
            <w:gridSpan w:val="3"/>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(1,118)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(19,446)</w:t>
            </w:r>
          </w:p>
        </w:tc>
        <w:tc>
          <w:tcPr>
            <w:tcW w:w="6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(18,711)</w:t>
            </w:r>
          </w:p>
        </w:tc>
        <w:tc>
          <w:tcPr>
            <w:tcW w:w="80" w:type="dxa"/>
            <w:vAlign w:val="bottom"/>
          </w:tcPr>
          <w:p>
            <w:pPr>
              <w:spacing w:after="0"/>
              <w:rPr>
                <w:sz w:val="15"/>
                <w:szCs w:val="15"/>
                <w:color w:val="auto"/>
              </w:rPr>
            </w:pP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(735)</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12,619</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4"/>
                <w:szCs w:val="14"/>
                <w:color w:val="auto"/>
              </w:rPr>
              <w:t>(29,718)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bl>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Interest income represents interest earned on our cash, cash equivalents, and investments.</w:t>
      </w:r>
    </w:p>
    <w:p>
      <w:pPr>
        <w:spacing w:after="0" w:line="189"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Interest income decreased by $1.1 million in fiscal year 2022, primarily due to lower yields on invested funds and lower funds available for investment. This decrease was partially offset by imputed interest income realized upon the conversion of a strategic investment from convertible debt to preferred equity.</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Interest expense includes both stated interest and the amortization of debt discount and issuance costs associated with our Convertible Senior Notes. The amortization of debt discount and issuance costs are recognized on an effective interest basis. Stated interest expense is consistent in the comparative periods as the outstanding principal and stated interest rate have not changed.</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Interest expense for fiscal years 2022 and 2021 consist of non-cash interest expense related to the amortization of debt discount and issuance costs of $14.4 million and $13.6 million, respectively, and stated interest of $5.0 million in both periods.</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Effective at the beginning of fiscal year 2023, we are adopting the FASB ASU No. 2020-06 (see Note 1 “The Company and Summary of Significant Accounting Policies and Estimates” to our consolidated financial statements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Form 10-K) which will eliminate the equity component of our Convertible Senior Notes. This will lower interest expense in future periods due to the elimination of the amortization of debt discount.</w:t>
      </w:r>
    </w:p>
    <w:p>
      <w:pPr>
        <w:spacing w:after="0" w:line="2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currently are entering into transactions in the following currencies: the Argentine Peso, Australian Dollar, Brazilian Real, British Pound, Canadian Dollar, Chinese Yuan, Danish Krone, Euro, Hong Kong Dollar, Indian Rupee, Japanese Yen, Malaysian Ringgit, Mexican Peso, New Zealand Dollar, Polish Zloty, Russian Ruble, South African Rand, and Swiss Franc.</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Other income (expense), net in fiscal year 2022 was expense of $17.1 million, compared to income of $12.6 million in fiscal year 2021, primarily due to fluctuations in foreign currency exchange rates in those periods, partially offset by a realized gain upon the sale of a strategic equity investment.</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(benefit from) Income Taxes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are subject to taxes in the United States as well as other tax jurisdictions and countries in which we conduct business. Earnings from our non-U.S. activities are subject to local country income tax and may also be subject to U.S. income tax.</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4"/>
        </w:trPr>
        <w:tc>
          <w:tcPr>
            <w:tcW w:w="4600" w:type="dxa"/>
            <w:vAlign w:val="bottom"/>
          </w:tcPr>
          <w:p>
            <w:pPr>
              <w:spacing w:after="0"/>
              <w:rPr>
                <w:sz w:val="13"/>
                <w:szCs w:val="13"/>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2021</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180" w:type="dxa"/>
            <w:vAlign w:val="bottom"/>
            <w:tcBorders>
              <w:bottom w:val="single" w:sz="8" w:color="auto"/>
            </w:tcBorders>
          </w:tcPr>
          <w:p>
            <w:pPr>
              <w:spacing w:after="0"/>
              <w:rPr>
                <w:sz w:val="13"/>
                <w:szCs w:val="13"/>
                <w:color w:val="auto"/>
              </w:rPr>
            </w:pPr>
          </w:p>
        </w:tc>
      </w:tr>
      <w:tr>
        <w:trPr>
          <w:trHeight w:val="150"/>
        </w:trPr>
        <w:tc>
          <w:tcPr>
            <w:tcW w:w="4600" w:type="dxa"/>
            <w:vAlign w:val="bottom"/>
          </w:tcPr>
          <w:p>
            <w:pPr>
              <w:spacing w:after="0"/>
              <w:rPr>
                <w:sz w:val="13"/>
                <w:szCs w:val="13"/>
                <w:color w:val="auto"/>
              </w:rPr>
            </w:pPr>
          </w:p>
        </w:tc>
        <w:tc>
          <w:tcPr>
            <w:tcW w:w="102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56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1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(49,284)</w:t>
            </w: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96"/>
              </w:rPr>
              <w:t>(37,774)</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(11,510)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4"/>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36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recognized an income tax benefit of $49.3 million for fiscal year 2022 compared to an income tax benefit of $37.8 million for fiscal year 2021. The increase in our income tax benefit for fiscal year 2022 was primarily due to an increase in pre-tax net loss, an increase in research and development credits, and a decrease in valuation allowance, partially offset by decreases in tax benefits such as tax deductions from stock-based compensation, the tax impact from the tax status change of certain foreign subsidiaries from prior year, and the release of uncertain tax positions from the prior year.</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July 31, 2022, we had unrecognized tax benefits of $11.8 million that, if recognized, would affect our effective tax rate, as certain unrecognized tax benefits have a valuation allowance.</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effective tax rate could differ from the statutory U.S. Federal income tax rate of 21% mainly due to state taxes, tax deficiencies related to stock-based compensation, research and development credits, foreign earnings taxed in the U.S., change in valuation allowance and certain non-deductible expenses, including, but not limited to, executive compensation limitation.</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Comparison of the Fiscal Years Ended July 31, 2021 and 2020</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Refer to Item 7. Management’s Discussion and Analysis of Financial Condition and Results of Operations located in our 10-K for the fiscal year ended July 31, 2021, filed on September 24, 2021, for the discussion of the comparison of the fiscal year ended July 31, 2021 to the fiscal year ended July 31, 2020, the earliest of the three fiscal years presented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1094105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specific items excluded from GAAP in the calculation of non-GAAP financial measures for the periods indicated below (in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Fiscal years ended July 31,</w:t>
            </w:r>
          </w:p>
        </w:tc>
        <w:tc>
          <w:tcPr>
            <w:tcW w:w="1280" w:type="dxa"/>
            <w:vAlign w:val="bottom"/>
            <w:tcBorders>
              <w:bottom w:val="single" w:sz="8" w:color="auto"/>
            </w:tcBorders>
          </w:tcPr>
          <w:p>
            <w:pPr>
              <w:spacing w:after="0"/>
              <w:rPr>
                <w:sz w:val="14"/>
                <w:szCs w:val="14"/>
                <w:color w:val="auto"/>
              </w:rPr>
            </w:pPr>
          </w:p>
        </w:tc>
      </w:tr>
      <w:tr>
        <w:trPr>
          <w:trHeight w:val="160"/>
        </w:trPr>
        <w:tc>
          <w:tcPr>
            <w:tcW w:w="7040" w:type="dxa"/>
            <w:vAlign w:val="bottom"/>
          </w:tcPr>
          <w:p>
            <w:pPr>
              <w:spacing w:after="0"/>
              <w:rPr>
                <w:sz w:val="13"/>
                <w:szCs w:val="13"/>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0"/>
        </w:trPr>
        <w:tc>
          <w:tcPr>
            <w:tcW w:w="70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Gross profit reconciliation:</w:t>
            </w: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gross profit</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352,220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368,213</w:t>
            </w: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33,810</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13,175</w:t>
            </w:r>
          </w:p>
        </w:tc>
      </w:tr>
      <w:tr>
        <w:trPr>
          <w:trHeight w:val="172"/>
        </w:trPr>
        <w:tc>
          <w:tcPr>
            <w:tcW w:w="704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COVID-19 Canada Emergency Wage Subsidy benefit</w:t>
            </w:r>
            <w:r>
              <w:rPr>
                <w:rFonts w:ascii="Times New Roman" w:cs="Times New Roman" w:eastAsia="Times New Roman" w:hAnsi="Times New Roman"/>
                <w:sz w:val="16"/>
                <w:szCs w:val="16"/>
                <w:color w:val="auto"/>
                <w:vertAlign w:val="superscript"/>
              </w:rPr>
              <w:t>(1)</w:t>
            </w:r>
          </w:p>
        </w:tc>
        <w:tc>
          <w:tcPr>
            <w:tcW w:w="1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r>
      <w:tr>
        <w:trPr>
          <w:trHeight w:val="160"/>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gross profit</w:t>
            </w:r>
          </w:p>
        </w:tc>
        <w:tc>
          <w:tcPr>
            <w:tcW w:w="1280" w:type="dxa"/>
            <w:vAlign w:val="bottom"/>
            <w:tcBorders>
              <w:top w:val="single" w:sz="8" w:color="auto"/>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398,136</w:t>
            </w: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413,223</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1"/>
        </w:trPr>
        <w:tc>
          <w:tcPr>
            <w:tcW w:w="70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from operations reconciliation:</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income (loss) from operations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(199,447)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(105,584)</w:t>
            </w: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115,009</w:t>
            </w:r>
          </w:p>
        </w:tc>
      </w:tr>
      <w:tr>
        <w:trPr>
          <w:trHeight w:val="168"/>
        </w:trPr>
        <w:tc>
          <w:tcPr>
            <w:tcW w:w="7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19,965</w:t>
            </w:r>
          </w:p>
        </w:tc>
      </w:tr>
      <w:tr>
        <w:trPr>
          <w:trHeight w:val="172"/>
        </w:trPr>
        <w:tc>
          <w:tcPr>
            <w:tcW w:w="70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COVID-19 Canada Emergency Wage Subsidy benefit</w:t>
            </w:r>
            <w:r>
              <w:rPr>
                <w:rFonts w:ascii="Times New Roman" w:cs="Times New Roman" w:eastAsia="Times New Roman" w:hAnsi="Times New Roman"/>
                <w:sz w:val="16"/>
                <w:szCs w:val="16"/>
                <w:color w:val="auto"/>
                <w:vertAlign w:val="superscript"/>
              </w:rPr>
              <w:t>(1)</w:t>
            </w:r>
          </w:p>
        </w:tc>
        <w:tc>
          <w:tcPr>
            <w:tcW w:w="12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(3,396)</w:t>
            </w:r>
          </w:p>
        </w:tc>
      </w:tr>
      <w:tr>
        <w:trPr>
          <w:trHeight w:val="170"/>
        </w:trPr>
        <w:tc>
          <w:tcPr>
            <w:tcW w:w="7040" w:type="dxa"/>
            <w:vAlign w:val="bottom"/>
            <w:tcBorders>
              <w:bottom w:val="single" w:sz="8" w:color="CCEEFF"/>
            </w:tcBorders>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Acquisition consideration holdback </w:t>
            </w:r>
            <w:r>
              <w:rPr>
                <w:rFonts w:ascii="Times New Roman" w:cs="Times New Roman" w:eastAsia="Times New Roman" w:hAnsi="Times New Roman"/>
                <w:sz w:val="16"/>
                <w:szCs w:val="16"/>
                <w:color w:val="auto"/>
                <w:vertAlign w:val="superscript"/>
              </w:rPr>
              <w:t>(2)</w:t>
            </w:r>
          </w:p>
        </w:tc>
        <w:tc>
          <w:tcPr>
            <w:tcW w:w="128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3,067</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income (loss) from operations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0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1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reconciliation:</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net income (loss)</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(180,431)</w:t>
            </w:r>
          </w:p>
        </w:tc>
        <w:tc>
          <w:tcPr>
            <w:tcW w:w="80" w:type="dxa"/>
            <w:vAlign w:val="bottom"/>
          </w:tcPr>
          <w:p>
            <w:pPr>
              <w:spacing w:after="0"/>
              <w:rPr>
                <w:sz w:val="14"/>
                <w:szCs w:val="14"/>
                <w:color w:val="auto"/>
              </w:rPr>
            </w:pP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(66,507)</w:t>
            </w: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137,011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115,009</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19,965</w:t>
            </w:r>
          </w:p>
        </w:tc>
      </w:tr>
      <w:tr>
        <w:trPr>
          <w:trHeight w:val="170"/>
        </w:trPr>
        <w:tc>
          <w:tcPr>
            <w:tcW w:w="704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COVID-19 Canada Emergency Wage Subsidy benefit</w:t>
            </w:r>
            <w:r>
              <w:rPr>
                <w:rFonts w:ascii="Times New Roman" w:cs="Times New Roman" w:eastAsia="Times New Roman" w:hAnsi="Times New Roman"/>
                <w:sz w:val="16"/>
                <w:szCs w:val="16"/>
                <w:color w:val="auto"/>
                <w:vertAlign w:val="superscript"/>
              </w:rPr>
              <w:t>(1)</w:t>
            </w:r>
          </w:p>
        </w:tc>
        <w:tc>
          <w:tcPr>
            <w:tcW w:w="12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(3,396)</w:t>
            </w:r>
          </w:p>
        </w:tc>
      </w:tr>
      <w:tr>
        <w:trPr>
          <w:trHeight w:val="170"/>
        </w:trPr>
        <w:tc>
          <w:tcPr>
            <w:tcW w:w="704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Acquisition consideration holdback</w:t>
            </w:r>
            <w:r>
              <w:rPr>
                <w:rFonts w:ascii="Times New Roman" w:cs="Times New Roman" w:eastAsia="Times New Roman" w:hAnsi="Times New Roman"/>
                <w:sz w:val="16"/>
                <w:szCs w:val="16"/>
                <w:color w:val="auto"/>
                <w:vertAlign w:val="superscript"/>
              </w:rPr>
              <w:t>(2)</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1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13,617</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fair value of strategic investments</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 impact of non-GAAP adjustments</w:t>
            </w:r>
          </w:p>
        </w:tc>
        <w:tc>
          <w:tcPr>
            <w:tcW w:w="1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(29,105)</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(37,379)</w:t>
            </w:r>
          </w:p>
        </w:tc>
      </w:tr>
      <w:tr>
        <w:trPr>
          <w:trHeight w:val="1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net income (loss)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(42,524)</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7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Tax provision (benefit) reconciliation:</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tax provision (benefit)</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(49,284)</w:t>
            </w:r>
          </w:p>
        </w:tc>
        <w:tc>
          <w:tcPr>
            <w:tcW w:w="80" w:type="dxa"/>
            <w:vAlign w:val="bottom"/>
          </w:tcPr>
          <w:p>
            <w:pPr>
              <w:spacing w:after="0"/>
              <w:rPr>
                <w:sz w:val="14"/>
                <w:szCs w:val="14"/>
                <w:color w:val="auto"/>
              </w:rPr>
            </w:pP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(37,774)</w:t>
            </w: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1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755"/>
        </w:trPr>
        <w:tc>
          <w:tcPr>
            <w:tcW w:w="7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37,826</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(20,979)</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w:t>
            </w:r>
          </w:p>
        </w:tc>
      </w:tr>
      <w:tr>
        <w:trPr>
          <w:trHeight w:val="170"/>
        </w:trPr>
        <w:tc>
          <w:tcPr>
            <w:tcW w:w="704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COVID-19 Canada Emergency Wage Subsidy benefit</w:t>
            </w:r>
            <w:r>
              <w:rPr>
                <w:rFonts w:ascii="Times New Roman" w:cs="Times New Roman" w:eastAsia="Times New Roman" w:hAnsi="Times New Roman"/>
                <w:sz w:val="16"/>
                <w:szCs w:val="16"/>
                <w:color w:val="auto"/>
                <w:vertAlign w:val="superscript"/>
              </w:rPr>
              <w:t>(1)</w:t>
            </w:r>
          </w:p>
        </w:tc>
        <w:tc>
          <w:tcPr>
            <w:tcW w:w="7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70"/>
        </w:trPr>
        <w:tc>
          <w:tcPr>
            <w:tcW w:w="704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Acquisition consideration holdback </w:t>
            </w:r>
            <w:r>
              <w:rPr>
                <w:rFonts w:ascii="Times New Roman" w:cs="Times New Roman" w:eastAsia="Times New Roman" w:hAnsi="Times New Roman"/>
                <w:sz w:val="16"/>
                <w:szCs w:val="16"/>
                <w:color w:val="auto"/>
                <w:vertAlign w:val="superscript"/>
              </w:rPr>
              <w:t>(2)</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fair value of strategic investments</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Tax impact of non-GAAP adjustments</w:t>
            </w: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(17,082)</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65,268</w:t>
            </w:r>
          </w:p>
        </w:tc>
      </w:tr>
      <w:tr>
        <w:trPr>
          <w:trHeight w:val="1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tax provision (benefit)</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20" w:type="dxa"/>
            <w:vAlign w:val="bottom"/>
          </w:tcPr>
          <w:p>
            <w:pPr>
              <w:spacing w:after="0"/>
              <w:rPr>
                <w:sz w:val="5"/>
                <w:szCs w:val="5"/>
                <w:color w:val="auto"/>
              </w:rPr>
            </w:pPr>
          </w:p>
        </w:tc>
      </w:tr>
      <w:tr>
        <w:trPr>
          <w:trHeight w:val="1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 reconciliation:</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78"/>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GAAP net income (loss) per share – diluted</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80" w:type="dxa"/>
            <w:vAlign w:val="bottom"/>
          </w:tcPr>
          <w:p>
            <w:pPr>
              <w:spacing w:after="0"/>
              <w:rPr>
                <w:sz w:val="15"/>
                <w:szCs w:val="15"/>
                <w:color w:val="auto"/>
              </w:rPr>
            </w:pP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(0.79)</w:t>
            </w:r>
          </w:p>
        </w:tc>
      </w:tr>
      <w:tr>
        <w:trPr>
          <w:trHeight w:val="17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adjustments:</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0.25</w:t>
            </w:r>
          </w:p>
        </w:tc>
      </w:tr>
      <w:tr>
        <w:trPr>
          <w:trHeight w:val="170"/>
        </w:trPr>
        <w:tc>
          <w:tcPr>
            <w:tcW w:w="704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COVID-19 Canada Emergency Wage Subsidy benefit</w:t>
            </w:r>
            <w:r>
              <w:rPr>
                <w:rFonts w:ascii="Times New Roman" w:cs="Times New Roman" w:eastAsia="Times New Roman" w:hAnsi="Times New Roman"/>
                <w:sz w:val="16"/>
                <w:szCs w:val="16"/>
                <w:color w:val="auto"/>
                <w:vertAlign w:val="superscript"/>
              </w:rPr>
              <w:t>(1)</w:t>
            </w:r>
          </w:p>
        </w:tc>
        <w:tc>
          <w:tcPr>
            <w:tcW w:w="7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r>
      <w:tr>
        <w:trPr>
          <w:trHeight w:val="170"/>
        </w:trPr>
        <w:tc>
          <w:tcPr>
            <w:tcW w:w="704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 xml:space="preserve">Acquisition consideration holdback </w:t>
            </w:r>
            <w:r>
              <w:rPr>
                <w:rFonts w:ascii="Times New Roman" w:cs="Times New Roman" w:eastAsia="Times New Roman" w:hAnsi="Times New Roman"/>
                <w:sz w:val="16"/>
                <w:szCs w:val="16"/>
                <w:color w:val="auto"/>
                <w:vertAlign w:val="superscript"/>
              </w:rPr>
              <w:t>(2)</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172"/>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fair value of strategic investments</w:t>
            </w:r>
          </w:p>
        </w:tc>
        <w:tc>
          <w:tcPr>
            <w:tcW w:w="7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impact of non-GAAP adjustments</w:t>
            </w:r>
          </w:p>
        </w:tc>
        <w:tc>
          <w:tcPr>
            <w:tcW w:w="7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(0.45)</w:t>
            </w:r>
          </w:p>
        </w:tc>
      </w:tr>
      <w:tr>
        <w:trPr>
          <w:trHeight w:val="17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Non-GAAP dilutive shares excluded from GAAP net income (loss) per share calculation</w:t>
            </w:r>
          </w:p>
        </w:tc>
        <w:tc>
          <w:tcPr>
            <w:tcW w:w="7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r>
      <w:tr>
        <w:trPr>
          <w:trHeight w:val="163"/>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net income (loss) per share – diluted</w:t>
            </w:r>
          </w:p>
        </w:tc>
        <w:tc>
          <w:tcPr>
            <w:tcW w:w="7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0.49</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9"/>
        </w:trPr>
        <w:tc>
          <w:tcPr>
            <w:tcW w:w="70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Shares used in computing Non-GAAP income (loss) per share amounts:</w:t>
            </w: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8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weighted average shares – diluted</w:t>
            </w:r>
          </w:p>
        </w:tc>
        <w:tc>
          <w:tcPr>
            <w:tcW w:w="7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83,569,517</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83,577,375</w:t>
            </w:r>
          </w:p>
        </w:tc>
      </w:tr>
      <w:tr>
        <w:trPr>
          <w:trHeight w:val="168"/>
        </w:trPr>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Non-GAAP dilutive shares excluded from GAAP income (loss) per share calculation</w:t>
            </w:r>
          </w:p>
        </w:tc>
        <w:tc>
          <w:tcPr>
            <w:tcW w:w="7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805,747</w:t>
            </w:r>
          </w:p>
        </w:tc>
      </w:tr>
      <w:tr>
        <w:trPr>
          <w:trHeight w:val="188"/>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 forma weighted average shares – diluted</w:t>
            </w: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83,569,517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84,383,122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firstLine="5"/>
        <w:spacing w:after="0" w:line="212" w:lineRule="auto"/>
        <w:tabs>
          <w:tab w:leader="none" w:pos="141"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Effective the second quarter of fiscal year 2021, the COVID-19 Canada Emergency Wage Subsidy benefit has been included as a non-GAAP adjustment. Prior to the second quarter of fiscal year 2021, this program was unavailable. Beginning with the first quarter of fiscal year 2022, we have not and do not expect to receive a subsidy under the COVID-19 Canada Emergency Wage Subsidy.</w:t>
      </w:r>
    </w:p>
    <w:p>
      <w:pPr>
        <w:ind w:firstLine="5"/>
        <w:spacing w:after="0" w:line="205" w:lineRule="auto"/>
        <w:tabs>
          <w:tab w:leader="none" w:pos="137"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Effective the first quarter of fiscal year 2022, acquisition consideration holdback that is earned and recognized as expense over a post-acquisition service period has been included as a non-GAAP adjustment. Prior to the first quarter of fiscal year 2022, there was no acquisition consideration holdback in any periods presented.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principal sources of liquidity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1"/>
                <w:szCs w:val="11"/>
                <w:b w:val="1"/>
                <w:bCs w:val="1"/>
                <w:color w:val="auto"/>
              </w:rPr>
              <w:t>July 31, 2021</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investments</w:t>
            </w:r>
          </w:p>
        </w:tc>
        <w:tc>
          <w:tcPr>
            <w:tcW w:w="142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1,163,675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1,346,591</w:t>
            </w:r>
          </w:p>
        </w:tc>
      </w:tr>
      <w:tr>
        <w:trPr>
          <w:trHeight w:val="184"/>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Working capital</w:t>
            </w:r>
          </w:p>
        </w:tc>
        <w:tc>
          <w:tcPr>
            <w:tcW w:w="1420" w:type="dxa"/>
            <w:vAlign w:val="bottom"/>
          </w:tcPr>
          <w:p>
            <w:pPr>
              <w:jc w:val="right"/>
              <w:ind w:right="125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915,185</w:t>
            </w:r>
          </w:p>
        </w:tc>
        <w:tc>
          <w:tcPr>
            <w:tcW w:w="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1,054,971</w:t>
            </w:r>
          </w:p>
        </w:tc>
      </w:tr>
    </w:tbl>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Investments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July 31, 2022, approximately $44.9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October 2020, our board of directors authorized and approved a share repurchase program of up to $200.0 million of our outstanding common stock. The share repurchase program was completed in the second quarter of fiscal year 2022. During the fiscal year ended July 31, 2022, we repurchased 322,545 shares of common stock at an average price of $116.11 per share for an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purchase price of $37.5 million. During the fiscal year ended July 31, 2021, we repurchased 1,488,991 shares of common stock at an average price of $109.17 per share for an aggregate purchase price of $162.5 million.</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the first fiscal quarter, which ends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0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summary of cash flows for the periods indicated has been derived from our consolidated financial statements included elsewhere in this Annual Report on Form 10-K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1300" w:type="dxa"/>
            <w:vAlign w:val="bottom"/>
            <w:tcBorders>
              <w:bottom w:val="single" w:sz="8" w:color="auto"/>
            </w:tcBorders>
          </w:tcPr>
          <w:p>
            <w:pPr>
              <w:spacing w:after="0"/>
              <w:rPr>
                <w:sz w:val="13"/>
                <w:szCs w:val="13"/>
                <w:color w:val="auto"/>
              </w:rPr>
            </w:pPr>
          </w:p>
        </w:tc>
      </w:tr>
      <w:tr>
        <w:trPr>
          <w:trHeight w:val="154"/>
        </w:trPr>
        <w:tc>
          <w:tcPr>
            <w:tcW w:w="70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32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(37,940)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111,587</w:t>
            </w:r>
          </w:p>
        </w:tc>
      </w:tr>
      <w:tr>
        <w:trPr>
          <w:trHeight w:val="180"/>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320" w:type="dxa"/>
            <w:vAlign w:val="bottom"/>
          </w:tcPr>
          <w:p>
            <w:pPr>
              <w:jc w:val="right"/>
              <w:ind w:right="115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312,212</w:t>
            </w:r>
          </w:p>
        </w:tc>
        <w:tc>
          <w:tcPr>
            <w:tcW w:w="80" w:type="dxa"/>
            <w:vAlign w:val="bottom"/>
          </w:tcPr>
          <w:p>
            <w:pPr>
              <w:spacing w:after="0"/>
              <w:rPr>
                <w:sz w:val="15"/>
                <w:szCs w:val="15"/>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64,191</w:t>
            </w:r>
          </w:p>
        </w:tc>
      </w:tr>
      <w:tr>
        <w:trPr>
          <w:trHeight w:val="180"/>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32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(37,335)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(159,387)</w:t>
            </w:r>
          </w:p>
        </w:tc>
      </w:tr>
    </w:tbl>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Net cash used in operating activities increased by $149.5 million in fiscal year 2022 as compared to fiscal year 2021. The increase in operating cash used was primarily attributable to a $110.9 million increase in net loss after excluding the impact of non-cash charges such as deferred taxes, stock-based compensation expense, depreciation and amortization expense, and other non-cash items along with an increase of $38.6 million in cash used by working capital activities. Changes in working capital include payments of $69.1 million related to our fiscal year 2021 corporate bonus and accrued vacation balances in countries in which we adopted a non-accrual vacation policy in the first quarter of fiscal year 2022, which was $47.8 million higher than the bonus payment during the same period a year ago. A portion of the fiscal year 2020 bonus, which would have been paid in the first quarter of fiscal year 2021, was accelerated due to the COVID-19 pandemic and paid in fiscal year 2020.</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Net cash provided by investing activities increased by $248.0 million in fiscal year 2022 as compared to fiscal year 2021. The increase in cash provided by investing activities was primarily due to decreased net purchases of available-for-sale securities of $293.9 million and lower capital expenditures and capitalized software development costs of $7.1 million. These were offset by $43.8 million paid as purchase consideration for the acquisition of HazardHub and a $9.2 million net increase in amounts paid for strategic investments.</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decreased by $122.1 million in fiscal year 2022 as compared to fiscal year 2021. The decrease in cash used was primarily because our authorized share repurchase program was completed in the second quarter of fiscal year 2022, which resulted in our repurchase of $123.9 million less of our common stock during fiscal year 2022 compared to the same period a year ago, and a decrease in proceeds from option exercises of $1.8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Contractual Obligations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estimated future obligations consist of leases, royalties, purchase obligations, debt, and taxes as of July 31, 2022. Refer to Note 9 “Commitments and Contingencies” and Note 11 “Income Taxes” to our consolidated financial statements included in this Annual Report on Form 10-K for more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Through July 31, 2022,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5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Interest Rate Sensitivity</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relates primarily to our cash, cash equivalents, and investments. Our cash, cash equivalents, and investments as of July 31, 2022 and 2021 were $1,163.7 million and $1,346.6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100 basis point increase in interest rates is estimated to result in a decrease of $3.6 million and $5.2 million in the market value of our available-for-sale securities as of July 31, 2022 and 2021, respectively. Any realized gains or losses resulting from such interest rate changes would only occur if we sold the investments prior to maturity.</w:t>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Risk</w:t>
      </w:r>
    </w:p>
    <w:p>
      <w:pPr>
        <w:spacing w:after="0" w:line="13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Our results of operations and cash flows are subject to fluctuations due to changes in foreign currency exchange rates, particularly changes in the Australian Dollar, British Pound, Canadian Dollar, Euro, Indian Rupee, and Polish Zloty,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periods ended July 31, 2022 and 2021, we recorded a foreign currency loss of $17.2 million and a foreign currency gain of $9.0 million, respectively, in other income (expense) in our consolidated statements of operations. We will continue to experience fluctuations in foreign currency exchange rates. If a hypothetical ten percent change in foreign exchange rates were to occur in the future, the resulting transaction gain or loss is estimated to be approximately $27.4 million. As our international operations grow, we will continue to assess our approach to managing our risk relating to fluctuations in currency rates.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w:t>
      </w:r>
      <w:r>
        <w:rPr>
          <w:rFonts w:ascii="Times New Roman" w:cs="Times New Roman" w:eastAsia="Times New Roman" w:hAnsi="Times New Roman"/>
          <w:sz w:val="14"/>
          <w:szCs w:val="14"/>
          <w:b w:val="1"/>
          <w:bCs w:val="1"/>
          <w:color w:val="auto"/>
        </w:rPr>
        <w:t>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do not have material exposure to market risk with respect to investments in financial instruments, as our investments primarily consist of high 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strategic investments in privately held securities are in various classes of equity and convertible debt. The particular securities we hold, and their rights and preferences relative to those of other securities within the capital structure, may impact the magnitude by which our investment value moves in relation to movements in the total enterprise value of the company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16"/>
        </w:trPr>
        <w:tc>
          <w:tcPr>
            <w:tcW w:w="10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20" w:type="dxa"/>
            <w:vAlign w:val="bottom"/>
          </w:tcPr>
          <w:p>
            <w:pPr>
              <w:spacing w:after="0"/>
              <w:rPr>
                <w:sz w:val="24"/>
                <w:szCs w:val="24"/>
                <w:color w:val="auto"/>
              </w:rPr>
            </w:pPr>
          </w:p>
        </w:tc>
        <w:tc>
          <w:tcPr>
            <w:tcW w:w="82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Supplemental Data</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4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9"/>
        </w:trPr>
        <w:tc>
          <w:tcPr>
            <w:tcW w:w="20" w:type="dxa"/>
            <w:vAlign w:val="bottom"/>
          </w:tcPr>
          <w:p>
            <w:pPr>
              <w:spacing w:after="0"/>
              <w:rPr>
                <w:sz w:val="24"/>
                <w:szCs w:val="24"/>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4"/>
                <w:szCs w:val="14"/>
                <w:color w:val="3051F2"/>
              </w:rPr>
              <w:t>Report of Independent Registered Public Accounting Firm (PCAOB ID: 185)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61</w:t>
            </w: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4380" w:type="dxa"/>
            <w:vAlign w:val="bottom"/>
            <w:tcBorders>
              <w:top w:val="single" w:sz="8" w:color="3051F2"/>
            </w:tcBorders>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4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top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63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shd w:val="clear" w:color="auto" w:fill="0033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7060" w:type="dxa"/>
            <w:vAlign w:val="bottom"/>
            <w:gridSpan w:val="6"/>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64</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(Loss)</w:t>
            </w:r>
          </w:p>
        </w:tc>
        <w:tc>
          <w:tcPr>
            <w:tcW w:w="594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65</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66</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6500" w:type="dxa"/>
            <w:vAlign w:val="bottom"/>
            <w:gridSpan w:val="3"/>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top w:val="single" w:sz="8" w:color="0033CC"/>
              <w:bottom w:val="single" w:sz="8" w:color="0033CC"/>
            </w:tcBorders>
          </w:tcPr>
          <w:p>
            <w:pPr>
              <w:jc w:val="right"/>
              <w:spacing w:after="0"/>
              <w:rPr>
                <w:sz w:val="20"/>
                <w:szCs w:val="20"/>
                <w:color w:val="auto"/>
              </w:rPr>
            </w:pPr>
            <w:r>
              <w:rPr>
                <w:rFonts w:ascii="Times New Roman" w:cs="Times New Roman" w:eastAsia="Times New Roman" w:hAnsi="Times New Roman"/>
                <w:sz w:val="14"/>
                <w:szCs w:val="14"/>
                <w:color w:val="0033CC"/>
                <w:w w:val="85"/>
              </w:rPr>
              <w:t>67</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33CC"/>
              </w:rPr>
              <w:t>68</w:t>
            </w:r>
          </w:p>
        </w:tc>
        <w:tc>
          <w:tcPr>
            <w:tcW w:w="20" w:type="dxa"/>
            <w:vAlign w:val="bottom"/>
          </w:tcPr>
          <w:p>
            <w:pPr>
              <w:spacing w:after="0"/>
              <w:rPr>
                <w:sz w:val="13"/>
                <w:szCs w:val="13"/>
                <w:color w:val="auto"/>
              </w:rPr>
            </w:pPr>
          </w:p>
        </w:tc>
      </w:tr>
      <w:tr>
        <w:trPr>
          <w:trHeight w:val="1339"/>
        </w:trPr>
        <w:tc>
          <w:tcPr>
            <w:tcW w:w="2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top w:val="single" w:sz="8" w:color="0033CC"/>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Guidewire Software,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Guidewire Software, Inc. and subsidiaries (the Company) as of July 31, 2022 and 2021, the related consolidated statements of operations, comprehensive income (loss), stockholders’ equity, and cash flows for each of the years in the three-year period ended July 31, 2022, and the related notes (collectively, the consolidated financial statements). We also have audited the Company’s internal control over financial reporting as of July 31, 2022,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July 31, 2022 and 2021, and the results of its operations and its cash flows for each of the years in the three-year period ended July 31, 2022, in conformity with U.S. generally accepted accounting principles. Also in our opinion, the Company maintained, in all material respects, effective internal control over financial reporting as of July 31, 2022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Evaluation of revenue related to software licensing arrangements and subscriptions to cloud services with non-standard terms</w:t>
      </w:r>
    </w:p>
    <w:p>
      <w:pPr>
        <w:spacing w:after="0" w:line="85"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As discussed in Notes 1 and 2 to the consolidated financial statements, revenue was derived principally from software licensing arrangements, subscriptions to cloud services, and implementation and other professional services. The Company recognized total revenue of $812.6 million for the year ended July 31, 2022. The Company’s software licensing arrangements generally have a two-year initial term and subscriptions to cloud services generally have a three- to five-year term, with a customer option to renew on an annual basis after the initial term. Consideration for software licensing arrangements and subscriptions to cloud services is typically billed in advance on an annual basis over the term.</w:t>
      </w:r>
    </w:p>
    <w:p>
      <w:pPr>
        <w:spacing w:after="0" w:line="109" w:lineRule="exact"/>
        <w:rPr>
          <w:sz w:val="20"/>
          <w:szCs w:val="20"/>
          <w:color w:val="auto"/>
        </w:rPr>
      </w:pPr>
    </w:p>
    <w:p>
      <w:pPr>
        <w:jc w:val="both"/>
        <w:ind w:left="260"/>
        <w:spacing w:after="0" w:line="264" w:lineRule="auto"/>
        <w:rPr>
          <w:sz w:val="20"/>
          <w:szCs w:val="20"/>
          <w:color w:val="auto"/>
        </w:rPr>
      </w:pPr>
      <w:r>
        <w:rPr>
          <w:rFonts w:ascii="Times New Roman" w:cs="Times New Roman" w:eastAsia="Times New Roman" w:hAnsi="Times New Roman"/>
          <w:sz w:val="14"/>
          <w:szCs w:val="14"/>
          <w:color w:val="auto"/>
        </w:rPr>
        <w:t>We identified the evaluation of revenue from software licensing arrangements and subscriptions to cloud services with non-standard terms and conditions as a critical audit matter. Significant auditor judgment was required to evaluate the Company’s assessment of the impact on revenue recognition of non-standard terms and conditions, including, the identification and evaluation of the accounting impact of contract modifications related to software licensing term extensions, and arrangements that provide a customer with the ability to transition from a software licensing arrangement to a subscription to cloud services during the contractual term.</w:t>
      </w:r>
    </w:p>
    <w:p>
      <w:pPr>
        <w:spacing w:after="0" w:line="45"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an internal control related to the critical audit matter. This control is related to the identification and evaluation of software licensing arrangements and subscriptions to cloud services with non-standard terms and conditions. We tested certain software licensing arrangements and subscriptions to cloud services by reading the underlying customer agreements and evaluating the Company’s assessment of the contractual terms and conditions in accordance with revenue recognition requirements. Specifically, this included an evaluation of the Company’s identification and assessment of non-standard terms and conditions that could give rise to special accounting consideration.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1158875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0"/>
        </w:trPr>
        <w:tc>
          <w:tcPr>
            <w:tcW w:w="1000" w:type="dxa"/>
            <w:vAlign w:val="bottom"/>
            <w:tcBorders>
              <w:top w:val="single" w:sz="8" w:color="0000FF"/>
            </w:tcBorders>
          </w:tcPr>
          <w:p>
            <w:pPr>
              <w:spacing w:after="0"/>
              <w:rPr>
                <w:sz w:val="24"/>
                <w:szCs w:val="24"/>
                <w:color w:val="auto"/>
              </w:rPr>
            </w:pPr>
          </w:p>
        </w:tc>
        <w:tc>
          <w:tcPr>
            <w:tcW w:w="7420" w:type="dxa"/>
            <w:vAlign w:val="bottom"/>
            <w:gridSpan w:val="2"/>
          </w:tcPr>
          <w:p>
            <w:pPr>
              <w:jc w:val="center"/>
              <w:ind w:left="1809"/>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6040" w:type="dxa"/>
            <w:vAlign w:val="bottom"/>
          </w:tcPr>
          <w:p>
            <w:pPr>
              <w:jc w:val="center"/>
              <w:ind w:left="316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6040" w:type="dxa"/>
            <w:vAlign w:val="bottom"/>
          </w:tcPr>
          <w:p>
            <w:pPr>
              <w:jc w:val="center"/>
              <w:ind w:left="3169"/>
              <w:spacing w:after="0"/>
              <w:rPr>
                <w:sz w:val="20"/>
                <w:szCs w:val="20"/>
                <w:color w:val="auto"/>
              </w:rPr>
            </w:pPr>
            <w:r>
              <w:rPr>
                <w:rFonts w:ascii="Times New Roman" w:cs="Times New Roman" w:eastAsia="Times New Roman" w:hAnsi="Times New Roman"/>
                <w:sz w:val="14"/>
                <w:szCs w:val="14"/>
                <w:b w:val="1"/>
                <w:bCs w:val="1"/>
                <w:color w:val="auto"/>
              </w:rPr>
              <w:t>(in thousands, except for share data)</w:t>
            </w: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0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88"/>
        </w:trPr>
        <w:tc>
          <w:tcPr>
            <w:tcW w:w="1000" w:type="dxa"/>
            <w:vAlign w:val="bottom"/>
            <w:tcBorders>
              <w:bottom w:val="single" w:sz="8" w:color="CCEEFF"/>
            </w:tcBorders>
          </w:tcPr>
          <w:p>
            <w:pPr>
              <w:spacing w:after="0"/>
              <w:rPr>
                <w:sz w:val="16"/>
                <w:szCs w:val="16"/>
                <w:color w:val="auto"/>
              </w:rPr>
            </w:pPr>
          </w:p>
        </w:tc>
        <w:tc>
          <w:tcPr>
            <w:tcW w:w="60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3"/>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8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606,303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384,910</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Short-term investments</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369,865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734,517</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 net of allowances of $359 and $1,057, respectively</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143,797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104,068</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Unbilled accounts receivable, net</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79,061</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52,729</w:t>
            </w:r>
          </w:p>
        </w:tc>
        <w:tc>
          <w:tcPr>
            <w:tcW w:w="0" w:type="dxa"/>
            <w:vAlign w:val="bottom"/>
          </w:tcPr>
          <w:p>
            <w:pPr>
              <w:spacing w:after="0"/>
              <w:rPr>
                <w:sz w:val="1"/>
                <w:szCs w:val="1"/>
                <w:color w:val="auto"/>
              </w:rPr>
            </w:pPr>
          </w:p>
        </w:tc>
      </w:tr>
      <w:tr>
        <w:trPr>
          <w:trHeight w:val="171"/>
        </w:trPr>
        <w:tc>
          <w:tcPr>
            <w:tcW w:w="7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Total current assets</w:t>
            </w:r>
          </w:p>
        </w:tc>
        <w:tc>
          <w:tcPr>
            <w:tcW w:w="1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1,252,703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1,355,285</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187,507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227,164</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Unbilled accounts receivable, net</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80,061</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90,287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97,447</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19,743</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372,192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340,877</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net</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138,428</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56,732</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38,479</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138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2,266,897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2,321,845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040" w:type="dxa"/>
            <w:vAlign w:val="bottom"/>
            <w:gridSpan w:val="2"/>
            <w:vMerge w:val="continue"/>
          </w:tcPr>
          <w:p>
            <w:pPr>
              <w:spacing w:after="0"/>
              <w:rPr>
                <w:sz w:val="10"/>
                <w:szCs w:val="10"/>
                <w:color w:val="auto"/>
              </w:rPr>
            </w:pPr>
          </w:p>
        </w:tc>
        <w:tc>
          <w:tcPr>
            <w:tcW w:w="1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38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40,440</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27,830</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employee compensation</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102,137</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revenue, net</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170,776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138,699</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35,340</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31,648</w:t>
            </w:r>
          </w:p>
        </w:tc>
        <w:tc>
          <w:tcPr>
            <w:tcW w:w="0" w:type="dxa"/>
            <w:vAlign w:val="bottom"/>
          </w:tcPr>
          <w:p>
            <w:pPr>
              <w:spacing w:after="0"/>
              <w:rPr>
                <w:sz w:val="1"/>
                <w:szCs w:val="1"/>
                <w:color w:val="auto"/>
              </w:rPr>
            </w:pPr>
          </w:p>
        </w:tc>
      </w:tr>
      <w:tr>
        <w:trPr>
          <w:trHeight w:val="171"/>
        </w:trPr>
        <w:tc>
          <w:tcPr>
            <w:tcW w:w="70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337,518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300,314</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115,374</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358,216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343,825</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net</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0" w:type="dxa"/>
            <w:vAlign w:val="bottom"/>
          </w:tcPr>
          <w:p>
            <w:pPr>
              <w:spacing w:after="0"/>
              <w:rPr>
                <w:sz w:val="1"/>
                <w:szCs w:val="1"/>
                <w:color w:val="auto"/>
              </w:rPr>
            </w:pPr>
          </w:p>
        </w:tc>
      </w:tr>
      <w:tr>
        <w:trPr>
          <w:trHeight w:val="171"/>
        </w:trPr>
        <w:tc>
          <w:tcPr>
            <w:tcW w:w="70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liabilities</w:t>
            </w:r>
          </w:p>
        </w:tc>
        <w:tc>
          <w:tcPr>
            <w:tcW w:w="1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815,240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776,951</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040" w:type="dxa"/>
            <w:vAlign w:val="bottom"/>
            <w:gridSpan w:val="2"/>
          </w:tcPr>
          <w:p>
            <w:pPr>
              <w:ind w:left="280"/>
              <w:spacing w:after="0" w:line="138" w:lineRule="exact"/>
              <w:rPr>
                <w:sz w:val="20"/>
                <w:szCs w:val="20"/>
                <w:color w:val="auto"/>
              </w:rPr>
            </w:pPr>
            <w:r>
              <w:rPr>
                <w:rFonts w:ascii="Times New Roman" w:cs="Times New Roman" w:eastAsia="Times New Roman" w:hAnsi="Times New Roman"/>
                <w:sz w:val="14"/>
                <w:szCs w:val="14"/>
                <w:color w:val="auto"/>
              </w:rPr>
              <w:t>Common stock, par value $0.0001 per share—500,000,000 shares authorized as of July 31, 2022 and 2021; 84,084,209</w:t>
            </w:r>
          </w:p>
        </w:tc>
        <w:tc>
          <w:tcPr>
            <w:tcW w:w="1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 83,194,157 shares issued and outstanding as of July 31, 2022 and 2021, respectively</w:t>
            </w: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1"/>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3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1,755,476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1,617,204</w:t>
            </w:r>
          </w:p>
        </w:tc>
        <w:tc>
          <w:tcPr>
            <w:tcW w:w="0" w:type="dxa"/>
            <w:vAlign w:val="bottom"/>
          </w:tcPr>
          <w:p>
            <w:pPr>
              <w:spacing w:after="0"/>
              <w:rPr>
                <w:sz w:val="1"/>
                <w:szCs w:val="1"/>
                <w:color w:val="auto"/>
              </w:rPr>
            </w:pPr>
          </w:p>
        </w:tc>
      </w:tr>
      <w:tr>
        <w:trPr>
          <w:trHeight w:val="180"/>
        </w:trPr>
        <w:tc>
          <w:tcPr>
            <w:tcW w:w="7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0" w:type="dxa"/>
            <w:vAlign w:val="bottom"/>
          </w:tcPr>
          <w:p>
            <w:pPr>
              <w:spacing w:after="0"/>
              <w:rPr>
                <w:sz w:val="1"/>
                <w:szCs w:val="1"/>
                <w:color w:val="auto"/>
              </w:rPr>
            </w:pPr>
          </w:p>
        </w:tc>
      </w:tr>
      <w:tr>
        <w:trPr>
          <w:trHeight w:val="180"/>
        </w:trPr>
        <w:tc>
          <w:tcPr>
            <w:tcW w:w="7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3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(283,982)</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(66,100)</w:t>
            </w: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1,451,657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1,544,894</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380" w:type="dxa"/>
            <w:vAlign w:val="bottom"/>
            <w:tcBorders>
              <w:bottom w:val="single" w:sz="8" w:color="auto"/>
            </w:tcBorders>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2,266,897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2,321,845</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562610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Fiscal years ended July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6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Subscription and support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343,708</w:t>
            </w:r>
          </w:p>
        </w:tc>
        <w:tc>
          <w:tcPr>
            <w:tcW w:w="60" w:type="dxa"/>
            <w:vAlign w:val="bottom"/>
          </w:tcPr>
          <w:p>
            <w:pPr>
              <w:spacing w:after="0"/>
              <w:rPr>
                <w:sz w:val="15"/>
                <w:szCs w:val="15"/>
                <w:color w:val="auto"/>
              </w:rPr>
            </w:pPr>
          </w:p>
        </w:tc>
        <w:tc>
          <w:tcPr>
            <w:tcW w:w="38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252,358</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203,473</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License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258,631</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303,792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331,554</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210,275</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187,117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207,280</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812,614</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743,267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742,307</w:t>
            </w:r>
          </w:p>
        </w:tc>
        <w:tc>
          <w:tcPr>
            <w:tcW w:w="0" w:type="dxa"/>
            <w:vAlign w:val="bottom"/>
          </w:tcPr>
          <w:p>
            <w:pPr>
              <w:spacing w:after="0"/>
              <w:rPr>
                <w:sz w:val="1"/>
                <w:szCs w:val="1"/>
                <w:color w:val="auto"/>
              </w:rPr>
            </w:pPr>
          </w:p>
        </w:tc>
      </w:tr>
      <w:tr>
        <w:trPr>
          <w:trHeight w:val="16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Subscription and support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213,275</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117,158</w:t>
            </w:r>
          </w:p>
        </w:tc>
        <w:tc>
          <w:tcPr>
            <w:tcW w:w="0" w:type="dxa"/>
            <w:vAlign w:val="bottom"/>
          </w:tcPr>
          <w:p>
            <w:pPr>
              <w:spacing w:after="0"/>
              <w:rPr>
                <w:sz w:val="1"/>
                <w:szCs w:val="1"/>
                <w:color w:val="auto"/>
              </w:rPr>
            </w:pPr>
          </w:p>
        </w:tc>
      </w:tr>
      <w:tr>
        <w:trPr>
          <w:trHeight w:val="180"/>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238,365</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199,502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209,291</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cost of revenue</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460,394</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375,054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338,015</w:t>
            </w:r>
          </w:p>
        </w:tc>
        <w:tc>
          <w:tcPr>
            <w:tcW w:w="0" w:type="dxa"/>
            <w:vAlign w:val="bottom"/>
          </w:tcPr>
          <w:p>
            <w:pPr>
              <w:spacing w:after="0"/>
              <w:rPr>
                <w:sz w:val="1"/>
                <w:szCs w:val="1"/>
                <w:color w:val="auto"/>
              </w:rPr>
            </w:pPr>
          </w:p>
        </w:tc>
      </w:tr>
      <w:tr>
        <w:trPr>
          <w:trHeight w:val="1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Subscription and support</w:t>
            </w:r>
          </w:p>
        </w:tc>
        <w:tc>
          <w:tcPr>
            <w:tcW w:w="360" w:type="dxa"/>
            <w:vAlign w:val="bottom"/>
          </w:tcPr>
          <w:p>
            <w:pPr>
              <w:spacing w:after="0"/>
              <w:rPr>
                <w:sz w:val="15"/>
                <w:szCs w:val="15"/>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130,433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86,315</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License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249,877</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293,223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319,988</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(28,090)</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gross profit</w:t>
            </w: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352,220</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368,213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404,292</w:t>
            </w:r>
          </w:p>
        </w:tc>
        <w:tc>
          <w:tcPr>
            <w:tcW w:w="0" w:type="dxa"/>
            <w:vAlign w:val="bottom"/>
          </w:tcPr>
          <w:p>
            <w:pPr>
              <w:spacing w:after="0"/>
              <w:rPr>
                <w:sz w:val="1"/>
                <w:szCs w:val="1"/>
                <w:color w:val="auto"/>
              </w:rPr>
            </w:pPr>
          </w:p>
        </w:tc>
      </w:tr>
      <w:tr>
        <w:trPr>
          <w:trHeight w:val="16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249,665</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219,494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200,575</w:t>
            </w:r>
          </w:p>
        </w:tc>
        <w:tc>
          <w:tcPr>
            <w:tcW w:w="0" w:type="dxa"/>
            <w:vAlign w:val="bottom"/>
          </w:tcPr>
          <w:p>
            <w:pPr>
              <w:spacing w:after="0"/>
              <w:rPr>
                <w:sz w:val="1"/>
                <w:szCs w:val="1"/>
                <w:color w:val="auto"/>
              </w:rPr>
            </w:pPr>
          </w:p>
        </w:tc>
      </w:tr>
      <w:tr>
        <w:trPr>
          <w:trHeight w:val="180"/>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360" w:type="dxa"/>
            <w:vAlign w:val="bottom"/>
          </w:tcPr>
          <w:p>
            <w:pPr>
              <w:spacing w:after="0"/>
              <w:rPr>
                <w:sz w:val="15"/>
                <w:szCs w:val="15"/>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194,611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142,420</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107,391</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85,183</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551,667</w:t>
            </w: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473,797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428,178</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(199,447)</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(23,886)</w:t>
            </w:r>
          </w:p>
        </w:tc>
        <w:tc>
          <w:tcPr>
            <w:tcW w:w="0" w:type="dxa"/>
            <w:vAlign w:val="bottom"/>
          </w:tcPr>
          <w:p>
            <w:pPr>
              <w:spacing w:after="0"/>
              <w:rPr>
                <w:sz w:val="1"/>
                <w:szCs w:val="1"/>
                <w:color w:val="auto"/>
              </w:rPr>
            </w:pPr>
          </w:p>
        </w:tc>
      </w:tr>
      <w:tr>
        <w:trPr>
          <w:trHeight w:val="180"/>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6,277</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24,705</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(19,446)</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(17,099)</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(7,205)</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(benefit from) income taxes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(229,715)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(49,284)</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(37,774)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(180,431)</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46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shd w:val="clear" w:color="auto" w:fill="CCEEFF"/>
          </w:tcPr>
          <w:p>
            <w:pPr>
              <w:jc w:val="right"/>
              <w:ind w:right="20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(2.16)</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11"/>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Shares used in computing net income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46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Basic and diluted</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83,569,517</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83,577,375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82,855,392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562610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Fiscal years ended July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(180,431)</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r>
      <w:tr>
        <w:trPr>
          <w:trHeight w:val="180"/>
        </w:trPr>
        <w:tc>
          <w:tcPr>
            <w:tcW w:w="6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gains (losses) on available-for-sale securities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w:t>
            </w:r>
          </w:p>
        </w:tc>
      </w:tr>
      <w:tr>
        <w:trPr>
          <w:trHeight w:val="180"/>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 benefit (expense) on unrealized gains (losses) on available-for-sale securities</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80"/>
        </w:trPr>
        <w:tc>
          <w:tcPr>
            <w:tcW w:w="6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Reclassification adjustment for realized gains (losses) included in net income (loss)</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r>
      <w:tr>
        <w:trPr>
          <w:trHeight w:val="171"/>
        </w:trPr>
        <w:tc>
          <w:tcPr>
            <w:tcW w:w="64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9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r>
      <w:tr>
        <w:trPr>
          <w:trHeight w:val="171"/>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(194,058)</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(67,479)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(24,579)</w:t>
            </w:r>
          </w:p>
        </w:tc>
      </w:tr>
      <w:tr>
        <w:trPr>
          <w:trHeight w:val="20"/>
        </w:trPr>
        <w:tc>
          <w:tcPr>
            <w:tcW w:w="6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562610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GUIDEWIRE SOFTWARE, INC.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STATEMENTS OF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for share data)</w:t>
      </w:r>
    </w:p>
    <w:p>
      <w:pPr>
        <w:spacing w:after="0" w:line="85" w:lineRule="exact"/>
        <w:rPr>
          <w:sz w:val="20"/>
          <w:szCs w:val="20"/>
          <w:color w:val="auto"/>
        </w:rPr>
      </w:pPr>
    </w:p>
    <w:tbl>
      <w:tblPr>
        <w:tblLayout w:type="fixed"/>
        <w:tblInd w:w="460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120" w:type="dxa"/>
            <w:vAlign w:val="bottom"/>
            <w:vMerge w:val="restart"/>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100" w:type="dxa"/>
            <w:vAlign w:val="bottom"/>
          </w:tcPr>
          <w:p>
            <w:pPr>
              <w:jc w:val="center"/>
              <w:ind w:left="54"/>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280" w:type="dxa"/>
            <w:vAlign w:val="bottom"/>
          </w:tcPr>
          <w:p>
            <w:pPr>
              <w:spacing w:after="0"/>
              <w:rPr>
                <w:sz w:val="10"/>
                <w:szCs w:val="10"/>
                <w:color w:val="auto"/>
              </w:rPr>
            </w:pPr>
          </w:p>
        </w:tc>
        <w:tc>
          <w:tcPr>
            <w:tcW w:w="760" w:type="dxa"/>
            <w:vAlign w:val="bottom"/>
            <w:vMerge w:val="restart"/>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77"/>
        </w:trPr>
        <w:tc>
          <w:tcPr>
            <w:tcW w:w="7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00" w:type="dxa"/>
            <w:vAlign w:val="bottom"/>
          </w:tcPr>
          <w:p>
            <w:pPr>
              <w:jc w:val="center"/>
              <w:ind w:left="74"/>
              <w:spacing w:after="0" w:line="77" w:lineRule="exact"/>
              <w:rPr>
                <w:sz w:val="20"/>
                <w:szCs w:val="20"/>
                <w:color w:val="auto"/>
              </w:rPr>
            </w:pPr>
            <w:r>
              <w:rPr>
                <w:rFonts w:ascii="Times New Roman" w:cs="Times New Roman" w:eastAsia="Times New Roman" w:hAnsi="Times New Roman"/>
                <w:sz w:val="7"/>
                <w:szCs w:val="7"/>
                <w:b w:val="1"/>
                <w:bCs w:val="1"/>
                <w:color w:val="auto"/>
              </w:rPr>
              <w:t>other</w:t>
            </w:r>
          </w:p>
        </w:tc>
        <w:tc>
          <w:tcPr>
            <w:tcW w:w="1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60" w:type="dxa"/>
            <w:vAlign w:val="bottom"/>
            <w:vMerge w:val="restart"/>
          </w:tcPr>
          <w:p>
            <w:pPr>
              <w:ind w:left="76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120" w:type="dxa"/>
            <w:vAlign w:val="bottom"/>
          </w:tcPr>
          <w:p>
            <w:pPr>
              <w:jc w:val="center"/>
              <w:ind w:left="51"/>
              <w:spacing w:after="0" w:line="99" w:lineRule="exact"/>
              <w:rPr>
                <w:sz w:val="20"/>
                <w:szCs w:val="20"/>
                <w:color w:val="auto"/>
              </w:rPr>
            </w:pPr>
            <w:r>
              <w:rPr>
                <w:rFonts w:ascii="Times New Roman" w:cs="Times New Roman" w:eastAsia="Times New Roman" w:hAnsi="Times New Roman"/>
                <w:sz w:val="10"/>
                <w:szCs w:val="10"/>
                <w:b w:val="1"/>
                <w:bCs w:val="1"/>
                <w:color w:val="auto"/>
                <w:w w:val="97"/>
              </w:rPr>
              <w:t>paid-in</w:t>
            </w:r>
          </w:p>
        </w:tc>
        <w:tc>
          <w:tcPr>
            <w:tcW w:w="1100" w:type="dxa"/>
            <w:vAlign w:val="bottom"/>
          </w:tcPr>
          <w:p>
            <w:pPr>
              <w:jc w:val="center"/>
              <w:ind w:left="74"/>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Retained earnings</w:t>
            </w:r>
          </w:p>
        </w:tc>
        <w:tc>
          <w:tcPr>
            <w:tcW w:w="760" w:type="dxa"/>
            <w:vAlign w:val="bottom"/>
          </w:tcPr>
          <w:p>
            <w:pPr>
              <w:jc w:val="center"/>
              <w:ind w:left="151"/>
              <w:spacing w:after="0" w:line="99" w:lineRule="exact"/>
              <w:rPr>
                <w:sz w:val="20"/>
                <w:szCs w:val="20"/>
                <w:color w:val="auto"/>
              </w:rPr>
            </w:pPr>
            <w:r>
              <w:rPr>
                <w:rFonts w:ascii="Times New Roman" w:cs="Times New Roman" w:eastAsia="Times New Roman" w:hAnsi="Times New Roman"/>
                <w:sz w:val="10"/>
                <w:szCs w:val="10"/>
                <w:b w:val="1"/>
                <w:bCs w:val="1"/>
                <w:color w:val="auto"/>
                <w:w w:val="97"/>
              </w:rPr>
              <w:t>stockholders’</w:t>
            </w: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120" w:type="dxa"/>
            <w:vAlign w:val="bottom"/>
          </w:tcPr>
          <w:p>
            <w:pPr>
              <w:jc w:val="center"/>
              <w:ind w:left="31"/>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1100" w:type="dxa"/>
            <w:vAlign w:val="bottom"/>
          </w:tcPr>
          <w:p>
            <w:pPr>
              <w:jc w:val="center"/>
              <w:ind w:left="74"/>
              <w:spacing w:after="0"/>
              <w:rPr>
                <w:sz w:val="20"/>
                <w:szCs w:val="20"/>
                <w:color w:val="auto"/>
              </w:rPr>
            </w:pPr>
            <w:r>
              <w:rPr>
                <w:rFonts w:ascii="Times New Roman" w:cs="Times New Roman" w:eastAsia="Times New Roman" w:hAnsi="Times New Roman"/>
                <w:sz w:val="10"/>
                <w:szCs w:val="10"/>
                <w:b w:val="1"/>
                <w:bCs w:val="1"/>
                <w:color w:val="auto"/>
                <w:w w:val="97"/>
              </w:rPr>
              <w:t>income (loss)</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(accumulated deficit)</w:t>
            </w:r>
          </w:p>
        </w:tc>
        <w:tc>
          <w:tcPr>
            <w:tcW w:w="760" w:type="dxa"/>
            <w:vAlign w:val="bottom"/>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tbl>
      <w:tblPr>
        <w:tblLayout w:type="fixed"/>
        <w:tblInd w:w="20" w:type="dxa"/>
        <w:tblCellMar>
          <w:top w:w="0" w:type="dxa"/>
          <w:left w:w="0" w:type="dxa"/>
          <w:bottom w:w="0" w:type="dxa"/>
          <w:right w:w="0" w:type="dxa"/>
        </w:tblCellMar>
      </w:tblPr>
      <w:tr>
        <w:trPr>
          <w:trHeight w:val="149"/>
        </w:trPr>
        <w:tc>
          <w:tcPr>
            <w:tcW w:w="4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July 31, 2019</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82,140,883</w:t>
            </w:r>
          </w:p>
        </w:tc>
        <w:tc>
          <w:tcPr>
            <w:tcW w:w="0" w:type="dxa"/>
            <w:vAlign w:val="bottom"/>
          </w:tcPr>
          <w:p>
            <w:pPr>
              <w:spacing w:after="0"/>
              <w:rPr>
                <w:sz w:val="1"/>
                <w:szCs w:val="1"/>
                <w:color w:val="auto"/>
              </w:rPr>
            </w:pPr>
          </w:p>
        </w:tc>
      </w:tr>
      <w:tr>
        <w:trPr>
          <w:trHeight w:val="14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132,573</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1,188,469</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(loss) on available-for-sale securities, net of tax</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Reclassification adjustment for realized gain (loss) on available-for-sale securities, included in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Adoption of FASB Accounting Standards Update (“ASU”) 2018-02</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-762000</wp:posOffset>
            </wp:positionV>
            <wp:extent cx="7161530" cy="100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7161530" cy="1009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-357505</wp:posOffset>
            </wp:positionV>
            <wp:extent cx="7161530" cy="1009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009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58"/>
        </w:trPr>
        <w:tc>
          <w:tcPr>
            <w:tcW w:w="4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July 31, 2020</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83,461,925</w:t>
            </w:r>
          </w:p>
        </w:tc>
        <w:tc>
          <w:tcPr>
            <w:tcW w:w="0" w:type="dxa"/>
            <w:vAlign w:val="bottom"/>
          </w:tcPr>
          <w:p>
            <w:pPr>
              <w:spacing w:after="0"/>
              <w:rPr>
                <w:sz w:val="1"/>
                <w:szCs w:val="1"/>
                <w:color w:val="auto"/>
              </w:rPr>
            </w:pPr>
          </w:p>
        </w:tc>
      </w:tr>
      <w:tr>
        <w:trPr>
          <w:trHeight w:val="150"/>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53,932</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1,167,291</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 and retirement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(1,488,991)</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(loss) on available-for-sale securities, net of tax</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Reclassification adjustment for realized gain (loss) on available-for-sale securities, included in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July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83,194,157</w:t>
            </w:r>
          </w:p>
        </w:tc>
        <w:tc>
          <w:tcPr>
            <w:tcW w:w="0" w:type="dxa"/>
            <w:vAlign w:val="bottom"/>
          </w:tcPr>
          <w:p>
            <w:pPr>
              <w:spacing w:after="0"/>
              <w:rPr>
                <w:sz w:val="1"/>
                <w:szCs w:val="1"/>
                <w:color w:val="auto"/>
              </w:rPr>
            </w:pPr>
          </w:p>
        </w:tc>
      </w:tr>
      <w:tr>
        <w:trPr>
          <w:trHeight w:val="150"/>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10,472</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1,202,125</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 and retirement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(322,545)</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(loss) on available-for-sale securities, net of tax</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9"/>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Reclassification adjustment for realized gain (loss) on available-for-sale securities, included in</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5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as of July 31,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84,084,209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-1993900</wp:posOffset>
            </wp:positionV>
            <wp:extent cx="7161530" cy="1009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-1791335</wp:posOffset>
            </wp:positionV>
            <wp:extent cx="7161530" cy="1009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-1589405</wp:posOffset>
            </wp:positionV>
            <wp:extent cx="7161530" cy="1009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-1387475</wp:posOffset>
            </wp:positionV>
            <wp:extent cx="7161530" cy="1009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-1117600</wp:posOffset>
            </wp:positionV>
            <wp:extent cx="7161530" cy="1079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-908685</wp:posOffset>
            </wp:positionV>
            <wp:extent cx="7161530" cy="100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-706755</wp:posOffset>
            </wp:positionV>
            <wp:extent cx="7161530" cy="10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-504825</wp:posOffset>
            </wp:positionV>
            <wp:extent cx="7161530" cy="1009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-302260</wp:posOffset>
            </wp:positionV>
            <wp:extent cx="7161530" cy="168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1,391,904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(7,758)</w:t>
            </w: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190,047</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1,574,201</w:t>
            </w:r>
          </w:p>
        </w:tc>
      </w:tr>
      <w:tr>
        <w:trPr>
          <w:trHeight w:val="149"/>
        </w:trPr>
        <w:tc>
          <w:tcPr>
            <w:tcW w:w="4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(27,198)</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4,955</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102,191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102,191</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w:t>
            </w:r>
          </w:p>
        </w:tc>
      </w:tr>
      <w:tr>
        <w:trPr>
          <w:trHeight w:val="265"/>
        </w:trPr>
        <w:tc>
          <w:tcPr>
            <w:tcW w:w="480" w:type="dxa"/>
            <w:vAlign w:val="bottom"/>
          </w:tcPr>
          <w:p>
            <w:pPr>
              <w:spacing w:after="0"/>
              <w:rPr>
                <w:sz w:val="23"/>
                <w:szCs w:val="2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r>
      <w:tr>
        <w:trPr>
          <w:trHeight w:val="169"/>
        </w:trPr>
        <w:tc>
          <w:tcPr>
            <w:tcW w:w="4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48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1,499,050</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(5,246)</w:t>
            </w: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162,956</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1,656,768</w:t>
            </w:r>
          </w:p>
        </w:tc>
      </w:tr>
      <w:tr>
        <w:trPr>
          <w:trHeight w:val="150"/>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(66,507)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(66,507)</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116,222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116,222</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(162,549)</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r>
      <w:tr>
        <w:trPr>
          <w:trHeight w:val="275"/>
        </w:trPr>
        <w:tc>
          <w:tcPr>
            <w:tcW w:w="480" w:type="dxa"/>
            <w:vAlign w:val="bottom"/>
          </w:tcPr>
          <w:p>
            <w:pPr>
              <w:spacing w:after="0"/>
              <w:rPr>
                <w:sz w:val="23"/>
                <w:szCs w:val="2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1,123</w:t>
            </w:r>
          </w:p>
        </w:tc>
      </w:tr>
      <w:tr>
        <w:trPr>
          <w:trHeight w:val="149"/>
        </w:trPr>
        <w:tc>
          <w:tcPr>
            <w:tcW w:w="48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1,617,204</w:t>
            </w:r>
          </w:p>
        </w:tc>
        <w:tc>
          <w:tcPr>
            <w:tcW w:w="80" w:type="dxa"/>
            <w:vAlign w:val="bottom"/>
          </w:tcPr>
          <w:p>
            <w:pPr>
              <w:spacing w:after="0"/>
              <w:rPr>
                <w:sz w:val="12"/>
                <w:szCs w:val="12"/>
                <w:color w:val="auto"/>
              </w:rPr>
            </w:pPr>
          </w:p>
        </w:tc>
        <w:tc>
          <w:tcPr>
            <w:tcW w:w="3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(6,218)</w:t>
            </w: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(66,100)</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1,544,894</w:t>
            </w:r>
          </w:p>
        </w:tc>
      </w:tr>
      <w:tr>
        <w:trPr>
          <w:trHeight w:val="150"/>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(180,431)</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138,156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138,156</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(37,451)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(37,451)</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(7,201)</w:t>
            </w:r>
          </w:p>
        </w:tc>
      </w:tr>
      <w:tr>
        <w:trPr>
          <w:trHeight w:val="159"/>
        </w:trPr>
        <w:tc>
          <w:tcPr>
            <w:tcW w:w="4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(6,333)</w:t>
            </w:r>
          </w:p>
        </w:tc>
      </w:tr>
      <w:tr>
        <w:trPr>
          <w:trHeight w:val="275"/>
        </w:trPr>
        <w:tc>
          <w:tcPr>
            <w:tcW w:w="4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w:t>
            </w:r>
          </w:p>
        </w:tc>
      </w:tr>
      <w:tr>
        <w:trPr>
          <w:trHeight w:val="154"/>
        </w:trPr>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1,755,476</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(19,845)</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(283,982)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1,451,657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80"/>
            <w:col w:w="5540"/>
          </w:cols>
          <w:pgMar w:left="300" w:top="125" w:right="319" w:bottom="1440" w:gutter="0" w:footer="0" w:header="0"/>
          <w:type w:val="continuous"/>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4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3"/>
        </w:trPr>
        <w:tc>
          <w:tcPr>
            <w:tcW w:w="6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income (loss)</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(180,431)</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(66,507)</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(27,198)</w:t>
            </w:r>
          </w:p>
        </w:tc>
      </w:tr>
      <w:tr>
        <w:trPr>
          <w:trHeight w:val="165"/>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(used in) operating activities: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6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33,540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36,955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42,641</w:t>
            </w:r>
          </w:p>
        </w:tc>
      </w:tr>
      <w:tr>
        <w:trPr>
          <w:trHeight w:val="165"/>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Amortization of debt discount and issuance costs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14,391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13,617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12,886</w:t>
            </w:r>
          </w:p>
        </w:tc>
      </w:tr>
      <w:tr>
        <w:trPr>
          <w:trHeight w:val="153"/>
        </w:trPr>
        <w:tc>
          <w:tcPr>
            <w:tcW w:w="6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Amortization of contract costs</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14,456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9,892</w:t>
            </w:r>
          </w:p>
        </w:tc>
      </w:tr>
      <w:tr>
        <w:trPr>
          <w:trHeight w:val="165"/>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Stock-based compensation</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137,011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115,009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101,817</w:t>
            </w:r>
          </w:p>
        </w:tc>
      </w:tr>
      <w:tr>
        <w:trPr>
          <w:trHeight w:val="153"/>
        </w:trPr>
        <w:tc>
          <w:tcPr>
            <w:tcW w:w="6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Changes to allowance for credit losses and revenue reserves</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2,597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w:t>
            </w:r>
          </w:p>
        </w:tc>
      </w:tr>
      <w:tr>
        <w:trPr>
          <w:trHeight w:val="165"/>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income tax</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(35,789)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(11,859)</w:t>
            </w:r>
          </w:p>
        </w:tc>
      </w:tr>
      <w:tr>
        <w:trPr>
          <w:trHeight w:val="153"/>
        </w:trPr>
        <w:tc>
          <w:tcPr>
            <w:tcW w:w="6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Amortization of premium (accretion of discount) on available-for-sale securities, net</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5,498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(1,882)</w:t>
            </w:r>
          </w:p>
        </w:tc>
      </w:tr>
      <w:tr>
        <w:trPr>
          <w:trHeight w:val="165"/>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Changes in fair value of strategic investments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10,672</w:t>
            </w:r>
          </w:p>
        </w:tc>
      </w:tr>
      <w:tr>
        <w:trPr>
          <w:trHeight w:val="153"/>
        </w:trPr>
        <w:tc>
          <w:tcPr>
            <w:tcW w:w="6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Other non-cash items affecting net income (loss)</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r>
      <w:tr>
        <w:trPr>
          <w:trHeight w:val="165"/>
        </w:trPr>
        <w:tc>
          <w:tcPr>
            <w:tcW w:w="6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6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23,878</w:t>
            </w:r>
          </w:p>
        </w:tc>
      </w:tr>
      <w:tr>
        <w:trPr>
          <w:trHeight w:val="165"/>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Unbilled accounts receivable</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18,106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(38,125)</w:t>
            </w:r>
          </w:p>
        </w:tc>
      </w:tr>
      <w:tr>
        <w:trPr>
          <w:trHeight w:val="153"/>
        </w:trPr>
        <w:tc>
          <w:tcPr>
            <w:tcW w:w="6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(23,390)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(18,564)</w:t>
            </w:r>
          </w:p>
        </w:tc>
      </w:tr>
      <w:tr>
        <w:trPr>
          <w:trHeight w:val="165"/>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Operating lease assets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7,160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(10,784)</w:t>
            </w:r>
          </w:p>
        </w:tc>
      </w:tr>
      <w:tr>
        <w:trPr>
          <w:trHeight w:val="153"/>
        </w:trPr>
        <w:tc>
          <w:tcPr>
            <w:tcW w:w="6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Accounts payable</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13,580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w:t>
            </w:r>
          </w:p>
        </w:tc>
      </w:tr>
      <w:tr>
        <w:trPr>
          <w:trHeight w:val="165"/>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Accrued employee compensation</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41,526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(15,624)</w:t>
            </w:r>
          </w:p>
        </w:tc>
      </w:tr>
      <w:tr>
        <w:trPr>
          <w:trHeight w:val="153"/>
        </w:trPr>
        <w:tc>
          <w:tcPr>
            <w:tcW w:w="64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revenue</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31,564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12,940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w:t>
            </w:r>
          </w:p>
        </w:tc>
      </w:tr>
      <w:tr>
        <w:trPr>
          <w:trHeight w:val="165"/>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Lease liabilities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(9,637)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18,678</w:t>
            </w:r>
          </w:p>
        </w:tc>
      </w:tr>
      <w:tr>
        <w:trPr>
          <w:trHeight w:val="153"/>
        </w:trPr>
        <w:tc>
          <w:tcPr>
            <w:tcW w:w="6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 liabilities</w:t>
            </w: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4,699</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(6,755)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15,576</w:t>
            </w:r>
          </w:p>
        </w:tc>
      </w:tr>
      <w:tr>
        <w:trPr>
          <w:trHeight w:val="156"/>
        </w:trPr>
        <w:tc>
          <w:tcPr>
            <w:tcW w:w="64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(37,940)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111,587</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113,066</w:t>
            </w:r>
          </w:p>
        </w:tc>
      </w:tr>
      <w:tr>
        <w:trPr>
          <w:trHeight w:val="13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65"/>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Purchases of available-for-sale securities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(519,536)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(1,033,095)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(1,280,755)</w:t>
            </w:r>
          </w:p>
        </w:tc>
      </w:tr>
      <w:tr>
        <w:trPr>
          <w:trHeight w:val="153"/>
        </w:trPr>
        <w:tc>
          <w:tcPr>
            <w:tcW w:w="6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Sales of available-for-sale securities</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74,552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123,234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134,050</w:t>
            </w:r>
          </w:p>
        </w:tc>
      </w:tr>
      <w:tr>
        <w:trPr>
          <w:trHeight w:val="165"/>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Maturities of available-for-sale securities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834,362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1,005,290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1,168,720</w:t>
            </w:r>
          </w:p>
        </w:tc>
      </w:tr>
      <w:tr>
        <w:trPr>
          <w:trHeight w:val="153"/>
        </w:trPr>
        <w:tc>
          <w:tcPr>
            <w:tcW w:w="6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(19,008)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(21,377)</w:t>
            </w:r>
          </w:p>
        </w:tc>
      </w:tr>
      <w:tr>
        <w:trPr>
          <w:trHeight w:val="165"/>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Capitalized software development costs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(4,283)</w:t>
            </w:r>
          </w:p>
        </w:tc>
      </w:tr>
      <w:tr>
        <w:trPr>
          <w:trHeight w:val="153"/>
        </w:trPr>
        <w:tc>
          <w:tcPr>
            <w:tcW w:w="6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Acquisition of strategic investments</w:t>
            </w:r>
          </w:p>
        </w:tc>
        <w:tc>
          <w:tcPr>
            <w:tcW w:w="10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(2,156)</w:t>
            </w:r>
          </w:p>
        </w:tc>
      </w:tr>
      <w:tr>
        <w:trPr>
          <w:trHeight w:val="165"/>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Acquisition of business, net of acquired cash</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4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0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312,212</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64,191</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(5,801)</w:t>
            </w:r>
          </w:p>
        </w:tc>
      </w:tr>
      <w:tr>
        <w:trPr>
          <w:trHeight w:val="14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3"/>
        </w:trPr>
        <w:tc>
          <w:tcPr>
            <w:tcW w:w="64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Proceeds from issuance of common stock upon exercise of stock options</w:t>
            </w:r>
          </w:p>
        </w:tc>
        <w:tc>
          <w:tcPr>
            <w:tcW w:w="10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4,955</w:t>
            </w:r>
          </w:p>
        </w:tc>
      </w:tr>
      <w:tr>
        <w:trPr>
          <w:trHeight w:val="165"/>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Repurchase and retirement of common stock</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(37,451)</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(161,319)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4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(37,335)</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(159,387)</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4,955</w:t>
            </w:r>
          </w:p>
        </w:tc>
      </w:tr>
      <w:tr>
        <w:trPr>
          <w:trHeight w:val="1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 of foreign exchange rate changes on cash, cash equivalents, and restricted cash</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(7,161)</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1,550</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w:t>
            </w:r>
          </w:p>
        </w:tc>
      </w:tr>
      <w:tr>
        <w:trPr>
          <w:trHeight w:val="14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100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229,776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17,941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112,868</w:t>
            </w:r>
          </w:p>
        </w:tc>
      </w:tr>
      <w:tr>
        <w:trPr>
          <w:trHeight w:val="15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CASH—Beginning of period</w:t>
            </w:r>
          </w:p>
        </w:tc>
        <w:tc>
          <w:tcPr>
            <w:tcW w:w="10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384,910</w:t>
            </w: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366,969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254,101</w:t>
            </w:r>
          </w:p>
        </w:tc>
      </w:tr>
      <w:tr>
        <w:trPr>
          <w:trHeight w:val="156"/>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CASH—End of period</w:t>
            </w:r>
          </w:p>
        </w:tc>
        <w:tc>
          <w:tcPr>
            <w:tcW w:w="100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614,686</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384,910</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366,969</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0"/>
        </w:trPr>
        <w:tc>
          <w:tcPr>
            <w:tcW w:w="64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SUPPLEMENTAL DISCLOSURES OF CASH FLOW INFORMATION:</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53"/>
        </w:trPr>
        <w:tc>
          <w:tcPr>
            <w:tcW w:w="6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Cash paid for interest</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5,000</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r>
      <w:tr>
        <w:trPr>
          <w:trHeight w:val="165"/>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paid for income taxes, net of tax refunds</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4,323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4,888</w:t>
            </w:r>
          </w:p>
        </w:tc>
      </w:tr>
      <w:tr>
        <w:trPr>
          <w:trHeight w:val="153"/>
        </w:trPr>
        <w:tc>
          <w:tcPr>
            <w:tcW w:w="6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Accruals for purchase of property and equipment</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1,114</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w:t>
            </w:r>
          </w:p>
        </w:tc>
      </w:tr>
      <w:tr>
        <w:trPr>
          <w:trHeight w:val="165"/>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Accruals for capitalized cloud software development costs</w:t>
            </w: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r>
      <w:tr>
        <w:trPr>
          <w:trHeight w:val="147"/>
        </w:trPr>
        <w:tc>
          <w:tcPr>
            <w:tcW w:w="6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Accrual for shares repurchased</w:t>
            </w: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w:t>
            </w:r>
          </w:p>
        </w:tc>
        <w:tc>
          <w:tcPr>
            <w:tcW w:w="80" w:type="dxa"/>
            <w:vAlign w:val="bottom"/>
          </w:tcPr>
          <w:p>
            <w:pPr>
              <w:spacing w:after="0"/>
              <w:rPr>
                <w:sz w:val="12"/>
                <w:szCs w:val="12"/>
                <w:color w:val="auto"/>
              </w:rPr>
            </w:pPr>
          </w:p>
        </w:tc>
        <w:tc>
          <w:tcPr>
            <w:tcW w:w="38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GUIDEWIRE SOFTWARE, INC. AND SUBSIDIARIES</w:t>
      </w:r>
    </w:p>
    <w:p>
      <w:pPr>
        <w:spacing w:after="0" w:line="2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The Company and Summary of Significant Accounting Policies and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Consolidation</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generally accepted accounting principles in the United States of America (“GAAP”). The consolidated financial statements and notes include the Company and its wholly-owned subsidiaries and reflect all adjustments (all of which are normal and recurring in nature) that, in the opinion of management, are necessary for a fair presentation of the periods presented.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preparation of the accompanying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and unbilled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leases,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consolidated balance sheets. Transaction gains and losses that arise from exchange rate fluctuations on transactions denominated in a currency other than the functional currency of the recording entity are included in other income (expense) in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Cash and cash equivalents are comprised of cash and highly liquid investments with remaining maturities of 90 days or less at the date of purchase. Cash equivalents primarily consist of commercial paper and money market funds.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holding gains and losses, net of taxes, generally included in accumulated other comprehensive income (loss). Unrealized losses related to the credit worthiness of an investment, if any, are recorded in other income (expense), net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Equipment, and Software Development Costs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Property and equipment are stated at cost less accumulated depreciation and amortization. Depreciation is calculated on a straight-line basis over the estimated useful lives of the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Maintenance and repairs that do not extend the life or improve an asset are expensed in the period incurred.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estimated useful lives of property and equipment are as follows:</w:t>
            </w:r>
          </w:p>
        </w:tc>
        <w:tc>
          <w:tcPr>
            <w:tcW w:w="5600" w:type="dxa"/>
            <w:vAlign w:val="bottom"/>
          </w:tcPr>
          <w:p>
            <w:pPr>
              <w:spacing w:after="0"/>
              <w:rPr>
                <w:sz w:val="16"/>
                <w:szCs w:val="16"/>
                <w:color w:val="auto"/>
              </w:rPr>
            </w:pPr>
          </w:p>
        </w:tc>
      </w:tr>
      <w:tr>
        <w:trPr>
          <w:trHeight w:val="85"/>
        </w:trPr>
        <w:tc>
          <w:tcPr>
            <w:tcW w:w="5680" w:type="dxa"/>
            <w:vAlign w:val="bottom"/>
          </w:tcPr>
          <w:p>
            <w:pPr>
              <w:spacing w:after="0"/>
              <w:rPr>
                <w:sz w:val="7"/>
                <w:szCs w:val="7"/>
                <w:color w:val="auto"/>
              </w:rPr>
            </w:pPr>
          </w:p>
        </w:tc>
        <w:tc>
          <w:tcPr>
            <w:tcW w:w="5600" w:type="dxa"/>
            <w:vAlign w:val="bottom"/>
          </w:tcPr>
          <w:p>
            <w:pPr>
              <w:spacing w:after="0"/>
              <w:rPr>
                <w:sz w:val="7"/>
                <w:szCs w:val="7"/>
                <w:color w:val="auto"/>
              </w:rPr>
            </w:pP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w:t>
            </w:r>
          </w:p>
        </w:tc>
        <w:tc>
          <w:tcPr>
            <w:tcW w:w="56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56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w:t>
            </w:r>
          </w:p>
        </w:tc>
        <w:tc>
          <w:tcPr>
            <w:tcW w:w="56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3 to 5 years</w:t>
            </w:r>
          </w:p>
        </w:tc>
      </w:tr>
      <w:tr>
        <w:trPr>
          <w:trHeight w:val="18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machinery</w:t>
            </w:r>
          </w:p>
        </w:tc>
        <w:tc>
          <w:tcPr>
            <w:tcW w:w="56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3 to 5 years</w:t>
            </w: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56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5 years</w:t>
            </w:r>
          </w:p>
        </w:tc>
      </w:tr>
      <w:tr>
        <w:trPr>
          <w:trHeight w:val="184"/>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60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Shorter of 10 years or remaining lease term</w:t>
            </w:r>
          </w:p>
        </w:tc>
      </w:tr>
    </w:tbl>
    <w:p>
      <w:pPr>
        <w:spacing w:after="0" w:line="18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accompanying consolidated statements of operations as incurred.</w:t>
      </w:r>
    </w:p>
    <w:p>
      <w:pPr>
        <w:spacing w:after="0" w:line="98"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capitalizes software development costs for technology applications that provide new or significantly enhanced functionality that the Company will offer solely as a cloud-based subscription. Capitalized costs are primarily comprised of compensation for employees who are directly associated with cloud software development projects.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which is typically once the technology applications are available for general release, capitalized costs are amortized to cost of revenue over the estimated useful lives of the related assets, generally estimated to be three to five years. Costs incurred prior to meeting these capitalization criteria and costs incurred for training and maintenance are recorded as research and development expense in the Company’s consolidated statements of operations. Capitalized software development costs are recorded in property and equipment in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38"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The Company accounts for leases under Accounting Standards Codification Topic 842: Leases (“ASC 842”) issued by the Financial Accounting Standards Board.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non-cancellable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maintenance, and taxes,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consolidated statements of operations in each of the cost of revenue and operating expense categories.</w:t>
      </w:r>
    </w:p>
    <w:p>
      <w:pPr>
        <w:spacing w:after="0" w:line="10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Operating leases are included in operating lease assets, other current liabilities, and lease liabilities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 Intangible Assets, and Goodwill</w:t>
      </w:r>
    </w:p>
    <w:p>
      <w:pPr>
        <w:spacing w:after="0" w:line="127"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 There have been no long-lived asset impairments during the periods presented.</w:t>
      </w:r>
    </w:p>
    <w:p>
      <w:pPr>
        <w:spacing w:after="0" w:line="11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goodwill impairment test is not performed. There have been no goodwill impairments during the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Convertible Senior Notes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uses its best estimates and assumptions to assign fair value to the tangible and intangible assets acquired and liabilities assumed at the acquisition date. Goodwill is calculated as the difference between the acquisition-date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to the Company’s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consolidated balance sheets are in excess of amounts that are insured by the Federal Deposit Insurance Corporation.</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No customer individually accounted for 10% or more of the Company’s revenue for the years ended July 31, 2022, 2021, and 2020. As of July 31, 2022 and July 31, 2021, no customer accounted for 10% or more of the Company’s total accounts receivable.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and Allowances</w:t>
      </w:r>
    </w:p>
    <w:p>
      <w:pPr>
        <w:spacing w:after="0" w:line="138" w:lineRule="exact"/>
        <w:rPr>
          <w:sz w:val="20"/>
          <w:szCs w:val="20"/>
          <w:color w:val="auto"/>
        </w:rPr>
      </w:pPr>
    </w:p>
    <w:p>
      <w:pPr>
        <w:jc w:val="both"/>
        <w:ind w:firstLine="149"/>
        <w:spacing w:after="0" w:line="280" w:lineRule="auto"/>
        <w:rPr>
          <w:sz w:val="20"/>
          <w:szCs w:val="20"/>
          <w:color w:val="auto"/>
        </w:rPr>
      </w:pPr>
      <w:r>
        <w:rPr>
          <w:rFonts w:ascii="Times New Roman" w:cs="Times New Roman" w:eastAsia="Times New Roman" w:hAnsi="Times New Roman"/>
          <w:sz w:val="14"/>
          <w:szCs w:val="14"/>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519430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The core principle of ASC 606 is to recognize revenue upon the transfer of services or products to customers in an amount that reflects the consideration the Company expects to be entitled to in exchange for those services or products.</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applies the following framework to recognize revenue:</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Identification of the contract, or contracts, with the customer</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considers the terms and conditions of written contracts and its customary business practices in identifying its contracts.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with the same customer should be combined and accounted for as a single contract. The customer’s ability and intent to pay is based on a variety of factors, including the customer’s historical payment experience or, in the case of a new customer, credit and financial information pertaining to the customer.</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recognized revenue may be adjusted.</w:t>
      </w:r>
    </w:p>
    <w:p>
      <w:pPr>
        <w:spacing w:after="0" w:line="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Identification of the performance obligation in the contract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or products that will be transferred to the customer that are both:</w:t>
      </w:r>
    </w:p>
    <w:p>
      <w:pPr>
        <w:spacing w:after="0" w:line="136" w:lineRule="exact"/>
        <w:rPr>
          <w:sz w:val="20"/>
          <w:szCs w:val="20"/>
          <w:color w:val="auto"/>
        </w:rPr>
      </w:pPr>
    </w:p>
    <w:p>
      <w:pPr>
        <w:ind w:left="520" w:hanging="260"/>
        <w:spacing w:after="0" w:line="287" w:lineRule="auto"/>
        <w:tabs>
          <w:tab w:leader="none" w:pos="51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capable of being distinct, whereby the customer can benefit from the service or product either on its own or together with other resources that are readily available from the Company or third parties,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distinct in the context of the contract, whereby the transfer of the services or products is separately identifiable from other promises in the contract.</w:t>
      </w:r>
    </w:p>
    <w:p>
      <w:pPr>
        <w:spacing w:after="0" w:line="13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generates revenue from the following sources, which represent the performance obligations of the Company:</w:t>
      </w:r>
    </w:p>
    <w:p>
      <w:pPr>
        <w:spacing w:after="0" w:line="136" w:lineRule="exact"/>
        <w:rPr>
          <w:sz w:val="20"/>
          <w:szCs w:val="20"/>
          <w:color w:val="auto"/>
        </w:rPr>
      </w:pP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services related to the Company’s Software-as-a-Service (“SaaS”) offerings, including hosting;</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activities that consist of email and phone support, bug fixes, and unspecified software updates and upgrades released when, and if, available during the support term;</w:t>
      </w:r>
    </w:p>
    <w:p>
      <w:pPr>
        <w:spacing w:after="0" w:line="13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Self-managed software licenses related to term or perpetual agreements; and</w:t>
      </w:r>
    </w:p>
    <w:p>
      <w:pPr>
        <w:spacing w:after="0" w:line="13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 related to the implementation and configuration of the Company’s services and products, reimbursable travel, and training.</w:t>
      </w:r>
    </w:p>
    <w:p>
      <w:pPr>
        <w:spacing w:after="0" w:line="13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Subscriptions are typically sold with a three- to five-year initial term with a customer option to renew on an annual basis after the initial term. Term licenses generally have a two-year initial term with a customer option to renew on an annual basis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Determination of the transaction price</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9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Allocation of the transaction price to the performance obligations in the contract</w:t>
      </w:r>
    </w:p>
    <w:p>
      <w:pPr>
        <w:spacing w:after="0" w:line="127" w:lineRule="exact"/>
        <w:rPr>
          <w:sz w:val="20"/>
          <w:szCs w:val="20"/>
          <w:color w:val="auto"/>
        </w:rPr>
      </w:pPr>
    </w:p>
    <w:p>
      <w:pPr>
        <w:jc w:val="both"/>
        <w:ind w:firstLine="350"/>
        <w:spacing w:after="0" w:line="245" w:lineRule="auto"/>
        <w:rPr>
          <w:sz w:val="20"/>
          <w:szCs w:val="20"/>
          <w:color w:val="auto"/>
        </w:rPr>
      </w:pPr>
      <w:r>
        <w:rPr>
          <w:rFonts w:ascii="Times New Roman" w:cs="Times New Roman" w:eastAsia="Times New Roman" w:hAnsi="Times New Roman"/>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101"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The majority of the Company’s contracts contain multiple performance obligations, such as when licenses are sold with support, implementation services, or training services. Additionally, as customers enter into subscription agreements to migrate from an existing term license agreement, customers may be under contract for self-managed licenses and support, in addition to subscription services, for a period of time, which may require an allocation of the transaction price to each performance obligation. New and migration subscription agreements also typically include implementation, configuration, and training services, which may require an allocation of the transaction price to each performance obligation.</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Recognition of revenue when, or as, the Company satisfies a performance obligation</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revenue when control of the services or products is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Performance obligations satisfied at a point in time</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 which is generally two years.</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Performance obligations satisfied over a period of time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Subscriptions, support activities, and professional service arrangements comprise the majority of distinct performance obligations that are satisfied over a period of time.</w:t>
      </w:r>
    </w:p>
    <w:p>
      <w:pPr>
        <w:spacing w:after="0" w:line="13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Revenue from subscription arrangements is recognized ratably over the subscription period using a time-based measure of progress as customers receive the benefits from their subscriptions over the contractually agreed-upon term.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arrangements are generally three to five years in duration. Consideration for subscription arrangements is typically billed in advance on an annual basis over the contract period.</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Revenue from support activities associated with self-managed licenses is a stand-ready obligation, which is generally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Revenue from professional service arrangements is recognized over the service period as the underlying services are performed.</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Balance Sheet Presentation</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Contracts with customers are reflected in the consolidated balance sheets as follows:</w:t>
      </w:r>
    </w:p>
    <w:p>
      <w:pPr>
        <w:spacing w:after="0" w:line="83" w:lineRule="exact"/>
        <w:rPr>
          <w:sz w:val="20"/>
          <w:szCs w:val="20"/>
          <w:color w:val="auto"/>
        </w:rPr>
      </w:pPr>
    </w:p>
    <w:p>
      <w:pPr>
        <w:ind w:left="860" w:hanging="250"/>
        <w:spacing w:after="0" w:line="287"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net represents amounts billed to customers in accordance with contract terms for which payment has not yet been received. It is presented net of any allowances as part of current assets in the consolidated balance sheets.</w:t>
      </w:r>
    </w:p>
    <w:p>
      <w:pPr>
        <w:spacing w:after="0" w:line="18" w:lineRule="exact"/>
        <w:rPr>
          <w:rFonts w:ascii="Times New Roman" w:cs="Times New Roman" w:eastAsia="Times New Roman" w:hAnsi="Times New Roman"/>
          <w:sz w:val="14"/>
          <w:szCs w:val="14"/>
          <w:color w:val="auto"/>
        </w:rPr>
      </w:pPr>
    </w:p>
    <w:p>
      <w:pPr>
        <w:jc w:val="both"/>
        <w:ind w:left="860" w:hanging="250"/>
        <w:spacing w:after="0" w:line="258"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Additionally, subscription agreements with ramped billing schedules could result in unbilled accounts receivable in the early years of the committed term. Unbilled accounts receivable is classified as either current or non-current based on the duration of remaining time between the date of the consolidated balance sheets and the anticipated due date of the underlying receivables. Unbilled accounts receivable is evaluated for credit losses based upon the expected collectibility of future accounts receivable, customer payment history, global economic conditions, and ongoing credit evaluations of customers. Unbilled accounts receivable is presented net of allowance for credit losses, if applicable, in the consolidated balance sheets. This balance represents contract assets.</w:t>
      </w:r>
    </w:p>
    <w:p>
      <w:pPr>
        <w:spacing w:after="0" w:line="51" w:lineRule="exact"/>
        <w:rPr>
          <w:rFonts w:ascii="Times New Roman" w:cs="Times New Roman" w:eastAsia="Times New Roman" w:hAnsi="Times New Roman"/>
          <w:sz w:val="14"/>
          <w:szCs w:val="14"/>
          <w:color w:val="auto"/>
        </w:rPr>
      </w:pPr>
    </w:p>
    <w:p>
      <w:pPr>
        <w:jc w:val="both"/>
        <w:ind w:left="860" w:hanging="250"/>
        <w:spacing w:after="0" w:line="270"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costs include customer acquisition costs, which consist primarily of sales commissions and related payroll taxes paid to sales personnel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40" w:lineRule="exact"/>
        <w:rPr>
          <w:rFonts w:ascii="Times New Roman" w:cs="Times New Roman" w:eastAsia="Times New Roman" w:hAnsi="Times New Roman"/>
          <w:sz w:val="14"/>
          <w:szCs w:val="14"/>
          <w:color w:val="auto"/>
        </w:rPr>
      </w:pPr>
    </w:p>
    <w:p>
      <w:pPr>
        <w:ind w:left="860" w:hanging="250"/>
        <w:spacing w:after="0" w:line="287"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8" w:lineRule="exact"/>
        <w:rPr>
          <w:rFonts w:ascii="Times New Roman" w:cs="Times New Roman" w:eastAsia="Times New Roman" w:hAnsi="Times New Roman"/>
          <w:sz w:val="14"/>
          <w:szCs w:val="14"/>
          <w:color w:val="auto"/>
        </w:rPr>
      </w:pPr>
    </w:p>
    <w:p>
      <w:pPr>
        <w:jc w:val="both"/>
        <w:ind w:left="860" w:hanging="250"/>
        <w:spacing w:after="0" w:line="264"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consists primarily of subscriptions and support services that are billed annually in advance but recognized over time. Deferred revenue that will be realized during the 12-month period following the date of the consolidated balance sheets is recorded as current. The remaining deferred revenue is recorded as non-current. These balances represent contract liabilities.</w:t>
      </w:r>
    </w:p>
    <w:p>
      <w:pPr>
        <w:spacing w:after="0" w:line="87"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The Company may receive consideration from its customers in advance of performance on a portion of the contract, thereby creating a contractual liability, and, on another portion of the contract, perform in advance of receiving consideration, thereby creating a contractual asset.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419735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Contract Costs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Contract costs consist of two components: customer acquisition costs and costs to fulfill a contract.</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consolidated balance sheets and the anticipated amortization date of the associated costs. Capitalized customer acquisition costs related to software licenses, subscriptions, and support services are amortized over the period of which the benefit is expected to be received, which the Company estimates to be approximately five years. The amortization of customer acquisition costs is classified as a sales and marketing expense in the consolidated statement of operations.</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consolidated statement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Warranties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generally provides a warranty for its software services and products to its customers for periods ranging from three to 12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products or services. Warranty expense has been insignificant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Advertising costs are expensed as incurred and amounts incurred were not material during the years ended July 31, 2022, 2021, and 2020.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The Company has granted stock options,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over a specified performance period or periods, service periods and, in select cases, performance conditions (“TSR PSUs”). RSUs, PSUs, and TSR PSUs are collectively referred to as “Stock Awards.”</w:t>
      </w:r>
    </w:p>
    <w:p>
      <w:pPr>
        <w:spacing w:after="0" w:line="10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fair value of the Company’s RSUs and PSUs is equal to the market value of the Company’s common stock on the date of grant. These awards are subject to time-based vesting, which generally occurs over a period of three to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fair value of the Company’s stock options is estimated at the grant date using the Black-Scholes option-pricing model. Recently granted stock options are subject to time-based vesting, which generally occurs over a period of two years. The Company recognizes compensation expense for stock options that contain only service conditions on a straight-line basis over the requisite service period, which is generally the vesting period of the respective stock options. The inputs used in the Black-Scholes option-pricing model are subjective and generally requires significant judgment to determine.</w:t>
      </w:r>
    </w:p>
    <w:p>
      <w:pPr>
        <w:spacing w:after="0" w:line="9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Expected Term — </w:t>
      </w:r>
      <w:r>
        <w:rPr>
          <w:rFonts w:ascii="Times New Roman" w:cs="Times New Roman" w:eastAsia="Times New Roman" w:hAnsi="Times New Roman"/>
          <w:sz w:val="14"/>
          <w:szCs w:val="14"/>
          <w:color w:val="auto"/>
        </w:rPr>
        <w:t>The expected term represents the period that the stock-based awards are expected to be outstanding. The simplified method calculates the expected term as the average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time-to-vesting and the contractual life of the options. The Company uses the simplified method to determine its expected term because of its limited history of stock option exercise activity.</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Expected Volatility — </w:t>
      </w:r>
      <w:r>
        <w:rPr>
          <w:rFonts w:ascii="Times New Roman" w:cs="Times New Roman" w:eastAsia="Times New Roman" w:hAnsi="Times New Roman"/>
          <w:sz w:val="14"/>
          <w:szCs w:val="14"/>
          <w:color w:val="auto"/>
        </w:rPr>
        <w:t>The expected volatility is derived from the historical volatility of the Company’s common stock.</w:t>
      </w:r>
    </w:p>
    <w:p>
      <w:pPr>
        <w:spacing w:after="0" w:line="136"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Risk-Free Interest Rate — </w:t>
      </w:r>
      <w:r>
        <w:rPr>
          <w:rFonts w:ascii="Times New Roman" w:cs="Times New Roman" w:eastAsia="Times New Roman" w:hAnsi="Times New Roman"/>
          <w:sz w:val="14"/>
          <w:szCs w:val="14"/>
          <w:color w:val="auto"/>
        </w:rPr>
        <w:t>The risk-free interest rate is based on the U.S. Treasury yield curve in effect at the time of grant for zero coupon U.S. Treasury notes with maturities approximately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equal to the expected term of the options.</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Expected Dividend — </w:t>
      </w:r>
      <w:r>
        <w:rPr>
          <w:rFonts w:ascii="Times New Roman" w:cs="Times New Roman" w:eastAsia="Times New Roman" w:hAnsi="Times New Roman"/>
          <w:sz w:val="14"/>
          <w:szCs w:val="14"/>
          <w:color w:val="auto"/>
        </w:rPr>
        <w:t>The expected dividend is zero, as the Company has never paid dividends and has no expectations to do so.</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fair value of the Company’s TSR PSUs is estimated at the grant date using a Monte Carlo simulation method. The assumptions utilized under this method requires judgments and estimates and changes in these inputs and assumptions could affect the measurement of the estimated fair value of the related compensation expense.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estimates of the achievement of the performance conditions. All TSR PSUs will vest at the end of a three-year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7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Income taxes are accounted for under the asset and liability method. Under this method, the Company determines deferred tax assets and liabilities on the basis of the differences between the financial statement carrying amounts and tax basis of existing assets and liabilities by using enacted tax rates in effect for the year in which the differences are expected to reverse. All deferred tax assets and liabilities are classified as non-current on the Company’s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103"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of 2017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2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records interest and penalties related to unrecognized tax benefits as income tax expense in its consolidated statement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Not Yet Adopted</w:t>
      </w:r>
    </w:p>
    <w:p>
      <w:pPr>
        <w:spacing w:after="0" w:line="179"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Debt — Debt with Conversion and Other Options (Subtopic 470-20) and Derivatives and Hedging — Contracts in Entity’s Own Equity (Subtopic 815-40): Accounting for Convertible Instruments and Contracts in an Entity’s Own Equity</w:t>
      </w:r>
    </w:p>
    <w:p>
      <w:pPr>
        <w:spacing w:after="0" w:line="78"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 xml:space="preserve">In August 2020, the FASB issued ASU No. 2020-06, “Debt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Debt with Conversion and Other Options (Subtopic 470-20) and Derivatives and Hedging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if-converted method and that the effect of potential share settlement be included in diluted earnings per share calculations. The new standard will be effective and the Company will adopt it beginning August 1, 2022. The Company will adopt the standard on a modified retrospective basis and will not restate comparative periods. Upon adoption, the Company expects the requirement to use the if-converted method instead of the treasury stock method of accounting for the shares issuable upon conversion of the Convertible Senior Notes will most likely adversely affect diluted earnings per share. On the adoption date, the Company expects to record in the consolidated balance sheets an increase to Convertible Senior Notes, net of approximately $37 million, a decrease to accumulated deficit of approximately $40 million, a decrease to additional paid-in capital of approximately $68 million, and a decrease to deferred tax liability of approximately $9 million. Additionally, there will be an impact to the consolidated financial statements due to the removal of the equity component of the debt and the associated impact of such adjustment to the accretion of debt discount, which will result in a decrease in interest expense.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Accounting Pronouncements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recent accounting pronouncements that will be applicable to the Company are not expected to have a material impact on its present or future financial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 Revenue</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Revenue by license or service type is as follows (in thousands):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120" w:type="dxa"/>
            <w:vAlign w:val="bottom"/>
            <w:gridSpan w:val="4"/>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60"/>
        </w:trPr>
        <w:tc>
          <w:tcPr>
            <w:tcW w:w="48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Subscription and support</w:t>
            </w:r>
          </w:p>
        </w:tc>
        <w:tc>
          <w:tcPr>
            <w:tcW w:w="10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Subscription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259,232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168,649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119,658</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Support</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84,476</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83,815</w:t>
            </w:r>
          </w:p>
        </w:tc>
        <w:tc>
          <w:tcPr>
            <w:tcW w:w="0" w:type="dxa"/>
            <w:vAlign w:val="bottom"/>
          </w:tcPr>
          <w:p>
            <w:pPr>
              <w:spacing w:after="0"/>
              <w:rPr>
                <w:sz w:val="1"/>
                <w:szCs w:val="1"/>
                <w:color w:val="auto"/>
              </w:rPr>
            </w:pPr>
          </w:p>
        </w:tc>
      </w:tr>
      <w:tr>
        <w:trPr>
          <w:trHeight w:val="180"/>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License</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 license</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258,440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303,309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328,489</w:t>
            </w:r>
          </w:p>
        </w:tc>
        <w:tc>
          <w:tcPr>
            <w:tcW w:w="0" w:type="dxa"/>
            <w:vAlign w:val="bottom"/>
          </w:tcPr>
          <w:p>
            <w:pPr>
              <w:spacing w:after="0"/>
              <w:rPr>
                <w:sz w:val="1"/>
                <w:szCs w:val="1"/>
                <w:color w:val="auto"/>
              </w:rPr>
            </w:pPr>
          </w:p>
        </w:tc>
      </w:tr>
      <w:tr>
        <w:trPr>
          <w:trHeight w:val="180"/>
        </w:trPr>
        <w:tc>
          <w:tcPr>
            <w:tcW w:w="4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Perpetual license</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210,275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187,117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207,280</w:t>
            </w:r>
          </w:p>
        </w:tc>
        <w:tc>
          <w:tcPr>
            <w:tcW w:w="0" w:type="dxa"/>
            <w:vAlign w:val="bottom"/>
          </w:tcPr>
          <w:p>
            <w:pPr>
              <w:spacing w:after="0"/>
              <w:rPr>
                <w:sz w:val="1"/>
                <w:szCs w:val="1"/>
                <w:color w:val="auto"/>
              </w:rPr>
            </w:pPr>
          </w:p>
        </w:tc>
      </w:tr>
      <w:tr>
        <w:trPr>
          <w:trHeight w:val="171"/>
        </w:trPr>
        <w:tc>
          <w:tcPr>
            <w:tcW w:w="4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812,614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743,267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742,307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Revenue by revenue type and by geography is as follows (in thousands):</w:t>
            </w: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8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Fiscal year ended July 31, 2022</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1600" w:type="dxa"/>
            <w:vAlign w:val="bottom"/>
            <w:gridSpan w:val="3"/>
          </w:tcPr>
          <w:p>
            <w:pPr>
              <w:jc w:val="center"/>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Subscription and</w:t>
            </w:r>
          </w:p>
        </w:tc>
        <w:tc>
          <w:tcPr>
            <w:tcW w:w="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8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support</w:t>
            </w: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229,177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151,464</w:t>
            </w:r>
          </w:p>
        </w:tc>
        <w:tc>
          <w:tcPr>
            <w:tcW w:w="2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135,783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516,424</w:t>
            </w: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55,633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100,010</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w:t>
            </w:r>
          </w:p>
        </w:tc>
        <w:tc>
          <w:tcPr>
            <w:tcW w:w="0" w:type="dxa"/>
            <w:vAlign w:val="bottom"/>
          </w:tcPr>
          <w:p>
            <w:pPr>
              <w:spacing w:after="0"/>
              <w:rPr>
                <w:sz w:val="1"/>
                <w:szCs w:val="1"/>
                <w:color w:val="auto"/>
              </w:rPr>
            </w:pPr>
          </w:p>
        </w:tc>
      </w:tr>
      <w:tr>
        <w:trPr>
          <w:trHeight w:val="171"/>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Americas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171,703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165,697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626,818</w:t>
            </w: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34,235</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EMEA</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22,732</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32,508</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28,944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84,184</w:t>
            </w: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EMEA</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118,419</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APAC</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22,137</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33,680</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67,377</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343,708</w:t>
            </w: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258,631</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210,275</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812,614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8"/>
        </w:trPr>
        <w:tc>
          <w:tcPr>
            <w:tcW w:w="100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 July 31, 2021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32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300" w:type="dxa"/>
            <w:vAlign w:val="bottom"/>
          </w:tcPr>
          <w:p>
            <w:pPr>
              <w:spacing w:after="0"/>
              <w:rPr>
                <w:sz w:val="11"/>
                <w:szCs w:val="11"/>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60" w:type="dxa"/>
            <w:vAlign w:val="bottom"/>
          </w:tcPr>
          <w:p>
            <w:pPr>
              <w:spacing w:after="0"/>
              <w:rPr>
                <w:sz w:val="11"/>
                <w:szCs w:val="11"/>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support</w:t>
            </w: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167,920</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180,742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123,498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472,160</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75,143</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0" w:type="dxa"/>
            <w:vAlign w:val="bottom"/>
          </w:tcPr>
          <w:p>
            <w:pPr>
              <w:spacing w:after="0"/>
              <w:rPr>
                <w:sz w:val="1"/>
                <w:szCs w:val="1"/>
                <w:color w:val="auto"/>
              </w:rPr>
            </w:pPr>
          </w:p>
        </w:tc>
      </w:tr>
      <w:tr>
        <w:trPr>
          <w:trHeight w:val="171"/>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Americas</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207,619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142,269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561,495</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32,276</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EMEA</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20,449</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29,574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89,576</w:t>
            </w: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EMEA</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27,360</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121,852</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APAC</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17,379</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59,920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252,358</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303,792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743,267</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 July 31, 2020</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Subscription and</w:t>
            </w:r>
          </w:p>
        </w:tc>
        <w:tc>
          <w:tcPr>
            <w:tcW w:w="32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License</w:t>
            </w:r>
          </w:p>
        </w:tc>
        <w:tc>
          <w:tcPr>
            <w:tcW w:w="300" w:type="dxa"/>
            <w:vAlign w:val="bottom"/>
          </w:tcPr>
          <w:p>
            <w:pPr>
              <w:spacing w:after="0"/>
              <w:rPr>
                <w:sz w:val="11"/>
                <w:szCs w:val="11"/>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60" w:type="dxa"/>
            <w:vAlign w:val="bottom"/>
          </w:tcPr>
          <w:p>
            <w:pPr>
              <w:spacing w:after="0"/>
              <w:rPr>
                <w:sz w:val="11"/>
                <w:szCs w:val="11"/>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support</w:t>
            </w: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139,059</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174,183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149,297</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462,539</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58,995</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Americas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18,608</w:t>
            </w:r>
          </w:p>
        </w:tc>
        <w:tc>
          <w:tcPr>
            <w:tcW w:w="0" w:type="dxa"/>
            <w:vAlign w:val="bottom"/>
          </w:tcPr>
          <w:p>
            <w:pPr>
              <w:spacing w:after="0"/>
              <w:rPr>
                <w:sz w:val="1"/>
                <w:szCs w:val="1"/>
                <w:color w:val="auto"/>
              </w:rPr>
            </w:pPr>
          </w:p>
        </w:tc>
      </w:tr>
      <w:tr>
        <w:trPr>
          <w:trHeight w:val="171"/>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Americas</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161,729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540,142</w:t>
            </w:r>
          </w:p>
        </w:tc>
        <w:tc>
          <w:tcPr>
            <w:tcW w:w="0" w:type="dxa"/>
            <w:vAlign w:val="bottom"/>
          </w:tcPr>
          <w:p>
            <w:pPr>
              <w:spacing w:after="0"/>
              <w:rPr>
                <w:sz w:val="1"/>
                <w:szCs w:val="1"/>
                <w:color w:val="auto"/>
              </w:rPr>
            </w:pPr>
          </w:p>
        </w:tc>
      </w:tr>
      <w:tr>
        <w:trPr>
          <w:trHeight w:val="18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36,185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48,524</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EMEA</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19,544</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43,988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26,389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89,921</w:t>
            </w: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EMEA</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26,486</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80,173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138,445</w:t>
            </w:r>
          </w:p>
        </w:tc>
        <w:tc>
          <w:tcPr>
            <w:tcW w:w="0" w:type="dxa"/>
            <w:vAlign w:val="bottom"/>
          </w:tcPr>
          <w:p>
            <w:pPr>
              <w:spacing w:after="0"/>
              <w:rPr>
                <w:sz w:val="1"/>
                <w:szCs w:val="1"/>
                <w:color w:val="auto"/>
              </w:rPr>
            </w:pPr>
          </w:p>
        </w:tc>
      </w:tr>
      <w:tr>
        <w:trPr>
          <w:trHeight w:val="180"/>
        </w:trPr>
        <w:tc>
          <w:tcPr>
            <w:tcW w:w="48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APAC</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15,258</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34,640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63,720</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203,473</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331,554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742,307</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 country or region other than those listed above accounted for more than 10% of revenue during the years ended July 31, 2022,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Customer Contract – Related Balance Sheet Amounts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97"/>
        </w:trPr>
        <w:tc>
          <w:tcPr>
            <w:tcW w:w="85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Amounts related to customer contract-related arrangements are included on the consolidated balance sheets as follows (in thousands):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6"/>
        </w:trPr>
        <w:tc>
          <w:tcPr>
            <w:tcW w:w="704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17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accounts receivable, net</w:t>
            </w:r>
          </w:p>
        </w:tc>
        <w:tc>
          <w:tcPr>
            <w:tcW w:w="15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85,429</w:t>
            </w:r>
          </w:p>
        </w:tc>
        <w:tc>
          <w:tcPr>
            <w:tcW w:w="8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103,422</w:t>
            </w:r>
          </w:p>
        </w:tc>
      </w:tr>
      <w:tr>
        <w:trPr>
          <w:trHeight w:val="18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 costs, net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44,235</w:t>
            </w:r>
          </w:p>
        </w:tc>
        <w:tc>
          <w:tcPr>
            <w:tcW w:w="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42,235</w:t>
            </w:r>
          </w:p>
        </w:tc>
      </w:tr>
      <w:tr>
        <w:trPr>
          <w:trHeight w:val="18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net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178,276</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145,936</w:t>
            </w:r>
          </w:p>
        </w:tc>
      </w:tr>
    </w:tbl>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Unbilled accounts receivable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unbilled accounts receivable, net decreased by $18.0 million primarily due to the impact of term license arrangements of approximately $17.1 million and, to a lesser extent, cloud subscription orders with ramped billing schedules.</w:t>
      </w:r>
    </w:p>
    <w:p>
      <w:pPr>
        <w:spacing w:after="0" w:line="71"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As of July 31, 2022 and 2021, there was no allowance for credit losses associated with unbilled accounts receivable. During the year ended July 31, 2022, $3.0 million of unbilled accounts receivable, net was written off due to a contract termination as a result of United States government sanctions on Russia.</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Contract costs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current portion of contract costs of $14.8 million and $13.4 million is included in prepaid and other current assets on the Company’s consolidated balance sheets as of July 31, 2022 and 2021, respectively. The non-current portion of contract costs of $29.4 million and $28.9 million is included in other assets on the Company’s consolidated balance sheets as of July 31, 2022 and 2021, respectively. The Company amortized $14.5 million, $11.4 million, and $9.9 million of contract costs during the fiscal years ended July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Deferred revenue</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fiscal year ended July 31, 2022, the Company recognized revenue of $137.7 million related to the Company’s deferred revenue balance reported as of July 31, 2021.</w:t>
      </w:r>
    </w:p>
    <w:p>
      <w:pPr>
        <w:spacing w:after="0" w:line="1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aggregate amount of consideration allocated to remaining performance obligations either not satisfied or partially satisfied, was approximately $1,124.0 million as of July 31,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Subscription services are typically satisfied over three to five years, support services are generally satisfied within one year, and professional services are typically satisfied within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Professional services under time and material contracts are not included in the remaining performance obligations calculation as these arrangements can be cancelled at any time.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Fair Value of Financial Instruments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Available-for-sale investments within cash equivalents and investments consist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1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00" w:type="dxa"/>
            <w:vAlign w:val="bottom"/>
          </w:tcPr>
          <w:p>
            <w:pPr>
              <w:spacing w:after="0"/>
              <w:rPr>
                <w:sz w:val="13"/>
                <w:szCs w:val="13"/>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300" w:type="dxa"/>
            <w:vAlign w:val="bottom"/>
          </w:tcPr>
          <w:p>
            <w:pPr>
              <w:spacing w:after="0"/>
              <w:rPr>
                <w:sz w:val="13"/>
                <w:szCs w:val="13"/>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6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37,572</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36,986</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197,998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4"/>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bonds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government bonds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4"/>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1,066,361</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1,058,619</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200" w:type="dxa"/>
            <w:vAlign w:val="bottom"/>
          </w:tcPr>
          <w:p>
            <w:pPr>
              <w:spacing w:after="0"/>
              <w:rPr>
                <w:sz w:val="13"/>
                <w:szCs w:val="13"/>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300" w:type="dxa"/>
            <w:vAlign w:val="bottom"/>
          </w:tcPr>
          <w:p>
            <w:pPr>
              <w:spacing w:after="0"/>
              <w:rPr>
                <w:sz w:val="13"/>
                <w:szCs w:val="13"/>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60" w:type="dxa"/>
            <w:vAlign w:val="bottom"/>
          </w:tcPr>
          <w:p>
            <w:pPr>
              <w:spacing w:after="0"/>
              <w:rPr>
                <w:sz w:val="13"/>
                <w:szCs w:val="13"/>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85,165</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389,837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bonds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7"/>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w w:val="97"/>
              </w:rPr>
              <w:t>(7)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government bonds</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7"/>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 bonds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Strategic convertible debt investment*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1,201,932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1,202,624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9"/>
                <w:szCs w:val="9"/>
                <w:color w:val="auto"/>
              </w:rPr>
              <w:t>*At original cost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8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does not consider any portion of the unrealized losses at July 31, 2022 to be credit losses. The Company has recorded the securities at fair value in its consolidated balance sheets, with unrealized gains and losses reported as a component of accumulated other comprehensive income (loss). The amount of unrealized gains and losses reclassified into earnings are based on the specific identification of the securities sold. The realized gains and losses from sales of securities are presented in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contractual maturities of the Company’s available-for-sale investments measured at fair value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12 months or greater</w:t>
            </w:r>
          </w:p>
        </w:tc>
        <w:tc>
          <w:tcPr>
            <w:tcW w:w="380" w:type="dxa"/>
            <w:vAlign w:val="bottom"/>
          </w:tcPr>
          <w:p>
            <w:pPr>
              <w:spacing w:after="0"/>
              <w:rPr>
                <w:sz w:val="13"/>
                <w:szCs w:val="13"/>
                <w:color w:val="auto"/>
              </w:rPr>
            </w:pPr>
          </w:p>
        </w:tc>
        <w:tc>
          <w:tcPr>
            <w:tcW w:w="118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6"/>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36,986</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197,998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197,998</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203,960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315,602</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bonds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45,702</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45,544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54,171</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 bonds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14,748</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43,715</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r>
      <w:tr>
        <w:trPr>
          <w:trHeight w:val="171"/>
        </w:trPr>
        <w:tc>
          <w:tcPr>
            <w:tcW w:w="6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871,112</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187,507</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1,058,619</w:t>
            </w: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1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applies the three-level valuation hierarchy when measuring the fair value of certain assets and liabilities: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1—Unadjusted quoted prices in active markets for identical assets or liabilities;</w:t>
      </w:r>
    </w:p>
    <w:p>
      <w:pPr>
        <w:spacing w:after="0" w:line="136" w:lineRule="exact"/>
        <w:rPr>
          <w:sz w:val="20"/>
          <w:szCs w:val="20"/>
          <w:color w:val="auto"/>
        </w:rPr>
      </w:pPr>
    </w:p>
    <w:p>
      <w:pPr>
        <w:ind w:left="460"/>
        <w:spacing w:after="0" w:line="287" w:lineRule="auto"/>
        <w:rPr>
          <w:sz w:val="20"/>
          <w:szCs w:val="20"/>
          <w:color w:val="auto"/>
        </w:rPr>
      </w:pPr>
      <w:r>
        <w:rPr>
          <w:rFonts w:ascii="Times New Roman" w:cs="Times New Roman" w:eastAsia="Times New Roman" w:hAnsi="Times New Roman"/>
          <w:sz w:val="14"/>
          <w:szCs w:val="14"/>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3—Unobservable inputs that are supported by little or no market activity, which require the Company to develop its own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Available-for-sale investments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tables summarize the Company’s available-for-sale investments measured at fair value, by level within the fair value hierarchy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ind w:right="832"/>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8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4"/>
                <w:szCs w:val="14"/>
                <w:color w:val="auto"/>
              </w:rPr>
            </w:pPr>
          </w:p>
        </w:tc>
      </w:tr>
      <w:tr>
        <w:trPr>
          <w:trHeight w:val="16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60" w:type="dxa"/>
            <w:vAlign w:val="bottom"/>
          </w:tcPr>
          <w:p>
            <w:pPr>
              <w:spacing w:after="0"/>
              <w:rPr>
                <w:sz w:val="15"/>
                <w:szCs w:val="15"/>
                <w:color w:val="auto"/>
              </w:rPr>
            </w:pPr>
          </w:p>
        </w:tc>
        <w:tc>
          <w:tcPr>
            <w:tcW w:w="1180" w:type="dxa"/>
            <w:vAlign w:val="bottom"/>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132,066</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132,066</w:t>
            </w: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20" w:type="dxa"/>
            <w:vAlign w:val="bottom"/>
          </w:tcPr>
          <w:p>
            <w:pPr>
              <w:spacing w:after="0"/>
              <w:rPr>
                <w:sz w:val="15"/>
                <w:szCs w:val="15"/>
                <w:color w:val="auto"/>
              </w:rPr>
            </w:pPr>
          </w:p>
        </w:tc>
      </w:tr>
      <w:tr>
        <w:trPr>
          <w:trHeight w:val="171"/>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151,755</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501,247</w:t>
            </w:r>
          </w:p>
        </w:tc>
        <w:tc>
          <w:tcPr>
            <w:tcW w:w="20" w:type="dxa"/>
            <w:vAlign w:val="bottom"/>
          </w:tcPr>
          <w:p>
            <w:pPr>
              <w:spacing w:after="0"/>
              <w:rPr>
                <w:sz w:val="14"/>
                <w:szCs w:val="14"/>
                <w:color w:val="auto"/>
              </w:rPr>
            </w:pPr>
          </w:p>
        </w:tc>
      </w:tr>
      <w:tr>
        <w:trPr>
          <w:trHeight w:val="18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65,932</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65,932</w:t>
            </w: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203,960</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203,960</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bonds</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25,429</w:t>
            </w: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Asset-backed securities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government bonds</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Municipal bonds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34,026</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34,026</w:t>
            </w:r>
          </w:p>
        </w:tc>
        <w:tc>
          <w:tcPr>
            <w:tcW w:w="20" w:type="dxa"/>
            <w:vAlign w:val="bottom"/>
          </w:tcPr>
          <w:p>
            <w:pPr>
              <w:spacing w:after="0"/>
              <w:rPr>
                <w:sz w:val="15"/>
                <w:szCs w:val="15"/>
                <w:color w:val="auto"/>
              </w:rPr>
            </w:pPr>
          </w:p>
        </w:tc>
      </w:tr>
      <w:tr>
        <w:trPr>
          <w:trHeight w:val="171"/>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short-term investments</w:t>
            </w: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369,865</w:t>
            </w:r>
          </w:p>
        </w:tc>
        <w:tc>
          <w:tcPr>
            <w:tcW w:w="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369,865</w:t>
            </w:r>
          </w:p>
        </w:tc>
        <w:tc>
          <w:tcPr>
            <w:tcW w:w="20" w:type="dxa"/>
            <w:vAlign w:val="bottom"/>
          </w:tcPr>
          <w:p>
            <w:pPr>
              <w:spacing w:after="0"/>
              <w:rPr>
                <w:sz w:val="14"/>
                <w:szCs w:val="14"/>
                <w:color w:val="auto"/>
              </w:rPr>
            </w:pPr>
          </w:p>
        </w:tc>
      </w:tr>
      <w:tr>
        <w:trPr>
          <w:trHeight w:val="18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investments:</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111,642</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111,642</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Government bonds</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20,273</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20,273</w:t>
            </w:r>
          </w:p>
        </w:tc>
        <w:tc>
          <w:tcPr>
            <w:tcW w:w="20" w:type="dxa"/>
            <w:vAlign w:val="bottom"/>
          </w:tcPr>
          <w:p>
            <w:pPr>
              <w:spacing w:after="0"/>
              <w:rPr>
                <w:sz w:val="15"/>
                <w:szCs w:val="15"/>
                <w:color w:val="auto"/>
              </w:rPr>
            </w:pPr>
          </w:p>
        </w:tc>
      </w:tr>
      <w:tr>
        <w:trPr>
          <w:trHeight w:val="180"/>
        </w:trPr>
        <w:tc>
          <w:tcPr>
            <w:tcW w:w="4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Asset-backed securities</w:t>
            </w:r>
          </w:p>
        </w:tc>
        <w:tc>
          <w:tcPr>
            <w:tcW w:w="10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45,544</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45,544</w:t>
            </w:r>
          </w:p>
        </w:tc>
        <w:tc>
          <w:tcPr>
            <w:tcW w:w="20" w:type="dxa"/>
            <w:vAlign w:val="bottom"/>
          </w:tcPr>
          <w:p>
            <w:pPr>
              <w:spacing w:after="0"/>
              <w:rPr>
                <w:sz w:val="15"/>
                <w:szCs w:val="15"/>
                <w:color w:val="auto"/>
              </w:rPr>
            </w:pPr>
          </w:p>
        </w:tc>
      </w:tr>
      <w:tr>
        <w:trPr>
          <w:trHeight w:val="180"/>
        </w:trPr>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government bonds</w:t>
            </w:r>
          </w:p>
        </w:tc>
        <w:tc>
          <w:tcPr>
            <w:tcW w:w="10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10,048</w:t>
            </w:r>
          </w:p>
        </w:tc>
        <w:tc>
          <w:tcPr>
            <w:tcW w:w="20" w:type="dxa"/>
            <w:vAlign w:val="bottom"/>
          </w:tcPr>
          <w:p>
            <w:pPr>
              <w:spacing w:after="0"/>
              <w:rPr>
                <w:sz w:val="15"/>
                <w:szCs w:val="15"/>
                <w:color w:val="auto"/>
              </w:rPr>
            </w:pPr>
          </w:p>
        </w:tc>
      </w:tr>
      <w:tr>
        <w:trPr>
          <w:trHeight w:val="171"/>
        </w:trPr>
        <w:tc>
          <w:tcPr>
            <w:tcW w:w="4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 long-term investments</w:t>
            </w:r>
          </w:p>
        </w:tc>
        <w:tc>
          <w:tcPr>
            <w:tcW w:w="10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187,507</w:t>
            </w:r>
          </w:p>
        </w:tc>
        <w:tc>
          <w:tcPr>
            <w:tcW w:w="60" w:type="dxa"/>
            <w:vAlign w:val="bottom"/>
            <w:tcBorders>
              <w:bottom w:val="single" w:sz="8" w:color="CCEEFF"/>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187,507</w:t>
            </w:r>
          </w:p>
        </w:tc>
        <w:tc>
          <w:tcPr>
            <w:tcW w:w="20" w:type="dxa"/>
            <w:vAlign w:val="bottom"/>
          </w:tcPr>
          <w:p>
            <w:pPr>
              <w:spacing w:after="0"/>
              <w:rPr>
                <w:sz w:val="14"/>
                <w:szCs w:val="14"/>
                <w:color w:val="auto"/>
              </w:rPr>
            </w:pPr>
          </w:p>
        </w:tc>
      </w:tr>
      <w:tr>
        <w:trPr>
          <w:trHeight w:val="196"/>
        </w:trPr>
        <w:tc>
          <w:tcPr>
            <w:tcW w:w="4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349,492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709,127</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1,058,619</w:t>
            </w:r>
          </w:p>
        </w:tc>
        <w:tc>
          <w:tcPr>
            <w:tcW w:w="20" w:type="dxa"/>
            <w:vAlign w:val="bottom"/>
          </w:tcPr>
          <w:p>
            <w:pPr>
              <w:spacing w:after="0"/>
              <w:rPr>
                <w:sz w:val="16"/>
                <w:szCs w:val="16"/>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8"/>
        </w:trPr>
        <w:tc>
          <w:tcPr>
            <w:tcW w:w="48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9"/>
        </w:trPr>
        <w:tc>
          <w:tcPr>
            <w:tcW w:w="48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Commercial paper</w:t>
            </w:r>
          </w:p>
        </w:tc>
        <w:tc>
          <w:tcPr>
            <w:tcW w:w="1000" w:type="dxa"/>
            <w:vAlign w:val="bottom"/>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115,825</w:t>
            </w:r>
          </w:p>
        </w:tc>
        <w:tc>
          <w:tcPr>
            <w:tcW w:w="80" w:type="dxa"/>
            <w:vAlign w:val="bottom"/>
          </w:tcPr>
          <w:p>
            <w:pPr>
              <w:spacing w:after="0"/>
              <w:rPr>
                <w:sz w:val="15"/>
                <w:szCs w:val="15"/>
                <w:color w:val="auto"/>
              </w:rPr>
            </w:pPr>
          </w:p>
        </w:tc>
        <w:tc>
          <w:tcPr>
            <w:tcW w:w="1080" w:type="dxa"/>
            <w:vAlign w:val="bottom"/>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115,825</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125,118</w:t>
            </w:r>
          </w:p>
        </w:tc>
      </w:tr>
      <w:tr>
        <w:trPr>
          <w:trHeight w:val="171"/>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 cash equivalents</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115,825</w:t>
            </w:r>
          </w:p>
        </w:tc>
        <w:tc>
          <w:tcPr>
            <w:tcW w:w="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240,943</w:t>
            </w:r>
          </w:p>
        </w:tc>
      </w:tr>
      <w:tr>
        <w:trPr>
          <w:trHeight w:val="18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Short-term investments:</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69,183</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69,183</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Commercial paper</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274,012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274,012</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225,384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225,384</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bonds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45,320</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government bonds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28,353</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Municipal bonds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80,750</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Strategic convertible debt investment</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71"/>
        </w:trPr>
        <w:tc>
          <w:tcPr>
            <w:tcW w:w="48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Total short-term investments</w:t>
            </w: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733,518</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734,518</w:t>
            </w:r>
          </w:p>
        </w:tc>
      </w:tr>
      <w:tr>
        <w:trPr>
          <w:trHeight w:val="180"/>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Long-term investments: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bonds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146,576</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146,576</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U.S. Government bonds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19,142</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38,911</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38,911</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government bonds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r>
      <w:tr>
        <w:trPr>
          <w:trHeight w:val="180"/>
        </w:trPr>
        <w:tc>
          <w:tcPr>
            <w:tcW w:w="48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Municipal bonds</w:t>
            </w:r>
          </w:p>
        </w:tc>
        <w:tc>
          <w:tcPr>
            <w:tcW w:w="10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Certificates of deposit</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71"/>
        </w:trPr>
        <w:tc>
          <w:tcPr>
            <w:tcW w:w="4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 long-term investments</w:t>
            </w:r>
          </w:p>
        </w:tc>
        <w:tc>
          <w:tcPr>
            <w:tcW w:w="10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227,163</w:t>
            </w:r>
          </w:p>
        </w:tc>
        <w:tc>
          <w:tcPr>
            <w:tcW w:w="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227,163</w:t>
            </w:r>
          </w:p>
        </w:tc>
      </w:tr>
      <w:tr>
        <w:trPr>
          <w:trHeight w:val="196"/>
        </w:trPr>
        <w:tc>
          <w:tcPr>
            <w:tcW w:w="4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125,118</w:t>
            </w: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1,076,506</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1,202,624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Convertible Senior Notes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fair value of the Convertible Senior Notes was $387.6 million and $452.0 million at July 31, 2022 and 2021, respectively. The Company estimates the fair value of the Convertible Senior Notes using commonly accepted valuation methodologies and market-based risk measurements that are directly observable, such as unadjusted quoted prices in markets that are not active (Level 2). The Company carries the Convertible Senior Notes at initial fair value less unamortized debt discount and issuance costs on its consolidated balance sheets. For further information on the Convertible Senior Notes, see Note 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Acquisitions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August 18, 2021, the Company completed its acquisition of HazardHub, Inc. (“HazardHub”) for net cash consideration of approximately $53 million, subject to customary transaction adjustments, including $8.2 million of acquisition consideration holdback subject to service conditions over the next three years, which is being held in escrow and considered restricted cash. The escrow is included in the consolidated balance sheets in the amounts of $3.2 million in prepaid expenses and other current assets and of $5.0 million in other assets. HazardHub provides API-driven property risk insights to the property and casualty insurance industry through curation, analysis, and distillation of vast amounts of data to deliver a comprehensive, national catalog of risks that may damage or destroy property. The acquisition was accounted for as a business combination.</w:t>
      </w:r>
    </w:p>
    <w:p>
      <w:pPr>
        <w:spacing w:after="0" w:line="101"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In conjunction with the purchase price allocation, the Company determined that HazardHub's separately identifiable intangible assets were acquired technology, customer relationships, and trademarks. The valuation models were based on estimates of future operating projections of HazardHub and rights to sell new products containing the acquired technology, as well as judgments on the discount rates used and other variables. The Company developed forecasts based on a number of factors, including future revenue and operating cost projections, a discount rate that is representative of the weighted average cost of capital, and royalty and long-term sustainable growth rates based on a market analysis. These fair value measurements were based on significant inputs that were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observable in the market and thus represents a Level 3 measurement. The Company amortizes the acquired intangibles over their estimated useful lives as set forth in the table below.</w:t>
      </w:r>
    </w:p>
    <w:p>
      <w:pPr>
        <w:spacing w:after="0" w:line="13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preliminary allocation of purchase price is pending the final working capital adjustment and is therefore subject to potential future measurement period adjustments. The measurement period will end no later than August 17, 2022. The preliminary allocation of the purchase consideration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Preliminary Purchase Price</w:t>
            </w:r>
          </w:p>
        </w:tc>
        <w:tc>
          <w:tcPr>
            <w:tcW w:w="8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156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040" w:type="dxa"/>
            <w:vAlign w:val="bottom"/>
          </w:tcPr>
          <w:p>
            <w:pPr>
              <w:spacing w:after="0"/>
              <w:rPr>
                <w:sz w:val="14"/>
                <w:szCs w:val="14"/>
                <w:color w:val="auto"/>
              </w:rPr>
            </w:pPr>
          </w:p>
        </w:tc>
        <w:tc>
          <w:tcPr>
            <w:tcW w:w="156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assets, net of assumed liabilities</w:t>
            </w:r>
          </w:p>
        </w:tc>
        <w:tc>
          <w:tcPr>
            <w:tcW w:w="1560" w:type="dxa"/>
            <w:vAlign w:val="bottom"/>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21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216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15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1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5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31,315</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8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preliminary purchase consideration</w:t>
            </w:r>
          </w:p>
        </w:tc>
        <w:tc>
          <w:tcPr>
            <w:tcW w:w="1560" w:type="dxa"/>
            <w:vAlign w:val="bottom"/>
            <w:tcBorders>
              <w:bottom w:val="single" w:sz="8" w:color="auto"/>
            </w:tcBorders>
            <w:shd w:val="clear" w:color="auto" w:fill="CCEEFF"/>
          </w:tcPr>
          <w:p>
            <w:pPr>
              <w:jc w:val="right"/>
              <w:ind w:right="13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44,331</w:t>
            </w:r>
          </w:p>
        </w:tc>
        <w:tc>
          <w:tcPr>
            <w:tcW w:w="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Goodwill of $31.3 million arising from the acquisition is primarily related to the acquired workforce, expected synergies, and the opportunity to sell into and expand the Company’s customer base. The goodwill recorded is not expected to be deductible for income tax purposes.</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 forma and historical financial information has not been provided as the acquisition was not material to the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Balance Sheet Components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Receivables, Net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Accounts receivable, net consists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46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105,125</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and revenue reserves</w:t>
            </w:r>
          </w:p>
        </w:tc>
        <w:tc>
          <w:tcPr>
            <w:tcW w:w="1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6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143,797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 and Revenue Reserve</w:t>
            </w:r>
            <w:r>
              <w:rPr>
                <w:rFonts w:ascii="Times New Roman" w:cs="Times New Roman" w:eastAsia="Times New Roman" w:hAnsi="Times New Roman"/>
                <w:sz w:val="14"/>
                <w:szCs w:val="14"/>
                <w:color w:val="auto"/>
              </w:rPr>
              <w:t>s</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Changes to the allowance for credit losses and revenue reserves consists of the following (in thousands):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180"/>
        </w:trPr>
        <w:tc>
          <w:tcPr>
            <w:tcW w:w="70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Net changes to credit losses</w:t>
            </w:r>
            <w:r>
              <w:rPr>
                <w:rFonts w:ascii="Times New Roman" w:cs="Times New Roman" w:eastAsia="Times New Roman" w:hAnsi="Times New Roman"/>
                <w:sz w:val="18"/>
                <w:szCs w:val="18"/>
                <w:color w:val="auto"/>
                <w:vertAlign w:val="superscript"/>
              </w:rPr>
              <w:t>(1)</w:t>
            </w: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changes to revenue reserves</w:t>
            </w: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180"/>
              <w:spacing w:after="0" w:line="181" w:lineRule="exact"/>
              <w:rPr>
                <w:sz w:val="20"/>
                <w:szCs w:val="20"/>
                <w:color w:val="auto"/>
              </w:rPr>
            </w:pPr>
            <w:r>
              <w:rPr>
                <w:rFonts w:ascii="Times New Roman" w:cs="Times New Roman" w:eastAsia="Times New Roman" w:hAnsi="Times New Roman"/>
                <w:sz w:val="14"/>
                <w:szCs w:val="14"/>
                <w:color w:val="auto"/>
              </w:rPr>
              <w:t>Write-offs, net</w:t>
            </w:r>
            <w:r>
              <w:rPr>
                <w:rFonts w:ascii="Times New Roman" w:cs="Times New Roman" w:eastAsia="Times New Roman" w:hAnsi="Times New Roman"/>
                <w:sz w:val="18"/>
                <w:szCs w:val="18"/>
                <w:color w:val="auto"/>
                <w:vertAlign w:val="superscript"/>
              </w:rPr>
              <w:t>(1)</w:t>
            </w:r>
          </w:p>
        </w:tc>
        <w:tc>
          <w:tcPr>
            <w:tcW w:w="14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4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Includes $3.0 million due to a contract termination as a result of United States government sanctions on Russia.</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46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20,330</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costs</w:t>
            </w:r>
          </w:p>
        </w:tc>
        <w:tc>
          <w:tcPr>
            <w:tcW w:w="1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13,365</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costs</w:t>
            </w: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Deposits and other receivables</w:t>
            </w:r>
          </w:p>
        </w:tc>
        <w:tc>
          <w:tcPr>
            <w:tcW w:w="1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9,787</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6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52,729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0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and equipment consist of the following (in thousands):</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0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hardware</w:t>
            </w:r>
          </w:p>
        </w:tc>
        <w:tc>
          <w:tcPr>
            <w:tcW w:w="1460" w:type="dxa"/>
            <w:vAlign w:val="bottom"/>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19,256</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1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24,025</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machinery</w:t>
            </w:r>
          </w:p>
        </w:tc>
        <w:tc>
          <w:tcPr>
            <w:tcW w:w="1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4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11,482</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59,059</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57,960</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4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137,094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130,939</w:t>
            </w:r>
          </w:p>
        </w:tc>
        <w:tc>
          <w:tcPr>
            <w:tcW w:w="0" w:type="dxa"/>
            <w:vAlign w:val="bottom"/>
          </w:tcPr>
          <w:p>
            <w:pPr>
              <w:spacing w:after="0"/>
              <w:rPr>
                <w:sz w:val="1"/>
                <w:szCs w:val="1"/>
                <w:color w:val="auto"/>
              </w:rPr>
            </w:pP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(56,354)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(50,878)</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60" w:type="dxa"/>
            <w:vAlign w:val="bottom"/>
            <w:tcBorders>
              <w:bottom w:val="single" w:sz="8" w:color="auto"/>
            </w:tcBorders>
            <w:shd w:val="clear" w:color="auto" w:fill="CCEEFF"/>
          </w:tcPr>
          <w:p>
            <w:pPr>
              <w:jc w:val="right"/>
              <w:ind w:right="129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80,740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July 31, 2022 and 2021, no property and equipment was pledged as collateral. Depreciation expense, excluding the amortization of capitalized software development costs, was $14.0 million, $14.0 million and $14.5 million for the fiscal years ended July 31, 2022, 2021, and 2020, respectively.</w:t>
      </w:r>
    </w:p>
    <w:p>
      <w:pPr>
        <w:spacing w:after="0" w:line="8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recognized amortization of capitalized software development costs in cost of subscription and support revenue on the consolidated statements of operations of $6.3 million, $3.4 million and $1.4 million during the fiscal years ended July 31, 2022, 2021, and 2020 respectively.</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 Net</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Changes in the carrying amount of goodwill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July 31, 2021</w:t>
            </w: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340,877</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Addition — HazardHub acquisition</w:t>
            </w:r>
          </w:p>
        </w:tc>
        <w:tc>
          <w:tcPr>
            <w:tcW w:w="10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31,315</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July 31, 2022</w:t>
            </w:r>
          </w:p>
        </w:tc>
        <w:tc>
          <w:tcPr>
            <w:tcW w:w="10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372,192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13"/>
            <w:vMerge w:val="restart"/>
          </w:tcPr>
          <w:p>
            <w:pPr>
              <w:ind w:left="360"/>
              <w:spacing w:after="0"/>
              <w:rPr>
                <w:sz w:val="20"/>
                <w:szCs w:val="20"/>
                <w:color w:val="auto"/>
              </w:rPr>
            </w:pPr>
            <w:r>
              <w:rPr>
                <w:rFonts w:ascii="Times New Roman" w:cs="Times New Roman" w:eastAsia="Times New Roman" w:hAnsi="Times New Roman"/>
                <w:sz w:val="14"/>
                <w:szCs w:val="14"/>
                <w:color w:val="auto"/>
              </w:rPr>
              <w:t>The Company’s intangible assets are amortized over their estimated useful lives. Intangible assets consist of the following (in thousands):</w:t>
            </w: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8220" w:type="dxa"/>
            <w:vAlign w:val="bottom"/>
            <w:gridSpan w:val="13"/>
            <w:vMerge w:val="continue"/>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28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Remaining Weighted-</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1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Average Useful Life</w:t>
            </w:r>
          </w:p>
        </w:tc>
        <w:tc>
          <w:tcPr>
            <w:tcW w:w="26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340" w:type="dxa"/>
            <w:vAlign w:val="bottom"/>
          </w:tcPr>
          <w:p>
            <w:pPr>
              <w:spacing w:after="0"/>
              <w:rPr>
                <w:sz w:val="10"/>
                <w:szCs w:val="10"/>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Net Book Value</w:t>
            </w:r>
          </w:p>
        </w:tc>
        <w:tc>
          <w:tcPr>
            <w:tcW w:w="0" w:type="dxa"/>
            <w:vAlign w:val="bottom"/>
          </w:tcPr>
          <w:p>
            <w:pPr>
              <w:spacing w:after="0"/>
              <w:rPr>
                <w:sz w:val="1"/>
                <w:szCs w:val="1"/>
                <w:color w:val="auto"/>
              </w:rPr>
            </w:pPr>
          </w:p>
        </w:tc>
      </w:tr>
      <w:tr>
        <w:trPr>
          <w:trHeight w:val="154"/>
        </w:trPr>
        <w:tc>
          <w:tcPr>
            <w:tcW w:w="328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2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Acquired technology</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9,274</w:t>
            </w: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93,600</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contracts and related relationships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10,447</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11,268</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Partner relationships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0"/>
        </w:trPr>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Trademarks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0" w:type="dxa"/>
            <w:vAlign w:val="bottom"/>
          </w:tcPr>
          <w:p>
            <w:pPr>
              <w:spacing w:after="0"/>
              <w:rPr>
                <w:sz w:val="1"/>
                <w:szCs w:val="1"/>
                <w:color w:val="auto"/>
              </w:rPr>
            </w:pPr>
          </w:p>
        </w:tc>
      </w:tr>
      <w:tr>
        <w:trPr>
          <w:trHeight w:val="180"/>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Order backlog</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43,439</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140,700</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120,957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3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Amortization expense was $14.1 million, $20.0 million, and $26.8 million during the years ended July 31, 2022, 2021, and 2020, respectively. The future amortization expense for existing intangible assets as of July 31, 2022, based on their current useful lives,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ending July 31,</w:t>
            </w: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6,888</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w:t>
            </w:r>
          </w:p>
        </w:tc>
        <w:tc>
          <w:tcPr>
            <w:tcW w:w="0" w:type="dxa"/>
            <w:vAlign w:val="bottom"/>
          </w:tcPr>
          <w:p>
            <w:pPr>
              <w:spacing w:after="0"/>
              <w:rPr>
                <w:sz w:val="1"/>
                <w:szCs w:val="1"/>
                <w:color w:val="auto"/>
              </w:rPr>
            </w:pPr>
          </w:p>
        </w:tc>
      </w:tr>
      <w:tr>
        <w:trPr>
          <w:trHeight w:val="180"/>
        </w:trPr>
        <w:tc>
          <w:tcPr>
            <w:tcW w:w="7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5,026</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0" w:type="dxa"/>
            <w:vAlign w:val="bottom"/>
          </w:tcPr>
          <w:p>
            <w:pPr>
              <w:spacing w:after="0"/>
              <w:rPr>
                <w:sz w:val="1"/>
                <w:szCs w:val="1"/>
                <w:color w:val="auto"/>
              </w:rPr>
            </w:pPr>
          </w:p>
        </w:tc>
      </w:tr>
      <w:tr>
        <w:trPr>
          <w:trHeight w:val="180"/>
        </w:trPr>
        <w:tc>
          <w:tcPr>
            <w:tcW w:w="7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Thereafter</w:t>
            </w:r>
          </w:p>
        </w:tc>
        <w:tc>
          <w:tcPr>
            <w:tcW w:w="6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future amortization expense</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21,361</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 Assets</w:t>
            </w: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0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July 31, 2021</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500" w:type="dxa"/>
            <w:vAlign w:val="bottom"/>
            <w:gridSpan w:val="2"/>
            <w:shd w:val="clear" w:color="auto" w:fill="CCEEFF"/>
          </w:tcPr>
          <w:p>
            <w:pPr>
              <w:jc w:val="right"/>
              <w:ind w:right="133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costs</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28,870</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costs</w:t>
            </w:r>
          </w:p>
        </w:tc>
        <w:tc>
          <w:tcPr>
            <w:tcW w:w="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Strategic equity investments</w:t>
            </w: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3,556</w:t>
            </w:r>
          </w:p>
        </w:tc>
        <w:tc>
          <w:tcPr>
            <w:tcW w:w="0" w:type="dxa"/>
            <w:vAlign w:val="bottom"/>
          </w:tcPr>
          <w:p>
            <w:pPr>
              <w:spacing w:after="0"/>
              <w:rPr>
                <w:sz w:val="1"/>
                <w:szCs w:val="1"/>
                <w:color w:val="auto"/>
              </w:rPr>
            </w:pP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500" w:type="dxa"/>
            <w:vAlign w:val="bottom"/>
            <w:tcBorders>
              <w:bottom w:val="single" w:sz="8" w:color="auto"/>
            </w:tcBorders>
            <w:gridSpan w:val="2"/>
          </w:tcPr>
          <w:p>
            <w:pPr>
              <w:jc w:val="right"/>
              <w:ind w:right="1336"/>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38,479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350"/>
        <w:spacing w:after="0" w:line="249" w:lineRule="auto"/>
        <w:rPr>
          <w:sz w:val="20"/>
          <w:szCs w:val="20"/>
          <w:color w:val="auto"/>
        </w:rPr>
      </w:pPr>
      <w:r>
        <w:rPr>
          <w:rFonts w:ascii="Times New Roman" w:cs="Times New Roman" w:eastAsia="Times New Roman" w:hAnsi="Times New Roman"/>
          <w:sz w:val="14"/>
          <w:szCs w:val="14"/>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The Company invested $12.3 million and $2.4 million in new strategic equity investments during the fiscal year ended July 31, 2022 and 2021, respectively. An impairment charge of $10.7 million was recognized during the fiscal year ended July 31, 2020. No impairment charge was recognized during the fiscal years ended July 31, 2022 and 2021.</w:t>
      </w:r>
    </w:p>
    <w:p>
      <w:pPr>
        <w:spacing w:after="0" w:line="9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the fiscal year ended July 31, 2022, the Company’s convertible debt investment was converted into equity shares due to a qualified equity financing event. The carrying value of the convertible debt investment was $1.1 million comprised of principal and accrued interest. An unrealized gain in the form of implied interest income of $1.6 million was recognized due to the conversion discount on the fair value of the shares. No unrealized gain or loss was recognized during the fiscal years ended July 31, 2021 and 2020.</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Accrued Employee Compensation</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Accrued employee compensation consists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July 31, 2021</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55,206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48,414</w:t>
            </w: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w:t>
            </w:r>
          </w:p>
        </w:tc>
        <w:tc>
          <w:tcPr>
            <w:tcW w:w="1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11,271</w:t>
            </w:r>
          </w:p>
        </w:tc>
      </w:tr>
      <w:tr>
        <w:trPr>
          <w:trHeight w:val="180"/>
        </w:trPr>
        <w:tc>
          <w:tcPr>
            <w:tcW w:w="7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Vacation</w:t>
            </w:r>
            <w:r>
              <w:rPr>
                <w:rFonts w:ascii="Times New Roman" w:cs="Times New Roman" w:eastAsia="Times New Roman" w:hAnsi="Times New Roman"/>
                <w:sz w:val="18"/>
                <w:szCs w:val="18"/>
                <w:color w:val="auto"/>
                <w:vertAlign w:val="superscript"/>
              </w:rPr>
              <w:t>(1)</w:t>
            </w:r>
          </w:p>
        </w:tc>
        <w:tc>
          <w:tcPr>
            <w:tcW w:w="1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23,803</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Salaries, payroll taxes, and benefits</w:t>
            </w:r>
          </w:p>
        </w:tc>
        <w:tc>
          <w:tcPr>
            <w:tcW w:w="1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23,781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18,649</w:t>
            </w:r>
          </w:p>
        </w:tc>
      </w:tr>
      <w:tr>
        <w:trPr>
          <w:trHeight w:val="196"/>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employee compensation</w:t>
            </w:r>
          </w:p>
        </w:tc>
        <w:tc>
          <w:tcPr>
            <w:tcW w:w="150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90,962</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102,137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In the first quarter of fiscal year 2022, the Company paid out accrued vacation for employees in certain countries upon adopting a non-accrued vacation policy effective September 1, 2021.</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Other Current Liabilities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July 31, 2021</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50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11,624</w:t>
            </w: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royalties</w:t>
            </w:r>
          </w:p>
        </w:tc>
        <w:tc>
          <w:tcPr>
            <w:tcW w:w="15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7,525</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taxes</w:t>
            </w:r>
          </w:p>
        </w:tc>
        <w:tc>
          <w:tcPr>
            <w:tcW w:w="15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6,796</w:t>
            </w:r>
          </w:p>
        </w:tc>
      </w:tr>
      <w:tr>
        <w:trPr>
          <w:trHeight w:val="18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5,703</w:t>
            </w:r>
          </w:p>
        </w:tc>
      </w:tr>
      <w:tr>
        <w:trPr>
          <w:trHeight w:val="196"/>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500" w:type="dxa"/>
            <w:vAlign w:val="bottom"/>
            <w:tcBorders>
              <w:bottom w:val="single" w:sz="8" w:color="auto"/>
            </w:tcBorders>
            <w:shd w:val="clear" w:color="auto" w:fill="CCEEFF"/>
          </w:tcPr>
          <w:p>
            <w:pPr>
              <w:jc w:val="right"/>
              <w:ind w:right="13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908"/>
        </w:trPr>
        <w:tc>
          <w:tcPr>
            <w:tcW w:w="70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Net Income (Loss) Per Share</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calculates basic earnings per share by dividing the net income (loss) by the weighted average number of shares of common stock outstanding for the period. The diluted earnings per share is computed by giving effect to all potentially dilutive common stock equivalents outstanding for the period using the treasury stock method. For purposes of this calculation, options to purchase common stock, Stock Awards, and the Convertible Senior Notes are considered to be common stock equivalents.</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the Company’s basic and diluted net income (loss) per share for the years ended July 31, 2022, 2021, and 2020 (in thousands, except share and per share amounts):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(180,431)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460" w:type="dxa"/>
            <w:vAlign w:val="bottom"/>
            <w:tcBorders>
              <w:bottom w:val="single" w:sz="8" w:color="CCEEFF"/>
            </w:tcBorders>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Basic and diluted</w:t>
            </w:r>
          </w:p>
        </w:tc>
        <w:tc>
          <w:tcPr>
            <w:tcW w:w="380" w:type="dxa"/>
            <w:vAlign w:val="bottom"/>
            <w:tcBorders>
              <w:bottom w:val="single" w:sz="8" w:color="auto"/>
            </w:tcBorders>
            <w:shd w:val="clear" w:color="auto" w:fill="CCEEFF"/>
          </w:tcPr>
          <w:p>
            <w:pPr>
              <w:jc w:val="right"/>
              <w:ind w:right="22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(2.16)</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shares used in computing net income (loss) per share:</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 and diluted</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83,569,517</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83,577,375</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82,855,392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The following weighted average shares of potential common stock were excluded from the computation of diluted net income (loss) per share for the periods presented because including them would have been anti-dilutive:</w:t>
      </w:r>
    </w:p>
    <w:p>
      <w:pPr>
        <w:spacing w:after="0" w:line="18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24,206</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37,980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161,410</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1,836,455</w:t>
            </w:r>
          </w:p>
        </w:tc>
        <w:tc>
          <w:tcPr>
            <w:tcW w:w="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2,737,597</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2,559,214</w:t>
            </w: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33,417</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7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per share, if applicable. The conversion spread will have a dilutive impact on net income (loss) per share when the average market price of the Company’s common stock for a given period exceeds the conversion price of $113.75 per share for the Convertible Senior Notes. Except for the first quarter in fiscal year 2022 and the second quarter in fiscal year 2021, the average market price of the Company’s common stock did not exceed the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Convertible Senior Notes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98"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Convertible Senior Notes are unsecured obligations of the Company with interest payable semi-annually in arrears at a rate of 1.25% per year, on March 15th and September 15th of each year.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10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net carrying value of the liability component, unamortized debt discount, and unamortized debt issuance costs of the Convertible Senior Notes was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10" w:type="dxa"/>
            <w:vAlign w:val="bottom"/>
            <w:tcBorders>
              <w:bottom w:val="single" w:sz="8" w:color="auto"/>
            </w:tcBorders>
          </w:tcPr>
          <w:p>
            <w:pPr>
              <w:spacing w:after="0"/>
              <w:rPr>
                <w:sz w:val="15"/>
                <w:szCs w:val="15"/>
                <w:color w:val="auto"/>
              </w:rPr>
            </w:pPr>
          </w:p>
        </w:tc>
        <w:tc>
          <w:tcPr>
            <w:tcW w:w="41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18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1500" w:type="dxa"/>
            <w:vAlign w:val="bottom"/>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61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400,000</w:t>
            </w:r>
          </w:p>
        </w:tc>
        <w:tc>
          <w:tcPr>
            <w:tcW w:w="41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r>
      <w:tr>
        <w:trPr>
          <w:trHeight w:val="180"/>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unamortized:</w:t>
            </w:r>
          </w:p>
        </w:tc>
        <w:tc>
          <w:tcPr>
            <w:tcW w:w="150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41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discount</w:t>
            </w:r>
          </w:p>
        </w:tc>
        <w:tc>
          <w:tcPr>
            <w:tcW w:w="1500" w:type="dxa"/>
            <w:vAlign w:val="bottom"/>
            <w:shd w:val="clear" w:color="auto" w:fill="CCEEFF"/>
          </w:tcPr>
          <w:p>
            <w:pPr>
              <w:spacing w:after="0"/>
              <w:rPr>
                <w:sz w:val="15"/>
                <w:szCs w:val="15"/>
                <w:color w:val="auto"/>
              </w:rPr>
            </w:pPr>
          </w:p>
        </w:tc>
        <w:tc>
          <w:tcPr>
            <w:tcW w:w="61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37,253</w:t>
            </w:r>
          </w:p>
        </w:tc>
        <w:tc>
          <w:tcPr>
            <w:tcW w:w="41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50,198</w:t>
            </w:r>
          </w:p>
        </w:tc>
      </w:tr>
      <w:tr>
        <w:trPr>
          <w:trHeight w:val="180"/>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1500" w:type="dxa"/>
            <w:vAlign w:val="bottom"/>
            <w:tcBorders>
              <w:bottom w:val="single" w:sz="8" w:color="auto"/>
            </w:tcBorders>
          </w:tcPr>
          <w:p>
            <w:pPr>
              <w:spacing w:after="0"/>
              <w:rPr>
                <w:sz w:val="15"/>
                <w:szCs w:val="15"/>
                <w:color w:val="auto"/>
              </w:rPr>
            </w:pPr>
          </w:p>
        </w:tc>
        <w:tc>
          <w:tcPr>
            <w:tcW w:w="61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4,531</w:t>
            </w:r>
          </w:p>
        </w:tc>
        <w:tc>
          <w:tcPr>
            <w:tcW w:w="41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5,977</w:t>
            </w:r>
          </w:p>
        </w:tc>
      </w:tr>
      <w:tr>
        <w:trPr>
          <w:trHeight w:val="1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w:t>
            </w:r>
          </w:p>
        </w:tc>
        <w:tc>
          <w:tcPr>
            <w:tcW w:w="1500" w:type="dxa"/>
            <w:vAlign w:val="bottom"/>
            <w:tcBorders>
              <w:bottom w:val="single" w:sz="8" w:color="auto"/>
            </w:tcBorders>
            <w:shd w:val="clear" w:color="auto" w:fill="CCEEFF"/>
          </w:tcPr>
          <w:p>
            <w:pPr>
              <w:jc w:val="right"/>
              <w:ind w:right="1349"/>
              <w:spacing w:after="0"/>
              <w:rPr>
                <w:sz w:val="20"/>
                <w:szCs w:val="20"/>
                <w:color w:val="auto"/>
              </w:rPr>
            </w:pPr>
            <w:r>
              <w:rPr>
                <w:rFonts w:ascii="Times New Roman" w:cs="Times New Roman" w:eastAsia="Times New Roman" w:hAnsi="Times New Roman"/>
                <w:sz w:val="14"/>
                <w:szCs w:val="14"/>
                <w:color w:val="auto"/>
                <w:w w:val="85"/>
              </w:rPr>
              <w:t>$</w:t>
            </w:r>
          </w:p>
        </w:tc>
        <w:tc>
          <w:tcPr>
            <w:tcW w:w="61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358,216</w:t>
            </w:r>
          </w:p>
        </w:tc>
        <w:tc>
          <w:tcPr>
            <w:tcW w:w="41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343,825</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10" w:type="dxa"/>
            <w:vAlign w:val="bottom"/>
            <w:tcBorders>
              <w:top w:val="single" w:sz="8" w:color="CCEEFF"/>
              <w:bottom w:val="single" w:sz="8" w:color="auto"/>
            </w:tcBorders>
          </w:tcPr>
          <w:p>
            <w:pPr>
              <w:spacing w:after="0" w:line="20" w:lineRule="exact"/>
              <w:rPr>
                <w:sz w:val="1"/>
                <w:szCs w:val="1"/>
                <w:color w:val="auto"/>
              </w:rPr>
            </w:pPr>
          </w:p>
        </w:tc>
        <w:tc>
          <w:tcPr>
            <w:tcW w:w="41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effective interest rate of the Convertible Senior Notes is 5.53%. The following table sets forth the interest expense recognized related to the Convertible Senior Notes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debt discount</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12,945</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11,705</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w:t>
            </w:r>
          </w:p>
        </w:tc>
      </w:tr>
      <w:tr>
        <w:trPr>
          <w:trHeight w:val="171"/>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19,391</w:t>
            </w:r>
          </w:p>
        </w:tc>
        <w:tc>
          <w:tcPr>
            <w:tcW w:w="440" w:type="dxa"/>
            <w:vAlign w:val="bottom"/>
            <w:tcBorders>
              <w:bottom w:val="single" w:sz="8" w:color="auto"/>
            </w:tcBorders>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17,886</w:t>
            </w:r>
          </w:p>
        </w:tc>
      </w:tr>
      <w:tr>
        <w:trPr>
          <w:trHeight w:val="20"/>
        </w:trPr>
        <w:tc>
          <w:tcPr>
            <w:tcW w:w="6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48"/>
        </w:trPr>
        <w:tc>
          <w:tcPr>
            <w:tcW w:w="6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Capped Call</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 purchased as a reduction of the Company’s additional paid-in capital in the accompanying consolidated balance sheets.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1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ectPr>
          <w:pgSz w:w="11900" w:h="16838" w:orient="portrait"/>
          <w:cols w:equalWidth="0" w:num="1">
            <w:col w:w="11280"/>
          </w:cols>
          <w:pgMar w:left="300" w:top="125" w:right="319" w:bottom="1440" w:gutter="0" w:footer="0" w:header="0"/>
        </w:sectPr>
      </w:pP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Components of operating lease costs were as follows (in thousands):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xml:space="preserve">Operating lease costs </w:t>
      </w:r>
      <w:r>
        <w:rPr>
          <w:rFonts w:ascii="Times New Roman" w:cs="Times New Roman" w:eastAsia="Times New Roman" w:hAnsi="Times New Roman"/>
          <w:sz w:val="18"/>
          <w:szCs w:val="18"/>
          <w:color w:val="auto"/>
          <w:vertAlign w:val="superscript"/>
        </w:rPr>
        <w:t>(1)</w:t>
      </w:r>
    </w:p>
    <w:p>
      <w:pPr>
        <w:ind w:left="20"/>
        <w:spacing w:after="0"/>
        <w:rPr>
          <w:sz w:val="20"/>
          <w:szCs w:val="20"/>
          <w:color w:val="auto"/>
        </w:rPr>
      </w:pPr>
      <w:r>
        <w:rPr>
          <w:rFonts w:ascii="Times New Roman" w:cs="Times New Roman" w:eastAsia="Times New Roman" w:hAnsi="Times New Roman"/>
          <w:sz w:val="14"/>
          <w:szCs w:val="14"/>
          <w:color w:val="auto"/>
        </w:rPr>
        <w:t>Variable lease costs</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Sublease income</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operating lease costs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67"/>
        </w:trPr>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15,992</w:t>
            </w:r>
          </w:p>
        </w:tc>
        <w:tc>
          <w:tcPr>
            <w:tcW w:w="60" w:type="dxa"/>
            <w:vAlign w:val="bottom"/>
          </w:tcPr>
          <w:p>
            <w:pPr>
              <w:spacing w:after="0"/>
              <w:rPr>
                <w:sz w:val="14"/>
                <w:szCs w:val="14"/>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17,614</w:t>
            </w:r>
          </w:p>
        </w:tc>
        <w:tc>
          <w:tcPr>
            <w:tcW w:w="8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15,275</w:t>
            </w:r>
          </w:p>
        </w:tc>
      </w:tr>
      <w:tr>
        <w:trPr>
          <w:trHeight w:val="180"/>
        </w:trPr>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w:t>
            </w:r>
          </w:p>
        </w:tc>
      </w:tr>
      <w:tr>
        <w:trPr>
          <w:trHeight w:val="184"/>
        </w:trPr>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171"/>
        </w:trPr>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20,037</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-497840</wp:posOffset>
            </wp:positionV>
            <wp:extent cx="7161530" cy="121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-262255</wp:posOffset>
            </wp:positionV>
            <wp:extent cx="7161530" cy="114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5740" w:space="720"/>
            <w:col w:w="4820"/>
          </w:cols>
          <w:pgMar w:left="300" w:top="125" w:right="319" w:bottom="1440" w:gutter="0" w:footer="0" w:header="0"/>
          <w:type w:val="continuous"/>
        </w:sectPr>
      </w:pPr>
    </w:p>
    <w:p>
      <w:pPr>
        <w:ind w:left="140" w:hanging="135"/>
        <w:spacing w:after="0"/>
        <w:tabs>
          <w:tab w:leader="none" w:pos="14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Lease expense for leases with an initial term of 12 months or less is excluded from the table above and was $0.9 million, $1.0 million, $0.9 million for the fiscal years ended July 31, 2022, 2021, and 2020,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Future operating lease payments as of July 31, 2022 were as follows (in thousands):</w:t>
            </w:r>
          </w:p>
        </w:tc>
        <w:tc>
          <w:tcPr>
            <w:tcW w:w="8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
        </w:trPr>
        <w:tc>
          <w:tcPr>
            <w:tcW w:w="9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ending July 31,</w:t>
            </w:r>
          </w:p>
        </w:tc>
        <w:tc>
          <w:tcPr>
            <w:tcW w:w="8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9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16,669</w:t>
            </w:r>
          </w:p>
        </w:tc>
      </w:tr>
      <w:tr>
        <w:trPr>
          <w:trHeight w:val="180"/>
        </w:trPr>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8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17,712</w:t>
            </w:r>
          </w:p>
        </w:tc>
      </w:tr>
      <w:tr>
        <w:trPr>
          <w:trHeight w:val="180"/>
        </w:trPr>
        <w:tc>
          <w:tcPr>
            <w:tcW w:w="9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2025</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17,869</w:t>
            </w:r>
          </w:p>
        </w:tc>
      </w:tr>
      <w:tr>
        <w:trPr>
          <w:trHeight w:val="180"/>
        </w:trPr>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8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17,792</w:t>
            </w:r>
          </w:p>
        </w:tc>
      </w:tr>
      <w:tr>
        <w:trPr>
          <w:trHeight w:val="180"/>
        </w:trPr>
        <w:tc>
          <w:tcPr>
            <w:tcW w:w="9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2027</w:t>
            </w:r>
          </w:p>
        </w:tc>
        <w:tc>
          <w:tcPr>
            <w:tcW w:w="8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17,370</w:t>
            </w:r>
          </w:p>
        </w:tc>
      </w:tr>
      <w:tr>
        <w:trPr>
          <w:trHeight w:val="180"/>
        </w:trPr>
        <w:tc>
          <w:tcPr>
            <w:tcW w:w="9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Thereafter</w:t>
            </w:r>
          </w:p>
        </w:tc>
        <w:tc>
          <w:tcPr>
            <w:tcW w:w="8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49,423</w:t>
            </w:r>
          </w:p>
        </w:tc>
      </w:tr>
      <w:tr>
        <w:trPr>
          <w:trHeight w:val="150"/>
        </w:trPr>
        <w:tc>
          <w:tcPr>
            <w:tcW w:w="9200" w:type="dxa"/>
            <w:vAlign w:val="bottom"/>
          </w:tcPr>
          <w:p>
            <w:pPr>
              <w:ind w:left="180"/>
              <w:spacing w:after="0" w:line="150" w:lineRule="exact"/>
              <w:rPr>
                <w:sz w:val="20"/>
                <w:szCs w:val="20"/>
                <w:color w:val="auto"/>
              </w:rPr>
            </w:pPr>
            <w:r>
              <w:rPr>
                <w:rFonts w:ascii="Times New Roman" w:cs="Times New Roman" w:eastAsia="Times New Roman" w:hAnsi="Times New Roman"/>
                <w:sz w:val="14"/>
                <w:szCs w:val="14"/>
                <w:color w:val="auto"/>
              </w:rPr>
              <w:t>Total future lease payments</w:t>
            </w:r>
          </w:p>
        </w:tc>
        <w:tc>
          <w:tcPr>
            <w:tcW w:w="820" w:type="dxa"/>
            <w:vAlign w:val="bottom"/>
          </w:tcPr>
          <w:p>
            <w:pPr>
              <w:spacing w:after="0"/>
              <w:rPr>
                <w:sz w:val="13"/>
                <w:szCs w:val="13"/>
                <w:color w:val="auto"/>
              </w:rPr>
            </w:pPr>
          </w:p>
        </w:tc>
        <w:tc>
          <w:tcPr>
            <w:tcW w:w="1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136,835</w:t>
            </w:r>
          </w:p>
        </w:tc>
      </w:tr>
      <w:tr>
        <w:trPr>
          <w:trHeight w:val="159"/>
        </w:trPr>
        <w:tc>
          <w:tcPr>
            <w:tcW w:w="92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4"/>
                <w:szCs w:val="14"/>
                <w:color w:val="auto"/>
              </w:rPr>
              <w:t>Less imputed interest</w:t>
            </w:r>
          </w:p>
        </w:tc>
        <w:tc>
          <w:tcPr>
            <w:tcW w:w="8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(19,474)</w:t>
            </w:r>
          </w:p>
        </w:tc>
      </w:tr>
      <w:tr>
        <w:trPr>
          <w:trHeight w:val="150"/>
        </w:trPr>
        <w:tc>
          <w:tcPr>
            <w:tcW w:w="9200" w:type="dxa"/>
            <w:vAlign w:val="bottom"/>
          </w:tcPr>
          <w:p>
            <w:pPr>
              <w:ind w:left="360"/>
              <w:spacing w:after="0" w:line="150" w:lineRule="exact"/>
              <w:rPr>
                <w:sz w:val="20"/>
                <w:szCs w:val="20"/>
                <w:color w:val="auto"/>
              </w:rPr>
            </w:pPr>
            <w:r>
              <w:rPr>
                <w:rFonts w:ascii="Times New Roman" w:cs="Times New Roman" w:eastAsia="Times New Roman" w:hAnsi="Times New Roman"/>
                <w:sz w:val="14"/>
                <w:szCs w:val="14"/>
                <w:color w:val="auto"/>
              </w:rPr>
              <w:t>Total lease liability balance</w:t>
            </w:r>
          </w:p>
        </w:tc>
        <w:tc>
          <w:tcPr>
            <w:tcW w:w="820" w:type="dxa"/>
            <w:vAlign w:val="bottom"/>
            <w:tcBorders>
              <w:bottom w:val="single" w:sz="8" w:color="auto"/>
            </w:tcBorders>
          </w:tcPr>
          <w:p>
            <w:pPr>
              <w:jc w:val="right"/>
              <w:ind w:right="6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117,361</w:t>
            </w:r>
          </w:p>
        </w:tc>
      </w:tr>
      <w:tr>
        <w:trPr>
          <w:trHeight w:val="20"/>
        </w:trPr>
        <w:tc>
          <w:tcPr>
            <w:tcW w:w="9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0"/>
        </w:trPr>
        <w:tc>
          <w:tcPr>
            <w:tcW w:w="9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16"/>
        </w:trPr>
        <w:tc>
          <w:tcPr>
            <w:tcW w:w="74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Supplemental information related to leases was as follows (in thousands, except for lease term and discount rate):</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0"/>
        </w:trPr>
        <w:tc>
          <w:tcPr>
            <w:tcW w:w="6460" w:type="dxa"/>
            <w:vAlign w:val="bottom"/>
            <w:gridSpan w:val="2"/>
            <w:shd w:val="clear" w:color="auto" w:fill="CCEEFF"/>
          </w:tcPr>
          <w:p>
            <w:pPr>
              <w:ind w:left="20"/>
              <w:spacing w:after="0" w:line="150" w:lineRule="exact"/>
              <w:rPr>
                <w:sz w:val="20"/>
                <w:szCs w:val="20"/>
                <w:color w:val="auto"/>
              </w:rPr>
            </w:pPr>
            <w:r>
              <w:rPr>
                <w:rFonts w:ascii="Times New Roman" w:cs="Times New Roman" w:eastAsia="Times New Roman" w:hAnsi="Times New Roman"/>
                <w:sz w:val="14"/>
                <w:szCs w:val="14"/>
                <w:color w:val="auto"/>
              </w:rPr>
              <w:t>Operating lease assets</w:t>
            </w:r>
          </w:p>
        </w:tc>
        <w:tc>
          <w:tcPr>
            <w:tcW w:w="42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2"/>
            <w:shd w:val="clear" w:color="auto" w:fill="CCEEFF"/>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rPr>
              <w:t>90,287</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rPr>
              <w:t>97,447</w:t>
            </w:r>
          </w:p>
        </w:tc>
      </w:tr>
      <w:tr>
        <w:trPr>
          <w:trHeight w:val="192"/>
        </w:trPr>
        <w:tc>
          <w:tcPr>
            <w:tcW w:w="10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9"/>
        </w:trPr>
        <w:tc>
          <w:tcPr>
            <w:tcW w:w="64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12,238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11,624</w:t>
            </w:r>
          </w:p>
        </w:tc>
      </w:tr>
      <w:tr>
        <w:trPr>
          <w:trHeight w:val="159"/>
        </w:trPr>
        <w:tc>
          <w:tcPr>
            <w:tcW w:w="6460" w:type="dxa"/>
            <w:vAlign w:val="bottom"/>
            <w:tcBorders>
              <w:bottom w:val="single" w:sz="8" w:color="CCEEFF"/>
            </w:tcBorders>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Non-current portion of lease liabilities</w:t>
            </w:r>
          </w:p>
        </w:tc>
        <w:tc>
          <w:tcPr>
            <w:tcW w:w="4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105,123</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9"/>
              <w:spacing w:after="0" w:line="159" w:lineRule="exact"/>
              <w:rPr>
                <w:sz w:val="20"/>
                <w:szCs w:val="20"/>
                <w:color w:val="auto"/>
              </w:rPr>
            </w:pPr>
            <w:r>
              <w:rPr>
                <w:rFonts w:ascii="Times New Roman" w:cs="Times New Roman" w:eastAsia="Times New Roman" w:hAnsi="Times New Roman"/>
                <w:sz w:val="14"/>
                <w:szCs w:val="14"/>
                <w:color w:val="auto"/>
              </w:rPr>
              <w:t>115,374</w:t>
            </w:r>
          </w:p>
        </w:tc>
      </w:tr>
      <w:tr>
        <w:trPr>
          <w:trHeight w:val="175"/>
        </w:trPr>
        <w:tc>
          <w:tcPr>
            <w:tcW w:w="6460" w:type="dxa"/>
            <w:vAlign w:val="bottom"/>
            <w:tcBorders>
              <w:bottom w:val="single" w:sz="8" w:color="CCEEFF"/>
            </w:tcBorders>
            <w:gridSpan w:val="2"/>
            <w:shd w:val="clear" w:color="auto" w:fill="CCEEFF"/>
          </w:tcPr>
          <w:p>
            <w:pPr>
              <w:ind w:left="140"/>
              <w:spacing w:after="0" w:line="150" w:lineRule="exact"/>
              <w:rPr>
                <w:sz w:val="20"/>
                <w:szCs w:val="20"/>
                <w:color w:val="auto"/>
              </w:rPr>
            </w:pPr>
            <w:r>
              <w:rPr>
                <w:rFonts w:ascii="Times New Roman" w:cs="Times New Roman" w:eastAsia="Times New Roman" w:hAnsi="Times New Roman"/>
                <w:sz w:val="14"/>
                <w:szCs w:val="14"/>
                <w:color w:val="auto"/>
              </w:rPr>
              <w:t>Total lease liabilities</w:t>
            </w:r>
          </w:p>
        </w:tc>
        <w:tc>
          <w:tcPr>
            <w:tcW w:w="4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4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rPr>
              <w:t>117,361</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69"/>
              <w:spacing w:after="0" w:line="150"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29"/>
              <w:spacing w:after="0" w:line="150" w:lineRule="exact"/>
              <w:rPr>
                <w:sz w:val="20"/>
                <w:szCs w:val="20"/>
                <w:color w:val="auto"/>
              </w:rPr>
            </w:pPr>
            <w:r>
              <w:rPr>
                <w:rFonts w:ascii="Times New Roman" w:cs="Times New Roman" w:eastAsia="Times New Roman" w:hAnsi="Times New Roman"/>
                <w:sz w:val="14"/>
                <w:szCs w:val="14"/>
                <w:color w:val="auto"/>
              </w:rPr>
              <w:t>126,998</w:t>
            </w:r>
          </w:p>
        </w:tc>
      </w:tr>
      <w:tr>
        <w:trPr>
          <w:trHeight w:val="20"/>
        </w:trPr>
        <w:tc>
          <w:tcPr>
            <w:tcW w:w="64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9"/>
        </w:trPr>
        <w:tc>
          <w:tcPr>
            <w:tcW w:w="64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8.74</w:t>
            </w:r>
          </w:p>
        </w:tc>
      </w:tr>
      <w:tr>
        <w:trPr>
          <w:trHeight w:val="18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4.20 %</w:t>
            </w:r>
          </w:p>
        </w:tc>
      </w:tr>
      <w:tr>
        <w:trPr>
          <w:trHeight w:val="558"/>
        </w:trPr>
        <w:tc>
          <w:tcPr>
            <w:tcW w:w="64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Supplemental cash and non-cash information related to operating leases was as follows (in thousands):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years ended July 31,</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1"/>
        </w:trPr>
        <w:tc>
          <w:tcPr>
            <w:tcW w:w="10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1"/>
        </w:trPr>
        <w:tc>
          <w:tcPr>
            <w:tcW w:w="64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 operating leases</w:t>
            </w: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19,120</w:t>
            </w: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17,837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w:t>
            </w:r>
          </w:p>
        </w:tc>
      </w:tr>
      <w:tr>
        <w:trPr>
          <w:trHeight w:val="18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5,867</w:t>
            </w:r>
          </w:p>
        </w:tc>
        <w:tc>
          <w:tcPr>
            <w:tcW w:w="1020" w:type="dxa"/>
            <w:vAlign w:val="bottom"/>
            <w:gridSpan w:val="2"/>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Commitments and Contingencies</w:t>
      </w: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contractual obligations and commitments as of July 31, 2022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Lease Obligations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4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7"/>
              </w:rPr>
              <w:t>Royalty Obligations</w:t>
            </w:r>
            <w:r>
              <w:rPr>
                <w:rFonts w:ascii="Times New Roman" w:cs="Times New Roman" w:eastAsia="Times New Roman" w:hAnsi="Times New Roman"/>
                <w:sz w:val="18"/>
                <w:szCs w:val="18"/>
                <w:b w:val="1"/>
                <w:bCs w:val="1"/>
                <w:color w:val="auto"/>
                <w:w w:val="97"/>
                <w:vertAlign w:val="superscript"/>
              </w:rPr>
              <w:t>(2)</w:t>
            </w:r>
          </w:p>
        </w:tc>
        <w:tc>
          <w:tcPr>
            <w:tcW w:w="260" w:type="dxa"/>
            <w:vAlign w:val="bottom"/>
          </w:tcPr>
          <w:p>
            <w:pPr>
              <w:spacing w:after="0"/>
              <w:rPr>
                <w:sz w:val="13"/>
                <w:szCs w:val="13"/>
                <w:color w:val="auto"/>
              </w:rPr>
            </w:pPr>
          </w:p>
        </w:tc>
        <w:tc>
          <w:tcPr>
            <w:tcW w:w="13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3"/>
                <w:szCs w:val="13"/>
                <w:color w:val="auto"/>
              </w:rPr>
            </w:pPr>
          </w:p>
        </w:tc>
        <w:tc>
          <w:tcPr>
            <w:tcW w:w="142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Long Term Debt</w:t>
            </w:r>
            <w:r>
              <w:rPr>
                <w:rFonts w:ascii="Times New Roman" w:cs="Times New Roman" w:eastAsia="Times New Roman" w:hAnsi="Times New Roman"/>
                <w:sz w:val="18"/>
                <w:szCs w:val="18"/>
                <w:b w:val="1"/>
                <w:bCs w:val="1"/>
                <w:color w:val="auto"/>
                <w:vertAlign w:val="superscript"/>
              </w:rPr>
              <w:t>(4)</w:t>
            </w:r>
          </w:p>
        </w:tc>
        <w:tc>
          <w:tcPr>
            <w:tcW w:w="420" w:type="dxa"/>
            <w:vAlign w:val="bottom"/>
          </w:tcPr>
          <w:p>
            <w:pPr>
              <w:spacing w:after="0"/>
              <w:rPr>
                <w:sz w:val="13"/>
                <w:szCs w:val="13"/>
                <w:color w:val="auto"/>
              </w:rPr>
            </w:pPr>
          </w:p>
        </w:tc>
        <w:tc>
          <w:tcPr>
            <w:tcW w:w="1200" w:type="dxa"/>
            <w:vAlign w:val="bottom"/>
            <w:vMerge w:val="restart"/>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49"/>
              <w:spacing w:after="0" w:line="189" w:lineRule="exact"/>
              <w:rPr>
                <w:sz w:val="20"/>
                <w:szCs w:val="20"/>
                <w:color w:val="auto"/>
              </w:rPr>
            </w:pPr>
            <w:r>
              <w:rPr>
                <w:rFonts w:ascii="Times New Roman" w:cs="Times New Roman" w:eastAsia="Times New Roman" w:hAnsi="Times New Roman"/>
                <w:sz w:val="14"/>
                <w:szCs w:val="14"/>
                <w:b w:val="1"/>
                <w:bCs w:val="1"/>
                <w:color w:val="auto"/>
              </w:rPr>
              <w:t>Commitments</w:t>
            </w:r>
            <w:r>
              <w:rPr>
                <w:rFonts w:ascii="Times New Roman" w:cs="Times New Roman" w:eastAsia="Times New Roman" w:hAnsi="Times New Roman"/>
                <w:sz w:val="18"/>
                <w:szCs w:val="18"/>
                <w:b w:val="1"/>
                <w:bCs w:val="1"/>
                <w:color w:val="auto"/>
                <w:vertAlign w:val="superscript"/>
              </w:rPr>
              <w:t>(3)</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July 31,</w:t>
            </w: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16,669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57,715</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83,522</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17,712</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30,954</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54,251</w:t>
            </w:r>
          </w:p>
        </w:tc>
        <w:tc>
          <w:tcPr>
            <w:tcW w:w="0" w:type="dxa"/>
            <w:vAlign w:val="bottom"/>
          </w:tcPr>
          <w:p>
            <w:pPr>
              <w:spacing w:after="0"/>
              <w:rPr>
                <w:sz w:val="1"/>
                <w:szCs w:val="1"/>
                <w:color w:val="auto"/>
              </w:rPr>
            </w:pPr>
          </w:p>
        </w:tc>
      </w:tr>
      <w:tr>
        <w:trPr>
          <w:trHeight w:val="180"/>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5"/>
                <w:szCs w:val="15"/>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17,869</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8,926</w:t>
            </w:r>
          </w:p>
        </w:tc>
        <w:tc>
          <w:tcPr>
            <w:tcW w:w="22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405,000</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432,087</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17,792</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477</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18,269</w:t>
            </w:r>
          </w:p>
        </w:tc>
        <w:tc>
          <w:tcPr>
            <w:tcW w:w="0" w:type="dxa"/>
            <w:vAlign w:val="bottom"/>
          </w:tcPr>
          <w:p>
            <w:pPr>
              <w:spacing w:after="0"/>
              <w:rPr>
                <w:sz w:val="1"/>
                <w:szCs w:val="1"/>
                <w:color w:val="auto"/>
              </w:rPr>
            </w:pPr>
          </w:p>
        </w:tc>
      </w:tr>
      <w:tr>
        <w:trPr>
          <w:trHeight w:val="180"/>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5"/>
                <w:szCs w:val="15"/>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17,370</w:t>
            </w: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17,370</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49,423</w:t>
            </w:r>
          </w:p>
        </w:tc>
        <w:tc>
          <w:tcPr>
            <w:tcW w:w="1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49,423</w:t>
            </w:r>
          </w:p>
        </w:tc>
        <w:tc>
          <w:tcPr>
            <w:tcW w:w="0" w:type="dxa"/>
            <w:vAlign w:val="bottom"/>
          </w:tcPr>
          <w:p>
            <w:pPr>
              <w:spacing w:after="0"/>
              <w:rPr>
                <w:sz w:val="1"/>
                <w:szCs w:val="1"/>
                <w:color w:val="auto"/>
              </w:rPr>
            </w:pPr>
          </w:p>
        </w:tc>
      </w:tr>
      <w:tr>
        <w:trPr>
          <w:trHeight w:val="171"/>
        </w:trPr>
        <w:tc>
          <w:tcPr>
            <w:tcW w:w="3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136,835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98,072</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415,000</w:t>
            </w:r>
          </w:p>
        </w:tc>
        <w:tc>
          <w:tcPr>
            <w:tcW w:w="4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654,922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40" w:hanging="135"/>
        <w:spacing w:after="0"/>
        <w:tabs>
          <w:tab w:leader="none" w:pos="140"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Lease obligations primarily represent payments required under the Company’s non-cancellable lease agreements for the Company’s corporate headquarters and worldwide offices through 2032.</w:t>
      </w:r>
    </w:p>
    <w:p>
      <w:pPr>
        <w:spacing w:after="0" w:line="3" w:lineRule="exact"/>
        <w:rPr>
          <w:rFonts w:ascii="Times New Roman" w:cs="Times New Roman" w:eastAsia="Times New Roman" w:hAnsi="Times New Roman"/>
          <w:sz w:val="17"/>
          <w:szCs w:val="17"/>
          <w:color w:val="auto"/>
          <w:vertAlign w:val="superscript"/>
        </w:rPr>
      </w:pPr>
    </w:p>
    <w:p>
      <w:pPr>
        <w:ind w:left="140" w:hanging="135"/>
        <w:spacing w:after="0" w:line="187" w:lineRule="auto"/>
        <w:tabs>
          <w:tab w:leader="none" w:pos="14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Royalty obligations primarily represent the Company’s obligations under non-cancellable agreements related to software used in certain revenue-generating agreements.</w:t>
      </w:r>
    </w:p>
    <w:p>
      <w:pPr>
        <w:spacing w:after="0" w:line="3" w:lineRule="exact"/>
        <w:rPr>
          <w:rFonts w:ascii="Times New Roman" w:cs="Times New Roman" w:eastAsia="Times New Roman" w:hAnsi="Times New Roman"/>
          <w:sz w:val="15"/>
          <w:szCs w:val="15"/>
          <w:color w:val="auto"/>
          <w:vertAlign w:val="superscript"/>
        </w:rPr>
      </w:pPr>
    </w:p>
    <w:p>
      <w:pPr>
        <w:ind w:left="140" w:hanging="135"/>
        <w:spacing w:after="0" w:line="195" w:lineRule="auto"/>
        <w:tabs>
          <w:tab w:leader="none" w:pos="143" w:val="left"/>
        </w:tabs>
        <w:numPr>
          <w:ilvl w:val="0"/>
          <w:numId w:val="2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Purchase commitments represent commitments to purchase goods and services, entered into in the ordinary course of business, for which a penalty could be imposed if the agreement was cancelled for any reason other than an event of default as described by the agreement.</w:t>
      </w:r>
    </w:p>
    <w:p>
      <w:pPr>
        <w:ind w:left="140" w:hanging="135"/>
        <w:spacing w:after="0" w:line="191" w:lineRule="auto"/>
        <w:tabs>
          <w:tab w:leader="none" w:pos="140" w:val="left"/>
        </w:tabs>
        <w:numPr>
          <w:ilvl w:val="0"/>
          <w:numId w:val="2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Long-term debt consists of principal and interest payments on the Company’s Convertible Senior Notes. The $400 million in principal will be due in March 2025.</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From time to time, the Company is involved in various legal proceedings and receives claims, arising from the normal course of business activities. The Company has not recorded any accrual for claims as of July 31, 2022 and 2021, respectively. The Company has not accrued for estimated losses in the accompanying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has not had to reimburse any of its customers for Losses related to indemnification provisions and no material claims against the Company were outstanding as of July 31, 2022 and 2021.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9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60" w:lineRule="exact"/>
        <w:rPr>
          <w:sz w:val="20"/>
          <w:szCs w:val="20"/>
          <w:color w:val="auto"/>
        </w:rPr>
      </w:pPr>
    </w:p>
    <w:p>
      <w:pPr>
        <w:ind w:left="360" w:right="7280" w:hanging="355"/>
        <w:spacing w:after="0" w:line="444" w:lineRule="auto"/>
        <w:tabs>
          <w:tab w:leader="none" w:pos="222"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Stock-Based Compensation Expense and Shareholders’ Equity </w:t>
      </w:r>
      <w:r>
        <w:rPr>
          <w:rFonts w:ascii="Times New Roman" w:cs="Times New Roman" w:eastAsia="Times New Roman" w:hAnsi="Times New Roman"/>
          <w:sz w:val="14"/>
          <w:szCs w:val="14"/>
          <w:b w:val="1"/>
          <w:bCs w:val="1"/>
          <w:i w:val="1"/>
          <w:iCs w:val="1"/>
          <w:color w:val="auto"/>
        </w:rPr>
        <w:t>Stock-Based Compensation Expense</w:t>
      </w:r>
    </w:p>
    <w:p>
      <w:pPr>
        <w:ind w:left="3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Stock-based compensation expense related to stock options and Stock Awards is included in the Company’s consolidated statements of operations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138,156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102,191</w:t>
            </w:r>
          </w:p>
        </w:tc>
      </w:tr>
      <w:tr>
        <w:trPr>
          <w:trHeight w:val="180"/>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impact of deferred stock-based compensation</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96"/>
        </w:trPr>
        <w:tc>
          <w:tcPr>
            <w:tcW w:w="6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137,011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115,009</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101,817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is included in the following categories: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subscription and support revenue</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14,614</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license revenue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services revenue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20,816</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26,324</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21,260</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29,660</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25,073</w:t>
            </w:r>
          </w:p>
        </w:tc>
      </w:tr>
      <w:tr>
        <w:trPr>
          <w:trHeight w:val="171"/>
        </w:trPr>
        <w:tc>
          <w:tcPr>
            <w:tcW w:w="6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101,817</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benefit from stock-based compensation</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26,151</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r>
      <w:tr>
        <w:trPr>
          <w:trHeight w:val="171"/>
        </w:trPr>
        <w:tc>
          <w:tcPr>
            <w:tcW w:w="6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stock-based compensation, net of tax effect</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110,860</w:t>
            </w:r>
          </w:p>
        </w:tc>
        <w:tc>
          <w:tcPr>
            <w:tcW w:w="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83,118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73,457</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66"/>
        </w:trPr>
        <w:tc>
          <w:tcPr>
            <w:tcW w:w="6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Total unrecognized stock-based compensation expense related to the Company’s stock options and Stock Awards as of July 31, 2022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Unrecognized Expense</w:t>
            </w:r>
          </w:p>
        </w:tc>
        <w:tc>
          <w:tcPr>
            <w:tcW w:w="80" w:type="dxa"/>
            <w:vAlign w:val="bottom"/>
          </w:tcPr>
          <w:p>
            <w:pPr>
              <w:spacing w:after="0"/>
              <w:rPr>
                <w:sz w:val="11"/>
                <w:szCs w:val="11"/>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Expected Recognition</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right"/>
              <w:ind w:right="833"/>
              <w:spacing w:after="0" w:line="115" w:lineRule="exact"/>
              <w:rPr>
                <w:sz w:val="20"/>
                <w:szCs w:val="20"/>
                <w:color w:val="auto"/>
              </w:rPr>
            </w:pPr>
            <w:r>
              <w:rPr>
                <w:rFonts w:ascii="Times New Roman" w:cs="Times New Roman" w:eastAsia="Times New Roman" w:hAnsi="Times New Roman"/>
                <w:sz w:val="11"/>
                <w:szCs w:val="11"/>
                <w:b w:val="1"/>
                <w:bCs w:val="1"/>
                <w:color w:val="auto"/>
              </w:rPr>
              <w:t>Period</w:t>
            </w:r>
          </w:p>
        </w:tc>
        <w:tc>
          <w:tcPr>
            <w:tcW w:w="0" w:type="dxa"/>
            <w:vAlign w:val="bottom"/>
          </w:tcPr>
          <w:p>
            <w:pPr>
              <w:spacing w:after="0"/>
              <w:rPr>
                <w:sz w:val="1"/>
                <w:szCs w:val="1"/>
                <w:color w:val="auto"/>
              </w:rPr>
            </w:pPr>
          </w:p>
        </w:tc>
      </w:tr>
      <w:tr>
        <w:trPr>
          <w:trHeight w:val="155"/>
        </w:trPr>
        <w:tc>
          <w:tcPr>
            <w:tcW w:w="64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5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265,475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unrecognized stock-based compensation expense</w:t>
            </w:r>
          </w:p>
        </w:tc>
        <w:tc>
          <w:tcPr>
            <w:tcW w:w="5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267,032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64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20" w:type="dxa"/>
            <w:vAlign w:val="bottom"/>
            <w:gridSpan w:val="3"/>
          </w:tcPr>
          <w:p>
            <w:pPr>
              <w:jc w:val="right"/>
              <w:ind w:right="1316"/>
              <w:spacing w:after="0"/>
              <w:rPr>
                <w:sz w:val="20"/>
                <w:szCs w:val="20"/>
                <w:color w:val="auto"/>
              </w:rPr>
            </w:pPr>
            <w:r>
              <w:rPr>
                <w:rFonts w:ascii="Times New Roman" w:cs="Times New Roman" w:eastAsia="Times New Roman" w:hAnsi="Times New Roman"/>
                <w:sz w:val="14"/>
                <w:szCs w:val="14"/>
                <w:color w:val="auto"/>
              </w:rPr>
              <w:t>A summary of the Company’s Stock Awards activity under the Company’s equity incentive plans is as follows:</w:t>
            </w: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4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Stock Awards Outstanding</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156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Number of Stock Awards</w:t>
            </w:r>
          </w:p>
        </w:tc>
        <w:tc>
          <w:tcPr>
            <w:tcW w:w="60" w:type="dxa"/>
            <w:vAlign w:val="bottom"/>
          </w:tcPr>
          <w:p>
            <w:pPr>
              <w:spacing w:after="0"/>
              <w:rPr>
                <w:sz w:val="9"/>
                <w:szCs w:val="9"/>
                <w:color w:val="auto"/>
              </w:rPr>
            </w:pPr>
          </w:p>
        </w:tc>
        <w:tc>
          <w:tcPr>
            <w:tcW w:w="1640" w:type="dxa"/>
            <w:vAlign w:val="bottom"/>
            <w:gridSpan w:val="4"/>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120" w:type="dxa"/>
            <w:vAlign w:val="bottom"/>
          </w:tcPr>
          <w:p>
            <w:pPr>
              <w:spacing w:after="0"/>
              <w:rPr>
                <w:sz w:val="9"/>
                <w:szCs w:val="9"/>
                <w:color w:val="auto"/>
              </w:rPr>
            </w:pPr>
          </w:p>
        </w:tc>
        <w:tc>
          <w:tcPr>
            <w:tcW w:w="1440" w:type="dxa"/>
            <w:vAlign w:val="bottom"/>
          </w:tcPr>
          <w:p>
            <w:pPr>
              <w:jc w:val="right"/>
              <w:ind w:right="33"/>
              <w:spacing w:after="0" w:line="108" w:lineRule="exact"/>
              <w:rPr>
                <w:sz w:val="20"/>
                <w:szCs w:val="20"/>
                <w:color w:val="auto"/>
              </w:rPr>
            </w:pPr>
            <w:r>
              <w:rPr>
                <w:rFonts w:ascii="Times New Roman" w:cs="Times New Roman" w:eastAsia="Times New Roman" w:hAnsi="Times New Roman"/>
                <w:sz w:val="11"/>
                <w:szCs w:val="11"/>
                <w:b w:val="1"/>
                <w:bCs w:val="1"/>
                <w:color w:val="auto"/>
              </w:rPr>
              <w:t>Aggregate Intrinsic Value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2,384,673</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243,427</w:t>
            </w:r>
          </w:p>
        </w:tc>
        <w:tc>
          <w:tcPr>
            <w:tcW w:w="0" w:type="dxa"/>
            <w:vAlign w:val="bottom"/>
          </w:tcPr>
          <w:p>
            <w:pPr>
              <w:spacing w:after="0"/>
              <w:rPr>
                <w:sz w:val="1"/>
                <w:szCs w:val="1"/>
                <w:color w:val="auto"/>
              </w:rPr>
            </w:pPr>
          </w:p>
        </w:tc>
      </w:tr>
      <w:tr>
        <w:trPr>
          <w:trHeight w:val="180"/>
        </w:trPr>
        <w:tc>
          <w:tcPr>
            <w:tcW w:w="6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1,587,664</w:t>
            </w:r>
          </w:p>
        </w:tc>
        <w:tc>
          <w:tcPr>
            <w:tcW w:w="11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(1,217,337)</w:t>
            </w:r>
          </w:p>
        </w:tc>
        <w:tc>
          <w:tcPr>
            <w:tcW w:w="11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121,915</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(309,302)</w:t>
            </w:r>
          </w:p>
        </w:tc>
        <w:tc>
          <w:tcPr>
            <w:tcW w:w="1100" w:type="dxa"/>
            <w:vAlign w:val="bottom"/>
            <w:tcBorders>
              <w:bottom w:val="single" w:sz="8" w:color="CCEEFF"/>
            </w:tcBorders>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87.25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2,445,698</w:t>
            </w:r>
          </w:p>
        </w:tc>
        <w:tc>
          <w:tcPr>
            <w:tcW w:w="11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287,761</w:t>
            </w:r>
          </w:p>
        </w:tc>
        <w:tc>
          <w:tcPr>
            <w:tcW w:w="0" w:type="dxa"/>
            <w:vAlign w:val="bottom"/>
          </w:tcPr>
          <w:p>
            <w:pPr>
              <w:spacing w:after="0"/>
              <w:rPr>
                <w:sz w:val="1"/>
                <w:szCs w:val="1"/>
                <w:color w:val="auto"/>
              </w:rPr>
            </w:pPr>
          </w:p>
        </w:tc>
      </w:tr>
      <w:tr>
        <w:trPr>
          <w:trHeight w:val="180"/>
        </w:trPr>
        <w:tc>
          <w:tcPr>
            <w:tcW w:w="6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1,429,325</w:t>
            </w:r>
          </w:p>
        </w:tc>
        <w:tc>
          <w:tcPr>
            <w:tcW w:w="11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Released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(1,167,291)</w:t>
            </w:r>
          </w:p>
        </w:tc>
        <w:tc>
          <w:tcPr>
            <w:tcW w:w="11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131,188</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(312,764)</w:t>
            </w:r>
          </w:p>
        </w:tc>
        <w:tc>
          <w:tcPr>
            <w:tcW w:w="1100" w:type="dxa"/>
            <w:vAlign w:val="bottom"/>
            <w:tcBorders>
              <w:bottom w:val="single" w:sz="8" w:color="CCEEFF"/>
            </w:tcBorders>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103.22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2,394,968</w:t>
            </w:r>
          </w:p>
        </w:tc>
        <w:tc>
          <w:tcPr>
            <w:tcW w:w="11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275,900</w:t>
            </w:r>
          </w:p>
        </w:tc>
        <w:tc>
          <w:tcPr>
            <w:tcW w:w="0" w:type="dxa"/>
            <w:vAlign w:val="bottom"/>
          </w:tcPr>
          <w:p>
            <w:pPr>
              <w:spacing w:after="0"/>
              <w:rPr>
                <w:sz w:val="1"/>
                <w:szCs w:val="1"/>
                <w:color w:val="auto"/>
              </w:rPr>
            </w:pPr>
          </w:p>
        </w:tc>
      </w:tr>
      <w:tr>
        <w:trPr>
          <w:trHeight w:val="180"/>
        </w:trPr>
        <w:tc>
          <w:tcPr>
            <w:tcW w:w="6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1,942,391</w:t>
            </w:r>
          </w:p>
        </w:tc>
        <w:tc>
          <w:tcPr>
            <w:tcW w:w="110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Released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(1,202,125)</w:t>
            </w:r>
          </w:p>
        </w:tc>
        <w:tc>
          <w:tcPr>
            <w:tcW w:w="11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118,669</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(349,881)</w:t>
            </w:r>
          </w:p>
        </w:tc>
        <w:tc>
          <w:tcPr>
            <w:tcW w:w="1100" w:type="dxa"/>
            <w:vAlign w:val="bottom"/>
            <w:tcBorders>
              <w:bottom w:val="single" w:sz="8" w:color="CCEEFF"/>
            </w:tcBorders>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111.80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2,785,353</w:t>
            </w:r>
          </w:p>
        </w:tc>
        <w:tc>
          <w:tcPr>
            <w:tcW w:w="110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216,478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Expected to vest as of July 31, 2022</w:t>
            </w:r>
          </w:p>
        </w:tc>
        <w:tc>
          <w:tcPr>
            <w:tcW w:w="1560" w:type="dxa"/>
            <w:vAlign w:val="bottom"/>
            <w:tcBorders>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2,785,353</w:t>
            </w:r>
          </w:p>
        </w:tc>
        <w:tc>
          <w:tcPr>
            <w:tcW w:w="1100" w:type="dxa"/>
            <w:vAlign w:val="bottom"/>
            <w:gridSpan w:val="2"/>
          </w:tcPr>
          <w:p>
            <w:pPr>
              <w:jc w:val="right"/>
              <w:ind w:right="880"/>
              <w:spacing w:after="0" w:line="143"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110.47</w:t>
            </w:r>
          </w:p>
        </w:tc>
        <w:tc>
          <w:tcPr>
            <w:tcW w:w="8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216,478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jc w:val="both"/>
        <w:ind w:left="140" w:hanging="126"/>
        <w:spacing w:after="0" w:line="228"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Aggregate intrinsic value at each period end represents the total market value of Stock Awards at the Company’s closing stock price of $77.72, $115.20, and $117.66 on July 31, 2022, 2021, and 2020, respectively. Aggregate intrinsic value for released Stock Awards represents the total market value of released Stock Awards at date of release.</w:t>
      </w:r>
    </w:p>
    <w:p>
      <w:pPr>
        <w:spacing w:after="0" w:line="12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Certain executives and employees of the Company received PSUs and TSR PSUs in addition to RSUs. PSUs awarded in fiscal years 2022 and 2021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$14.7 million, $13.9 million, and $13.1 million in fiscal years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summary of stock option activity under the Company’s equity incentive plans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1"/>
                <w:szCs w:val="11"/>
                <w:color w:val="auto"/>
              </w:rPr>
            </w:pPr>
          </w:p>
        </w:tc>
        <w:tc>
          <w:tcPr>
            <w:tcW w:w="156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Number of Stock Options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00" w:type="dxa"/>
            <w:vAlign w:val="bottom"/>
          </w:tcPr>
          <w:p>
            <w:pPr>
              <w:spacing w:after="0"/>
              <w:rPr>
                <w:sz w:val="11"/>
                <w:szCs w:val="11"/>
                <w:color w:val="auto"/>
              </w:rPr>
            </w:pPr>
          </w:p>
        </w:tc>
        <w:tc>
          <w:tcPr>
            <w:tcW w:w="146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Aggregate Intrinsic Value</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Contractual Life</w:t>
            </w:r>
          </w:p>
        </w:tc>
        <w:tc>
          <w:tcPr>
            <w:tcW w:w="1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800" w:type="dxa"/>
            <w:vAlign w:val="bottom"/>
          </w:tcPr>
          <w:p>
            <w:pPr>
              <w:spacing w:after="0"/>
              <w:rPr>
                <w:sz w:val="13"/>
                <w:szCs w:val="13"/>
                <w:color w:val="auto"/>
              </w:rPr>
            </w:pPr>
          </w:p>
        </w:tc>
        <w:tc>
          <w:tcPr>
            <w:tcW w:w="1560" w:type="dxa"/>
            <w:vAlign w:val="bottom"/>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3"/>
                <w:szCs w:val="13"/>
                <w:color w:val="auto"/>
              </w:rPr>
            </w:pPr>
          </w:p>
        </w:tc>
        <w:tc>
          <w:tcPr>
            <w:tcW w:w="14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2019</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216,727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14,733</w:t>
            </w:r>
          </w:p>
        </w:tc>
        <w:tc>
          <w:tcPr>
            <w:tcW w:w="0" w:type="dxa"/>
            <w:vAlign w:val="bottom"/>
          </w:tcPr>
          <w:p>
            <w:pPr>
              <w:spacing w:after="0"/>
              <w:rPr>
                <w:sz w:val="1"/>
                <w:szCs w:val="1"/>
                <w:color w:val="auto"/>
              </w:rPr>
            </w:pPr>
          </w:p>
        </w:tc>
      </w:tr>
      <w:tr>
        <w:trPr>
          <w:trHeight w:val="180"/>
        </w:trPr>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8,917</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6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w:t>
            </w:r>
          </w:p>
        </w:tc>
        <w:tc>
          <w:tcPr>
            <w:tcW w:w="0" w:type="dxa"/>
            <w:vAlign w:val="bottom"/>
          </w:tcPr>
          <w:p>
            <w:pPr>
              <w:spacing w:after="0"/>
              <w:rPr>
                <w:sz w:val="1"/>
                <w:szCs w:val="1"/>
                <w:color w:val="auto"/>
              </w:rPr>
            </w:pPr>
          </w:p>
        </w:tc>
      </w:tr>
      <w:tr>
        <w:trPr>
          <w:trHeight w:val="180"/>
        </w:trPr>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6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0" w:type="dxa"/>
            <w:vAlign w:val="bottom"/>
          </w:tcPr>
          <w:p>
            <w:pPr>
              <w:spacing w:after="0"/>
              <w:rPr>
                <w:sz w:val="1"/>
                <w:szCs w:val="1"/>
                <w:color w:val="auto"/>
              </w:rPr>
            </w:pPr>
          </w:p>
        </w:tc>
      </w:tr>
      <w:tr>
        <w:trPr>
          <w:trHeight w:val="180"/>
        </w:trPr>
        <w:tc>
          <w:tcPr>
            <w:tcW w:w="4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80"/>
        </w:trPr>
        <w:tc>
          <w:tcPr>
            <w:tcW w:w="4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July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0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as of July 31, 2022</w:t>
            </w:r>
          </w:p>
        </w:tc>
        <w:tc>
          <w:tcPr>
            <w:tcW w:w="1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75,706</w:t>
            </w:r>
          </w:p>
        </w:tc>
        <w:tc>
          <w:tcPr>
            <w:tcW w:w="1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61.93</w:t>
            </w:r>
          </w:p>
        </w:tc>
        <w:tc>
          <w:tcPr>
            <w:tcW w:w="60" w:type="dxa"/>
            <w:vAlign w:val="bottom"/>
          </w:tcPr>
          <w:p>
            <w:pPr>
              <w:spacing w:after="0"/>
              <w:rPr>
                <w:sz w:val="12"/>
                <w:szCs w:val="12"/>
                <w:color w:val="auto"/>
              </w:rPr>
            </w:pPr>
          </w:p>
        </w:tc>
        <w:tc>
          <w:tcPr>
            <w:tcW w:w="1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2"/>
                <w:szCs w:val="12"/>
                <w:color w:val="auto"/>
              </w:rPr>
            </w:pPr>
          </w:p>
        </w:tc>
        <w:tc>
          <w:tcPr>
            <w:tcW w:w="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1,196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July 31,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jc w:val="both"/>
        <w:ind w:left="140" w:hanging="126"/>
        <w:spacing w:after="0" w:line="220"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Aggregate intrinsic value at each fiscal year end represents the difference between the Company’s closing stock price of $77.72, $115.20, and $117.66 on July 31, 2022, 2021, and 2020, respectively, and the exercise price of outstanding stock options. Aggregate intrinsic value for exercised options represents the difference between the Company’s stock price at date of exercise and the exercise price.</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Valuation of Awards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fair value of the stock options is estimated at the grant date using the Black-Scholes option-pricing model, which included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00" w:type="dxa"/>
            <w:vAlign w:val="bottom"/>
          </w:tcPr>
          <w:p>
            <w:pPr>
              <w:spacing w:after="0"/>
              <w:rPr>
                <w:sz w:val="13"/>
                <w:szCs w:val="13"/>
                <w:color w:val="auto"/>
              </w:rPr>
            </w:pPr>
          </w:p>
        </w:tc>
        <w:tc>
          <w:tcPr>
            <w:tcW w:w="20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Fiscal year ended July 31,</w:t>
            </w:r>
          </w:p>
        </w:tc>
      </w:tr>
      <w:tr>
        <w:trPr>
          <w:trHeight w:val="154"/>
        </w:trPr>
        <w:tc>
          <w:tcPr>
            <w:tcW w:w="92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r>
      <w:tr>
        <w:trPr>
          <w:trHeight w:val="17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6.00</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- 3.55%</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- 31.94%</w:t>
            </w:r>
          </w:p>
        </w:tc>
      </w:tr>
      <w:tr>
        <w:trPr>
          <w:trHeight w:val="184"/>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stock options granted during fiscal years 2021 and 2020.</w:t>
      </w:r>
    </w:p>
    <w:p>
      <w:pPr>
        <w:spacing w:after="0" w:line="3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TSR PSUs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fair value of the TSR PSUs is estimated at the grant date using a Monte Carlo simulation model which included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00" w:type="dxa"/>
            <w:vAlign w:val="bottom"/>
          </w:tcPr>
          <w:p>
            <w:pPr>
              <w:spacing w:after="0"/>
              <w:rPr>
                <w:sz w:val="13"/>
                <w:szCs w:val="13"/>
                <w:color w:val="auto"/>
              </w:rPr>
            </w:pPr>
          </w:p>
        </w:tc>
        <w:tc>
          <w:tcPr>
            <w:tcW w:w="2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Fiscal year ended July 31,</w:t>
            </w:r>
          </w:p>
        </w:tc>
      </w:tr>
      <w:tr>
        <w:trPr>
          <w:trHeight w:val="154"/>
        </w:trPr>
        <w:tc>
          <w:tcPr>
            <w:tcW w:w="920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2020</w:t>
            </w:r>
          </w:p>
        </w:tc>
      </w:tr>
      <w:tr>
        <w:trPr>
          <w:trHeight w:val="176"/>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2.90</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1.46%</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the Company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28.4%</w:t>
            </w: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expected volatility of the peer companies in the S&amp;P Index</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TSR PSUs granted during fiscal years 2022 and 2021.</w:t>
      </w:r>
    </w:p>
    <w:p>
      <w:pPr>
        <w:spacing w:after="0" w:line="13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Issuance</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July 31, 2022 and 2021, the Company was authorized to issue 500,000,000 shares of common stock with a par value of $0.0001 per share and, of these, 84,084,209 and 83,194,157 shares of common stock were issued and outstanding, respectively. As of July 31, 2022 and 2021, the Company had reserved shares of common stock for future issuance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b w:val="1"/>
                <w:bCs w:val="1"/>
                <w:color w:val="auto"/>
              </w:rPr>
              <w:t>July 31, 2022</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July 31, 2021</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to purchase common stock</w:t>
            </w:r>
          </w:p>
        </w:tc>
        <w:tc>
          <w:tcPr>
            <w:tcW w:w="1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75,706</w:t>
            </w: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25,278</w:t>
            </w:r>
          </w:p>
        </w:tc>
      </w:tr>
      <w:tr>
        <w:trPr>
          <w:trHeight w:val="180"/>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of stock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2,785,353</w:t>
            </w:r>
          </w:p>
        </w:tc>
        <w:tc>
          <w:tcPr>
            <w:tcW w:w="8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2,394,968</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under stock plans</w:t>
            </w:r>
          </w:p>
        </w:tc>
        <w:tc>
          <w:tcPr>
            <w:tcW w:w="14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3,360,659</w:t>
            </w:r>
          </w:p>
        </w:tc>
        <w:tc>
          <w:tcPr>
            <w:tcW w:w="80" w:type="dxa"/>
            <w:vAlign w:val="bottom"/>
            <w:shd w:val="clear" w:color="auto" w:fill="CCEEFF"/>
          </w:tcPr>
          <w:p>
            <w:pPr>
              <w:spacing w:after="0"/>
              <w:rPr>
                <w:sz w:val="15"/>
                <w:szCs w:val="15"/>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5,014,069</w:t>
            </w:r>
          </w:p>
        </w:tc>
      </w:tr>
      <w:tr>
        <w:trPr>
          <w:trHeight w:val="171"/>
        </w:trPr>
        <w:tc>
          <w:tcPr>
            <w:tcW w:w="84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common stock reserved for issuance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6,221,718</w:t>
            </w:r>
          </w:p>
        </w:tc>
        <w:tc>
          <w:tcPr>
            <w:tcW w:w="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7,434,315</w:t>
            </w:r>
          </w:p>
        </w:tc>
      </w:tr>
      <w:tr>
        <w:trPr>
          <w:trHeight w:val="20"/>
        </w:trPr>
        <w:tc>
          <w:tcPr>
            <w:tcW w:w="70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December 15, 2020, the Company’s stockholders adopted the 2020 Stock Plan (“2020 Plan”) for the purpose of granting equity-based incentive awards. The Company initially reserved 5,000,000 shares of its common stock for the issuance of awards under the 2020 Plan. The shares available for issuance are subject to adjustment in the event of a stock split, stock dividend or other defined changes in the Company’s capitalization. The 2020 Plan replaced the Company’s 2011 Stock Plan; however, awards outstanding under the 2011 Stock Plan will continue to be governed by their existing terms.</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shares the Company issues under the 2020 Plan will be from the Company's pool of authorized but unissued shares. The shares of common stock underlying any awards under the 2011 Stock Plan that are forfeited, canceled, held back upon exercise or settlement of an award to cover the exercise price or tax withholding, reacquired by the Company prior to vesting, satisfied without any issuance of stock or are otherwise terminated (other than by exercise) are added back to the shares of stock available for issuance under the 2020 Plan.</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October 2020, the Company's board of directors authorized and approved a share repurchase program of up to $200.0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share repurchase program was completed in the second quarter of fiscal year 2022. During the fiscal year ended July 31, 2022, the Company repurchased 322,545 shares of common stock at an average price of $116.11 per share, for an aggregate purchase price of $37.5 million. During the fiscal year ended July 31, 2021, the Company repurchased 1,488,991 shares of common stock at an average price of $109.17 per share, for an aggregate purchase price of $162.5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32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recognized an income tax benefit of $49.3 million for fiscal year 2022 compared to an income tax benefit of $37.8 million for fiscal year 2021. The increase in the Company’s income tax benefit for fiscal year 2022 was primarily due to an increase in pre-tax net loss, an increase in research and development credits, and a decrease in valuation allowance, partially offset by decreases in tax benefits such as the tax deductions from stock-based compensation, the tax impact from the tax status change of certain foreign subsidiaries from the prior year, and the release of uncertain tax positions from the prior year.</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effective tax rate could differ from the statutory U.S. Federal income tax rate of 21% mainly due to state taxes, tax deficiencies related to stock-based compensation, research and development credits, foreign earnings taxed in the United States, change in valuation allowance and certain non-deductible expenses, including, but not limited to, executive compensation limitation.</w:t>
      </w: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income (loss) before provision for (benefit from) income taxes is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(239,601)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(114,687)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(34,121)</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provision for (benefit from) income taxes</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(229,715)</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(104,281)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The provision for (benefit from) income taxes consisted of the following (in thousands):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6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Federal</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13,077</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0"/>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0" w:type="dxa"/>
            <w:vAlign w:val="bottom"/>
          </w:tcPr>
          <w:p>
            <w:pPr>
              <w:spacing w:after="0"/>
              <w:rPr>
                <w:sz w:val="1"/>
                <w:szCs w:val="1"/>
                <w:color w:val="auto"/>
              </w:rPr>
            </w:pPr>
          </w:p>
        </w:tc>
      </w:tr>
      <w:tr>
        <w:trPr>
          <w:trHeight w:val="171"/>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0" w:type="dxa"/>
            <w:vAlign w:val="bottom"/>
          </w:tcPr>
          <w:p>
            <w:pPr>
              <w:spacing w:after="0"/>
              <w:rPr>
                <w:sz w:val="1"/>
                <w:szCs w:val="1"/>
                <w:color w:val="auto"/>
              </w:rPr>
            </w:pP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Federal</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w:t>
            </w:r>
          </w:p>
        </w:tc>
        <w:tc>
          <w:tcPr>
            <w:tcW w:w="0" w:type="dxa"/>
            <w:vAlign w:val="bottom"/>
          </w:tcPr>
          <w:p>
            <w:pPr>
              <w:spacing w:after="0"/>
              <w:rPr>
                <w:sz w:val="1"/>
                <w:szCs w:val="1"/>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w:t>
            </w: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(53,116)</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(35,758)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(benefit from) income taxes</w:t>
            </w:r>
          </w:p>
        </w:tc>
        <w:tc>
          <w:tcPr>
            <w:tcW w:w="94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(49,284)</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Differences between income taxes calculated using the statutory federal income tax rate of 21% in the fiscal years ended July 31, 2022, 2021, and 2020, and the provision for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60"/>
        </w:trPr>
        <w:tc>
          <w:tcPr>
            <w:tcW w:w="64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federal income tax</w:t>
            </w:r>
          </w:p>
        </w:tc>
        <w:tc>
          <w:tcPr>
            <w:tcW w:w="58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(48,240)</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(5,109)</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 net of federal benefit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officers' compensation</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income taxed at different rates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tax credits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(4,905)</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Base erosion and anti-abuse tax</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status change of certain foreign subsidiaries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Non-deductible acquisition costs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differences and others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5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6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r>
      <w:tr>
        <w:trPr>
          <w:trHeight w:val="171"/>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provision for (benefit from) income taxes</w:t>
            </w:r>
          </w:p>
        </w:tc>
        <w:tc>
          <w:tcPr>
            <w:tcW w:w="5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(49,284)</w:t>
            </w:r>
          </w:p>
        </w:tc>
        <w:tc>
          <w:tcPr>
            <w:tcW w:w="60" w:type="dxa"/>
            <w:vAlign w:val="bottom"/>
          </w:tcPr>
          <w:p>
            <w:pPr>
              <w:spacing w:after="0"/>
              <w:rPr>
                <w:sz w:val="14"/>
                <w:szCs w:val="14"/>
                <w:color w:val="auto"/>
              </w:rPr>
            </w:pPr>
          </w:p>
        </w:tc>
        <w:tc>
          <w:tcPr>
            <w:tcW w:w="104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(37,774)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w:t>
            </w:r>
          </w:p>
        </w:tc>
      </w:tr>
      <w:tr>
        <w:trPr>
          <w:trHeight w:val="20"/>
        </w:trPr>
        <w:tc>
          <w:tcPr>
            <w:tcW w:w="6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34"/>
        </w:trPr>
        <w:tc>
          <w:tcPr>
            <w:tcW w:w="9120" w:type="dxa"/>
            <w:vAlign w:val="bottom"/>
            <w:gridSpan w:val="6"/>
          </w:tcPr>
          <w:p>
            <w:pPr>
              <w:ind w:left="360"/>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deferred tax assets and liabilities are as follows (in thousands):</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0"/>
        </w:trPr>
        <w:tc>
          <w:tcPr>
            <w:tcW w:w="6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1"/>
                <w:szCs w:val="11"/>
                <w:b w:val="1"/>
                <w:bCs w:val="1"/>
                <w:color w:val="auto"/>
              </w:rPr>
              <w:t>As of July 31,</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85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Accruals and reserves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15,773</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R&amp;D</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8,377</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30,832</w:t>
            </w:r>
          </w:p>
        </w:tc>
      </w:tr>
      <w:tr>
        <w:trPr>
          <w:trHeight w:val="180"/>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110,064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73,243</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5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97,113</w:t>
            </w:r>
          </w:p>
        </w:tc>
      </w:tr>
      <w:tr>
        <w:trPr>
          <w:trHeight w:val="171"/>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295,483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235,998</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valuation allowance</w:t>
            </w:r>
          </w:p>
        </w:tc>
        <w:tc>
          <w:tcPr>
            <w:tcW w:w="5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44,797</w:t>
            </w:r>
          </w:p>
        </w:tc>
      </w:tr>
      <w:tr>
        <w:trPr>
          <w:trHeight w:val="171"/>
        </w:trPr>
        <w:tc>
          <w:tcPr>
            <w:tcW w:w="6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tax assets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243,350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191,201</w:t>
            </w:r>
          </w:p>
        </w:tc>
      </w:tr>
      <w:tr>
        <w:trPr>
          <w:trHeight w:val="18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deferred tax liabilities: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assets</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23,343</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Convertible debt</w:t>
            </w:r>
          </w:p>
        </w:tc>
        <w:tc>
          <w:tcPr>
            <w:tcW w:w="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7,028</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Unremitted foreign earnings</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Capitalized commissions</w:t>
            </w:r>
          </w:p>
        </w:tc>
        <w:tc>
          <w:tcPr>
            <w:tcW w:w="5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10,174</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w:t>
            </w:r>
          </w:p>
        </w:tc>
      </w:tr>
      <w:tr>
        <w:trPr>
          <w:trHeight w:val="171"/>
        </w:trPr>
        <w:tc>
          <w:tcPr>
            <w:tcW w:w="6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51,889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52,773</w:t>
            </w:r>
          </w:p>
        </w:tc>
      </w:tr>
      <w:tr>
        <w:trPr>
          <w:trHeight w:val="17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assets, net</w:t>
            </w: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191,461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138,428</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foreign deferred tax liabilities</w:t>
            </w:r>
          </w:p>
        </w:tc>
        <w:tc>
          <w:tcPr>
            <w:tcW w:w="5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w:t>
            </w:r>
          </w:p>
        </w:tc>
      </w:tr>
      <w:tr>
        <w:trPr>
          <w:trHeight w:val="196"/>
        </w:trPr>
        <w:tc>
          <w:tcPr>
            <w:tcW w:w="6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net deferred tax assets</w:t>
            </w:r>
          </w:p>
        </w:tc>
        <w:tc>
          <w:tcPr>
            <w:tcW w:w="5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189,551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137,383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considered both positive and negative evidence, including future reversals of existing taxable temporary differences, projected future taxable income, tax planning strategies, differences between prior book and tax profits/losses, and results of future operations, and determined that a valuation allowance was not required for a significant portion of its deferred tax assets. A valuation allowance of $52.1 million and $44.8 million remained as of July 31, 2022 and 2021, respectively, primarily related to California, Federal and Canada deferred tax assets. The increase of $7.3 million in the valuation allowance in the current fiscal year relates primarily to net operating losses, and income tax credits in certain tax jurisdictions for which no tax benefit is expected to be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July 31, 2022, the Company had U.S. Federal, California, and other states net operating loss (“NOL”) carryforwards of $438.4 million, $68.8 million and $229.2 million, respectively. The U.S. Federal and California NOL carryforwards will start to expire in 2029 and 2023, respectively.</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July 31, 2022, the Company had research and development tax credits (“R&amp;D credit”) carryforwards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1880" w:type="dxa"/>
            <w:vAlign w:val="bottom"/>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60,056</w:t>
            </w:r>
          </w:p>
        </w:tc>
      </w:tr>
      <w:tr>
        <w:trPr>
          <w:trHeight w:val="18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8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50,310</w:t>
            </w:r>
          </w:p>
        </w:tc>
      </w:tr>
      <w:tr>
        <w:trPr>
          <w:trHeight w:val="196"/>
        </w:trPr>
        <w:tc>
          <w:tcPr>
            <w:tcW w:w="7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R&amp;D credit carryforwards</w:t>
            </w:r>
          </w:p>
        </w:tc>
        <w:tc>
          <w:tcPr>
            <w:tcW w:w="1880" w:type="dxa"/>
            <w:vAlign w:val="bottom"/>
            <w:tcBorders>
              <w:bottom w:val="single" w:sz="8" w:color="auto"/>
            </w:tcBorders>
            <w:shd w:val="clear" w:color="auto" w:fill="CCEEFF"/>
          </w:tcPr>
          <w:p>
            <w:pPr>
              <w:jc w:val="right"/>
              <w:ind w:right="1729"/>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110,366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U.S. Federal R&amp;D credits will start to expire in 2023 and the California R&amp;D tax credits do not expire.</w:t>
      </w:r>
    </w:p>
    <w:p>
      <w:pPr>
        <w:spacing w:after="0" w:line="13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Federal and California laws impose restrictions on the utilization of NOL carryforwards and R&amp;D credit carryforwards in the event of a change in ownership of the Company, as defined by Internal Revenue Code 382 and 383. The Company experienced an ownership change in the past that does not materially impact the availability of its carryforwards. However, should there be an ownership change in the future, the Company’s ability to utilize existing carryforwards could be substantially restricted.</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July 31, 2022, the Company has recorded a provisional estimate for foreign withholding taxes on undistributed earnings from foreign subsidiaries of $0.7 million. The Company may repatriate foreign earnings in the future to the extent that the repatriation is not restricted by local laws or there are no substantial incremental costs associated with such repatriation.</w:t>
      </w:r>
    </w:p>
    <w:p>
      <w:pPr>
        <w:spacing w:after="0" w:line="8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Tax Act amended Internal Revenue Code Section 174 to require that specific research and experimental (“R&amp;E”) expenditures be capitalized and amortized over five years (U.S. R&amp;E) or fifteen years (non-U.S. R&amp;E) beginning in the Company’s fiscal year 2023. Although Congress has considered legislation that would defer, modify or repeal the capitalization and amortization requirement, there is no assurance that the provision will be deferred, repealed, or otherwise modified. If the requirement is not modified, the Company may be required to utilize some of its federal and state tax attributes and there may be increases to state cash taxes or tax expense.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Activity related to unrecognized tax benefits is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Fiscal years ended July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4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 beginning of period</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11,633</w:t>
            </w:r>
          </w:p>
        </w:tc>
      </w:tr>
      <w:tr>
        <w:trPr>
          <w:trHeight w:val="180"/>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Gross increases - prior period tax positions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w:t>
            </w:r>
          </w:p>
        </w:tc>
      </w:tr>
      <w:tr>
        <w:trPr>
          <w:trHeight w:val="18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decreases - prior period tax positions</w:t>
            </w:r>
          </w:p>
        </w:tc>
        <w:tc>
          <w:tcPr>
            <w:tcW w:w="10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Gross increases - current period tax positions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8,803</w:t>
            </w:r>
          </w:p>
        </w:tc>
      </w:tr>
      <w:tr>
        <w:trPr>
          <w:trHeight w:val="196"/>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tax benefits - end of period</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18,786</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During the year ended July 31, 2022, the Company’s unrecognized tax benefits increased by $1.6 million. As of July 31, 2022, the Company had unrecognized tax benefits of $11.8 million that, if recognized, would affect the Company’s effective tax rate, as certain unrecognized tax benefits have a valuation allowance. The Company recognizes interest and penalties related to unrecognized tax benefits as income tax expense in its consolidated statements of operations. As of July 31, 2022, the Company has accrued total interest and penalties related to unrecognized tax benefits of $0.8 million.</w:t>
      </w:r>
    </w:p>
    <w:p>
      <w:pPr>
        <w:spacing w:after="0" w:line="9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or one of its subsidiaries, files income taxes in the U.S. Federal jurisdiction and various state and foreign jurisdictions. If the Company utilizes NOL carryforwards or tax credits in future years, the U.S. Federal, state and local, and non-U.S. tax authorities may examine the tax returns covering the period in which the net operating losses and tax credits arose. As a result, the Company’s tax returns in the U.S. and California remain open to examination from fiscal years 2002 through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534035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Defined Contribution and Other Post-Retirement Plans</w:t>
      </w:r>
    </w:p>
    <w:p>
      <w:pPr>
        <w:spacing w:after="0" w:line="13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employee savings and retirement plan in the United States is qualified under Section 401(k) of the Internal Revenue Code. Employees on the Company’s U.S. payroll are automatically enrolled when they meet eligibility requirements, unless they decline participation. Upon enrollment employees are provided with tax-deferred salary deductions and various investment options. Employees may contribute up to 60% of their eligible salary up to the statutory prescribed annual limit. The Company matches employees’ contributions up to $5,000 per participant per calendar year. Certain of the Company’s foreign subsidiaries also have defined contribution plans in which a majority of its employees participate and the Company makes matching contributions. The Company’s contributions to its 401(k) and foreign subsidiaries’ plans were $13.1 million, $11.8 million, and $10.7 million for the fiscal years ended July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586105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Segment Information</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as well as revenue by geographic region, while all other financial information is reviewed on a consolidated basis. The Company’s principal operations and decision-making functions are located in the United States.</w:t>
      </w:r>
    </w:p>
    <w:p>
      <w:pPr>
        <w:spacing w:after="0" w:line="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long-lived assets for this disclosure are defined as property and equipment and operating lease assets. The Company’s long-lived assets by geographic region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July 31, 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3"/>
                <w:szCs w:val="13"/>
                <w:b w:val="1"/>
                <w:bCs w:val="1"/>
                <w:color w:val="auto"/>
              </w:rPr>
              <w:t>July 31, 2021</w:t>
            </w:r>
          </w:p>
        </w:tc>
      </w:tr>
      <w:tr>
        <w:trPr>
          <w:trHeight w:val="17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80" w:type="dxa"/>
            <w:vAlign w:val="bottom"/>
            <w:shd w:val="clear" w:color="auto" w:fill="CCEEFF"/>
          </w:tcPr>
          <w:p>
            <w:pPr>
              <w:jc w:val="right"/>
              <w:ind w:right="131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133,939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143,736</w:t>
            </w: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EMEA</w:t>
            </w:r>
          </w:p>
        </w:tc>
        <w:tc>
          <w:tcPr>
            <w:tcW w:w="1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32,171</w:t>
            </w:r>
          </w:p>
        </w:tc>
      </w:tr>
      <w:tr>
        <w:trPr>
          <w:trHeight w:val="18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APAC</w:t>
            </w:r>
          </w:p>
        </w:tc>
        <w:tc>
          <w:tcPr>
            <w:tcW w:w="14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171"/>
        </w:trPr>
        <w:tc>
          <w:tcPr>
            <w:tcW w:w="7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auto"/>
            </w:tcBorders>
          </w:tcPr>
          <w:p>
            <w:pPr>
              <w:jc w:val="right"/>
              <w:ind w:right="131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171,027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177,508</w:t>
            </w:r>
          </w:p>
        </w:tc>
      </w:tr>
      <w:tr>
        <w:trPr>
          <w:trHeight w:val="20"/>
        </w:trPr>
        <w:tc>
          <w:tcPr>
            <w:tcW w:w="7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939"/>
        </w:trPr>
        <w:tc>
          <w:tcPr>
            <w:tcW w:w="7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Subsequent Events</w:t>
      </w:r>
    </w:p>
    <w:p>
      <w:pPr>
        <w:spacing w:after="0" w:line="13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September 2022, the Company's board of directors authorized and approved a share repurchase program of up to $400.0 million of the Company’s outstanding shares of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 on Accounting and Financial Disclosure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3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w:t>
      </w:r>
    </w:p>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3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as defined in Rule 13a-15(f) or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July 31, 2022, using the criteria set forth in Internal Control—Integrated Framework issued by the Committee of Sponsoring Organizations of the Treadway Commission’s 2013 framework. Based on this assessment and those criteria, management concluded that our internal control over financial reporting was effective, at a reasonable level of assurance, as of July 31, 2022.</w:t>
      </w:r>
    </w:p>
    <w:p>
      <w:pPr>
        <w:spacing w:after="0" w:line="9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internal control over financial reporting has been audited by KPMG LLP, an independent registered public accounting firm, as stated in their report, which appears in Part II, Item 8 of this Annual Report on Form 10-K.</w:t>
      </w:r>
    </w:p>
    <w:p>
      <w:pPr>
        <w:spacing w:after="0" w:line="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of Internal Controls</w:t>
      </w:r>
    </w:p>
    <w:p>
      <w:pPr>
        <w:spacing w:after="0" w:line="13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the quarter ended July 31, 2022 identified in management’s evaluation pursuant to Rules 13a-15(d) or 15d-15(d) of the Exchange Act that materially affected, or are reasonably likely to materially affect, our internal control over financial reporting.</w:t>
      </w:r>
    </w:p>
    <w:p>
      <w:pPr>
        <w:spacing w:after="0" w:line="14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441325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38"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We have adopted a Code of Business Conduct and Ethics that applies to all of our directors, officers, and employees, including our principal executive officer and principal financial officer. The Code of Business Conduct and Ethics is posted on our investor relations website.</w:t>
      </w:r>
    </w:p>
    <w:p>
      <w:pPr>
        <w:spacing w:after="0" w:line="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will post any amendments to, or waivers from, a provision of this Code of Business Conduct and Ethics by posting such information on our investor relations website.</w:t>
      </w:r>
    </w:p>
    <w:p>
      <w:pPr>
        <w:spacing w:after="0" w:line="13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other information required by this item will be contained in our definitive proxy statement to be filed with the SEC in connection with our 2022 Annual Meeting of Stockholders (the “Proxy Statement”), which is expected to be filed not later than 120 days after the end of our fiscal year ended July 31, 2022, and is incorporated in this report by reference.</w:t>
      </w:r>
    </w:p>
    <w:p>
      <w:pPr>
        <w:spacing w:after="0" w:line="1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the Proxy Statement and is incorporated herein by reference.</w:t>
      </w:r>
    </w:p>
    <w:p>
      <w:pPr>
        <w:spacing w:after="0" w:line="17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the Proxy Statement and is incorporated herein by reference.</w:t>
      </w:r>
    </w:p>
    <w:p>
      <w:pPr>
        <w:spacing w:after="0" w:line="17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information, if any, required by this item will be set forth in the Proxy Statement and is incorporated herein by reference.</w:t>
      </w:r>
    </w:p>
    <w:p>
      <w:pPr>
        <w:spacing w:after="0" w:line="17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Accountant Fees and Services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information required by this item will be set forth in the Proxy Statement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440055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and Financial Statement Schedules</w:t>
      </w:r>
    </w:p>
    <w:p>
      <w:pPr>
        <w:spacing w:after="0" w:line="2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 The following documents are filed as part of this report:</w:t>
      </w:r>
    </w:p>
    <w:p>
      <w:pPr>
        <w:spacing w:after="0" w:line="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1. Consolidated Financial Statements</w:t>
      </w:r>
    </w:p>
    <w:p>
      <w:pPr>
        <w:spacing w:after="0" w:line="7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See Index to Consolidated Financial Statements at Item 8 herein.</w:t>
      </w:r>
    </w:p>
    <w:p>
      <w:pPr>
        <w:spacing w:after="0" w:line="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83" w:lineRule="exact"/>
        <w:rPr>
          <w:sz w:val="20"/>
          <w:szCs w:val="20"/>
          <w:color w:val="auto"/>
        </w:rPr>
      </w:pPr>
    </w:p>
    <w:p>
      <w:pPr>
        <w:ind w:left="700" w:right="139" w:firstLine="446"/>
        <w:spacing w:after="0" w:line="382" w:lineRule="auto"/>
        <w:rPr>
          <w:sz w:val="20"/>
          <w:szCs w:val="20"/>
          <w:color w:val="auto"/>
        </w:rPr>
      </w:pPr>
      <w:r>
        <w:rPr>
          <w:rFonts w:ascii="Times New Roman" w:cs="Times New Roman" w:eastAsia="Times New Roman" w:hAnsi="Times New Roman"/>
          <w:sz w:val="14"/>
          <w:szCs w:val="14"/>
          <w:color w:val="auto"/>
        </w:rPr>
        <w:t>Schedules have been omitted because the information required to be set forth therein is not applicable or is shown in the financial statements or notes herein. 3.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688340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exhibits listed below are filed or incorporated by reference as part of this Annual Report on Form 10-K.</w:t>
      </w:r>
    </w:p>
    <w:p>
      <w:pPr>
        <w:sectPr>
          <w:pgSz w:w="11900" w:h="16838" w:orient="portrait"/>
          <w:cols w:equalWidth="0" w:num="1">
            <w:col w:w="11280"/>
          </w:cols>
          <w:pgMar w:left="300" w:top="125" w:right="319" w:bottom="1440" w:gutter="0" w:footer="0" w:header="0"/>
        </w:sectPr>
      </w:pPr>
    </w:p>
    <w:p>
      <w:pPr>
        <w:spacing w:after="0" w:line="3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480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spacing w:after="0" w:line="3"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46">
        <w:r>
          <w:rPr>
            <w:rFonts w:ascii="Times New Roman" w:cs="Times New Roman" w:eastAsia="Times New Roman" w:hAnsi="Times New Roman"/>
            <w:sz w:val="14"/>
            <w:szCs w:val="14"/>
            <w:u w:val="single" w:color="auto"/>
            <w:color w:val="0000FF"/>
          </w:rPr>
          <w:t>3.1</w:t>
        </w:r>
      </w:hyperlink>
    </w:p>
    <w:p>
      <w:pPr>
        <w:spacing w:after="0" w:line="23"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47">
        <w:r>
          <w:rPr>
            <w:rFonts w:ascii="Times New Roman" w:cs="Times New Roman" w:eastAsia="Times New Roman" w:hAnsi="Times New Roman"/>
            <w:sz w:val="14"/>
            <w:szCs w:val="14"/>
            <w:u w:val="single" w:color="auto"/>
            <w:color w:val="0000FF"/>
          </w:rPr>
          <w:t>3.2</w:t>
        </w:r>
      </w:hyperlink>
    </w:p>
    <w:p>
      <w:pPr>
        <w:spacing w:after="0" w:line="19"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48">
        <w:r>
          <w:rPr>
            <w:rFonts w:ascii="Times New Roman" w:cs="Times New Roman" w:eastAsia="Times New Roman" w:hAnsi="Times New Roman"/>
            <w:sz w:val="14"/>
            <w:szCs w:val="14"/>
            <w:u w:val="single" w:color="auto"/>
            <w:color w:val="0000FF"/>
          </w:rPr>
          <w:t>4.1</w:t>
        </w:r>
      </w:hyperlink>
    </w:p>
    <w:p>
      <w:pPr>
        <w:spacing w:after="0" w:line="19"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4.2</w:t>
        </w:r>
      </w:hyperlink>
    </w:p>
    <w:p>
      <w:pPr>
        <w:spacing w:after="0" w:line="164"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50">
        <w:r>
          <w:rPr>
            <w:rFonts w:ascii="Times New Roman" w:cs="Times New Roman" w:eastAsia="Times New Roman" w:hAnsi="Times New Roman"/>
            <w:sz w:val="14"/>
            <w:szCs w:val="14"/>
            <w:u w:val="single" w:color="auto"/>
            <w:color w:val="0000FF"/>
          </w:rPr>
          <w:t>4.3</w:t>
        </w:r>
      </w:hyperlink>
    </w:p>
    <w:p>
      <w:pPr>
        <w:spacing w:after="0" w:line="168"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51">
        <w:r>
          <w:rPr>
            <w:rFonts w:ascii="Times New Roman" w:cs="Times New Roman" w:eastAsia="Times New Roman" w:hAnsi="Times New Roman"/>
            <w:sz w:val="14"/>
            <w:szCs w:val="14"/>
            <w:u w:val="single" w:color="auto"/>
            <w:color w:val="0000FF"/>
          </w:rPr>
          <w:t>4.4</w:t>
        </w:r>
      </w:hyperlink>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4.5</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Incorporated</w:t>
            </w: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Incorporated by</w:t>
            </w:r>
          </w:p>
        </w:tc>
        <w:tc>
          <w:tcPr>
            <w:tcW w:w="142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by Reference</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4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From</w:t>
            </w:r>
          </w:p>
        </w:tc>
        <w:tc>
          <w:tcPr>
            <w:tcW w:w="1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54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04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Reference From</w:t>
            </w:r>
          </w:p>
        </w:tc>
        <w:tc>
          <w:tcPr>
            <w:tcW w:w="14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Date Filed</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80" w:type="dxa"/>
            <w:vAlign w:val="bottom"/>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March 9, 2022</w:t>
            </w:r>
          </w:p>
        </w:tc>
        <w:tc>
          <w:tcPr>
            <w:tcW w:w="0" w:type="dxa"/>
            <w:vAlign w:val="bottom"/>
          </w:tcPr>
          <w:p>
            <w:pPr>
              <w:spacing w:after="0"/>
              <w:rPr>
                <w:sz w:val="1"/>
                <w:szCs w:val="1"/>
                <w:color w:val="auto"/>
              </w:rPr>
            </w:pPr>
          </w:p>
        </w:tc>
      </w:tr>
      <w:tr>
        <w:trPr>
          <w:trHeight w:val="18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September 14, 2020</w:t>
            </w:r>
          </w:p>
        </w:tc>
        <w:tc>
          <w:tcPr>
            <w:tcW w:w="0" w:type="dxa"/>
            <w:vAlign w:val="bottom"/>
          </w:tcPr>
          <w:p>
            <w:pPr>
              <w:spacing w:after="0"/>
              <w:rPr>
                <w:sz w:val="1"/>
                <w:szCs w:val="1"/>
                <w:color w:val="auto"/>
              </w:rPr>
            </w:pPr>
          </w:p>
        </w:tc>
      </w:tr>
      <w:tr>
        <w:trPr>
          <w:trHeight w:val="18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Common Stock certificate of Guidewire Software, Inc.</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9, 2012</w:t>
            </w:r>
          </w:p>
        </w:tc>
        <w:tc>
          <w:tcPr>
            <w:tcW w:w="0" w:type="dxa"/>
            <w:vAlign w:val="bottom"/>
          </w:tcPr>
          <w:p>
            <w:pPr>
              <w:spacing w:after="0"/>
              <w:rPr>
                <w:sz w:val="1"/>
                <w:szCs w:val="1"/>
                <w:color w:val="auto"/>
              </w:rPr>
            </w:pPr>
          </w:p>
        </w:tc>
      </w:tr>
      <w:tr>
        <w:trPr>
          <w:trHeight w:val="142"/>
        </w:trPr>
        <w:tc>
          <w:tcPr>
            <w:tcW w:w="4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Indenture between Guidewire Software, Inc. and U.S. Bank National</w:t>
            </w:r>
          </w:p>
        </w:tc>
        <w:tc>
          <w:tcPr>
            <w:tcW w:w="20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March 13, 2018</w:t>
            </w:r>
          </w:p>
        </w:tc>
        <w:tc>
          <w:tcPr>
            <w:tcW w:w="0" w:type="dxa"/>
            <w:vAlign w:val="bottom"/>
          </w:tcPr>
          <w:p>
            <w:pPr>
              <w:spacing w:after="0"/>
              <w:rPr>
                <w:sz w:val="1"/>
                <w:szCs w:val="1"/>
                <w:color w:val="auto"/>
              </w:rPr>
            </w:pPr>
          </w:p>
        </w:tc>
      </w:tr>
      <w:tr>
        <w:trPr>
          <w:trHeight w:val="18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Association, dated as of March 13, 2018</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5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First Supplemental Indenture between Guidewire Software, Inc. and U.S.</w:t>
            </w:r>
          </w:p>
        </w:tc>
        <w:tc>
          <w:tcPr>
            <w:tcW w:w="20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March 13, 2018</w:t>
            </w:r>
          </w:p>
        </w:tc>
        <w:tc>
          <w:tcPr>
            <w:tcW w:w="0" w:type="dxa"/>
            <w:vAlign w:val="bottom"/>
          </w:tcPr>
          <w:p>
            <w:pPr>
              <w:spacing w:after="0"/>
              <w:rPr>
                <w:sz w:val="1"/>
                <w:szCs w:val="1"/>
                <w:color w:val="auto"/>
              </w:rPr>
            </w:pPr>
          </w:p>
        </w:tc>
      </w:tr>
      <w:tr>
        <w:trPr>
          <w:trHeight w:val="18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Bank National Association, dated as of March 13, 2018</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1.25% Convertible Senior Note Due March 15, 2025</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13, 2018</w:t>
            </w:r>
          </w:p>
        </w:tc>
        <w:tc>
          <w:tcPr>
            <w:tcW w:w="0" w:type="dxa"/>
            <w:vAlign w:val="bottom"/>
          </w:tcPr>
          <w:p>
            <w:pPr>
              <w:spacing w:after="0"/>
              <w:rPr>
                <w:sz w:val="1"/>
                <w:szCs w:val="1"/>
                <w:color w:val="auto"/>
              </w:rPr>
            </w:pPr>
          </w:p>
        </w:tc>
      </w:tr>
      <w:tr>
        <w:trPr>
          <w:trHeight w:val="142"/>
        </w:trPr>
        <w:tc>
          <w:tcPr>
            <w:tcW w:w="4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Description of Guidewire Software, Inc.’s Securities Registered Pursuant to</w:t>
            </w:r>
          </w:p>
        </w:tc>
        <w:tc>
          <w:tcPr>
            <w:tcW w:w="20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Filed herewith</w:t>
            </w:r>
          </w:p>
        </w:tc>
        <w:tc>
          <w:tcPr>
            <w:tcW w:w="14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Section 12 of the Securities Exchange Act of 1934, as amended</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00" w:space="480"/>
            <w:col w:w="100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340" w:type="dxa"/>
            <w:vAlign w:val="bottom"/>
            <w:gridSpan w:val="2"/>
          </w:tcPr>
          <w:p>
            <w:pPr>
              <w:ind w:left="20"/>
              <w:spacing w:after="0" w:line="155" w:lineRule="exact"/>
              <w:rPr>
                <w:rFonts w:ascii="Times New Roman" w:cs="Times New Roman" w:eastAsia="Times New Roman" w:hAnsi="Times New Roman"/>
                <w:sz w:val="14"/>
                <w:szCs w:val="14"/>
                <w:color w:val="0000FF"/>
                <w:w w:val="88"/>
              </w:rPr>
            </w:pPr>
            <w:hyperlink r:id="rId152">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1#</w:t>
            </w:r>
          </w:p>
        </w:tc>
        <w:tc>
          <w:tcPr>
            <w:tcW w:w="60" w:type="dxa"/>
            <w:vAlign w:val="bottom"/>
          </w:tcPr>
          <w:p>
            <w:pPr>
              <w:spacing w:after="0"/>
              <w:rPr>
                <w:sz w:val="13"/>
                <w:szCs w:val="13"/>
                <w:color w:val="auto"/>
              </w:rPr>
            </w:pPr>
          </w:p>
        </w:tc>
        <w:tc>
          <w:tcPr>
            <w:tcW w:w="5600" w:type="dxa"/>
            <w:vAlign w:val="bottom"/>
          </w:tcPr>
          <w:p>
            <w:pPr>
              <w:ind w:left="900"/>
              <w:spacing w:after="0" w:line="155" w:lineRule="exact"/>
              <w:rPr>
                <w:sz w:val="20"/>
                <w:szCs w:val="20"/>
                <w:color w:val="auto"/>
              </w:rPr>
            </w:pPr>
            <w:r>
              <w:rPr>
                <w:rFonts w:ascii="Times New Roman" w:cs="Times New Roman" w:eastAsia="Times New Roman" w:hAnsi="Times New Roman"/>
                <w:sz w:val="14"/>
                <w:szCs w:val="14"/>
                <w:color w:val="auto"/>
              </w:rPr>
              <w:t>Guidewire Software, Inc. 2011 Stock Plan and Forms of Agreements</w:t>
            </w:r>
          </w:p>
        </w:tc>
        <w:tc>
          <w:tcPr>
            <w:tcW w:w="1780" w:type="dxa"/>
            <w:vAlign w:val="bottom"/>
          </w:tcPr>
          <w:p>
            <w:pPr>
              <w:jc w:val="center"/>
              <w:ind w:right="129"/>
              <w:spacing w:after="0" w:line="155" w:lineRule="exact"/>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w w:val="97"/>
              </w:rPr>
              <w:t>10.5</w:t>
            </w:r>
          </w:p>
        </w:tc>
        <w:tc>
          <w:tcPr>
            <w:tcW w:w="20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December 13, 2011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ind w:left="900"/>
              <w:spacing w:after="0" w:line="156" w:lineRule="exact"/>
              <w:rPr>
                <w:sz w:val="20"/>
                <w:szCs w:val="20"/>
                <w:color w:val="auto"/>
              </w:rPr>
            </w:pPr>
            <w:r>
              <w:rPr>
                <w:rFonts w:ascii="Times New Roman" w:cs="Times New Roman" w:eastAsia="Times New Roman" w:hAnsi="Times New Roman"/>
                <w:sz w:val="14"/>
                <w:szCs w:val="14"/>
                <w:color w:val="auto"/>
              </w:rPr>
              <w:t>thereunder</w:t>
            </w: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gridSpan w:val="2"/>
          </w:tcPr>
          <w:p>
            <w:pPr>
              <w:ind w:left="20"/>
              <w:spacing w:after="0" w:line="153" w:lineRule="exact"/>
              <w:rPr>
                <w:rFonts w:ascii="Times New Roman" w:cs="Times New Roman" w:eastAsia="Times New Roman" w:hAnsi="Times New Roman"/>
                <w:sz w:val="14"/>
                <w:szCs w:val="14"/>
                <w:color w:val="0000FF"/>
                <w:w w:val="88"/>
              </w:rPr>
            </w:pPr>
            <w:hyperlink r:id="rId153">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w:t>
              </w:r>
            </w:hyperlink>
          </w:p>
        </w:tc>
        <w:tc>
          <w:tcPr>
            <w:tcW w:w="60" w:type="dxa"/>
            <w:vAlign w:val="bottom"/>
          </w:tcPr>
          <w:p>
            <w:pPr>
              <w:spacing w:after="0"/>
              <w:rPr>
                <w:sz w:val="13"/>
                <w:szCs w:val="13"/>
                <w:color w:val="auto"/>
              </w:rPr>
            </w:pPr>
          </w:p>
        </w:tc>
        <w:tc>
          <w:tcPr>
            <w:tcW w:w="5600" w:type="dxa"/>
            <w:vAlign w:val="bottom"/>
          </w:tcPr>
          <w:p>
            <w:pPr>
              <w:ind w:left="900"/>
              <w:spacing w:after="0" w:line="153" w:lineRule="exact"/>
              <w:rPr>
                <w:sz w:val="20"/>
                <w:szCs w:val="20"/>
                <w:color w:val="auto"/>
              </w:rPr>
            </w:pPr>
            <w:r>
              <w:rPr>
                <w:rFonts w:ascii="Times New Roman" w:cs="Times New Roman" w:eastAsia="Times New Roman" w:hAnsi="Times New Roman"/>
                <w:sz w:val="14"/>
                <w:szCs w:val="14"/>
                <w:color w:val="auto"/>
              </w:rPr>
              <w:t>Guidewire Software, Inc. Form of Performance-Based Restricted Stock Unit</w:t>
            </w:r>
          </w:p>
        </w:tc>
        <w:tc>
          <w:tcPr>
            <w:tcW w:w="1780" w:type="dxa"/>
            <w:vAlign w:val="bottom"/>
          </w:tcPr>
          <w:p>
            <w:pPr>
              <w:jc w:val="center"/>
              <w:ind w:right="129"/>
              <w:spacing w:after="0" w:line="153" w:lineRule="exact"/>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10.9</w:t>
            </w:r>
          </w:p>
        </w:tc>
        <w:tc>
          <w:tcPr>
            <w:tcW w:w="2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December 2,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6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Award Agreement under the 2011 Stock Plan</w:t>
            </w: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 w:type="dxa"/>
            <w:vAlign w:val="bottom"/>
            <w:gridSpan w:val="2"/>
            <w:vMerge w:val="restart"/>
          </w:tcPr>
          <w:p>
            <w:pPr>
              <w:ind w:left="20"/>
              <w:spacing w:after="0"/>
              <w:rPr>
                <w:rFonts w:ascii="Times New Roman" w:cs="Times New Roman" w:eastAsia="Times New Roman" w:hAnsi="Times New Roman"/>
                <w:sz w:val="14"/>
                <w:szCs w:val="14"/>
                <w:color w:val="0000FF"/>
                <w:w w:val="88"/>
              </w:rPr>
            </w:pPr>
            <w:hyperlink r:id="rId154">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w:t>
              </w:r>
            </w:hyperlink>
          </w:p>
        </w:tc>
        <w:tc>
          <w:tcPr>
            <w:tcW w:w="6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178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145"/>
        </w:trPr>
        <w:tc>
          <w:tcPr>
            <w:tcW w:w="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0" w:type="dxa"/>
            <w:vAlign w:val="bottom"/>
          </w:tcPr>
          <w:p>
            <w:pPr>
              <w:ind w:left="900"/>
              <w:spacing w:after="0" w:line="125" w:lineRule="exact"/>
              <w:rPr>
                <w:sz w:val="20"/>
                <w:szCs w:val="20"/>
                <w:color w:val="auto"/>
              </w:rPr>
            </w:pPr>
            <w:r>
              <w:rPr>
                <w:rFonts w:ascii="Times New Roman" w:cs="Times New Roman" w:eastAsia="Times New Roman" w:hAnsi="Times New Roman"/>
                <w:sz w:val="14"/>
                <w:szCs w:val="14"/>
                <w:color w:val="auto"/>
              </w:rPr>
              <w:t>Guidewire Software, Inc. Forms of Notice of Restricted Stock Unit Award</w:t>
            </w:r>
          </w:p>
        </w:tc>
        <w:tc>
          <w:tcPr>
            <w:tcW w:w="17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and Restricted Stock Unit Award Agreement (Performance-Based) under the</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2011 Stock Plan</w:t>
            </w: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0" w:type="dxa"/>
            <w:vAlign w:val="bottom"/>
            <w:gridSpan w:val="2"/>
          </w:tcPr>
          <w:p>
            <w:pPr>
              <w:ind w:left="20"/>
              <w:spacing w:after="0" w:line="140" w:lineRule="exact"/>
              <w:rPr>
                <w:rFonts w:ascii="Times New Roman" w:cs="Times New Roman" w:eastAsia="Times New Roman" w:hAnsi="Times New Roman"/>
                <w:sz w:val="14"/>
                <w:szCs w:val="14"/>
                <w:color w:val="0000FF"/>
                <w:w w:val="88"/>
              </w:rPr>
            </w:pPr>
            <w:hyperlink r:id="rId155">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4#</w:t>
              </w:r>
            </w:hyperlink>
          </w:p>
        </w:tc>
        <w:tc>
          <w:tcPr>
            <w:tcW w:w="60" w:type="dxa"/>
            <w:vAlign w:val="bottom"/>
          </w:tcPr>
          <w:p>
            <w:pPr>
              <w:spacing w:after="0"/>
              <w:rPr>
                <w:sz w:val="13"/>
                <w:szCs w:val="13"/>
                <w:color w:val="auto"/>
              </w:rPr>
            </w:pPr>
          </w:p>
        </w:tc>
        <w:tc>
          <w:tcPr>
            <w:tcW w:w="5600" w:type="dxa"/>
            <w:vAlign w:val="bottom"/>
          </w:tcPr>
          <w:p>
            <w:pPr>
              <w:ind w:left="900"/>
              <w:spacing w:after="0" w:line="140" w:lineRule="exact"/>
              <w:rPr>
                <w:sz w:val="20"/>
                <w:szCs w:val="20"/>
                <w:color w:val="auto"/>
              </w:rPr>
            </w:pPr>
            <w:r>
              <w:rPr>
                <w:rFonts w:ascii="Times New Roman" w:cs="Times New Roman" w:eastAsia="Times New Roman" w:hAnsi="Times New Roman"/>
                <w:sz w:val="14"/>
                <w:szCs w:val="14"/>
                <w:color w:val="auto"/>
              </w:rPr>
              <w:t>Guidewire Software, Inc. Form of Restricted Stock Unit Award Agreement</w:t>
            </w:r>
          </w:p>
        </w:tc>
        <w:tc>
          <w:tcPr>
            <w:tcW w:w="1780" w:type="dxa"/>
            <w:vAlign w:val="bottom"/>
          </w:tcPr>
          <w:p>
            <w:pPr>
              <w:jc w:val="center"/>
              <w:ind w:right="129"/>
              <w:spacing w:after="0" w:line="140" w:lineRule="exact"/>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10.2</w:t>
            </w:r>
          </w:p>
        </w:tc>
        <w:tc>
          <w:tcPr>
            <w:tcW w:w="2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(Global Time-Based) under the 2011 Stock Plan</w:t>
            </w:r>
          </w:p>
        </w:tc>
        <w:tc>
          <w:tcPr>
            <w:tcW w:w="1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gridSpan w:val="2"/>
          </w:tcPr>
          <w:p>
            <w:pPr>
              <w:ind w:left="20"/>
              <w:spacing w:after="0"/>
              <w:rPr>
                <w:rFonts w:ascii="Times New Roman" w:cs="Times New Roman" w:eastAsia="Times New Roman" w:hAnsi="Times New Roman"/>
                <w:sz w:val="14"/>
                <w:szCs w:val="14"/>
                <w:color w:val="0000FF"/>
                <w:w w:val="88"/>
              </w:rPr>
            </w:pPr>
            <w:hyperlink r:id="rId156">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5#</w:t>
              </w:r>
            </w:hyperlink>
          </w:p>
        </w:tc>
        <w:tc>
          <w:tcPr>
            <w:tcW w:w="60" w:type="dxa"/>
            <w:vAlign w:val="bottom"/>
          </w:tcPr>
          <w:p>
            <w:pPr>
              <w:spacing w:after="0"/>
              <w:rPr>
                <w:sz w:val="14"/>
                <w:szCs w:val="14"/>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Guidewire Software, Inc. Form of Restricted Stock Unit Award Agreement</w:t>
            </w:r>
          </w:p>
        </w:tc>
        <w:tc>
          <w:tcPr>
            <w:tcW w:w="1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6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(U.S. Time-Based) under the 2011 Stock Plan</w:t>
            </w: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0" w:type="dxa"/>
            <w:vAlign w:val="bottom"/>
            <w:gridSpan w:val="2"/>
            <w:vMerge w:val="restart"/>
          </w:tcPr>
          <w:p>
            <w:pPr>
              <w:ind w:left="20"/>
              <w:spacing w:after="0"/>
              <w:rPr>
                <w:rFonts w:ascii="Times New Roman" w:cs="Times New Roman" w:eastAsia="Times New Roman" w:hAnsi="Times New Roman"/>
                <w:sz w:val="14"/>
                <w:szCs w:val="14"/>
                <w:color w:val="0000FF"/>
                <w:w w:val="88"/>
              </w:rPr>
            </w:pPr>
            <w:hyperlink r:id="rId157">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6#</w:t>
              </w:r>
            </w:hyperlink>
          </w:p>
        </w:tc>
        <w:tc>
          <w:tcPr>
            <w:tcW w:w="6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1780" w:type="dxa"/>
            <w:vAlign w:val="bottom"/>
            <w:vMerge w:val="restart"/>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145"/>
        </w:trPr>
        <w:tc>
          <w:tcPr>
            <w:tcW w:w="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0" w:type="dxa"/>
            <w:vAlign w:val="bottom"/>
          </w:tcPr>
          <w:p>
            <w:pPr>
              <w:ind w:left="900"/>
              <w:spacing w:after="0" w:line="125" w:lineRule="exact"/>
              <w:rPr>
                <w:sz w:val="20"/>
                <w:szCs w:val="20"/>
                <w:color w:val="auto"/>
              </w:rPr>
            </w:pPr>
            <w:r>
              <w:rPr>
                <w:rFonts w:ascii="Times New Roman" w:cs="Times New Roman" w:eastAsia="Times New Roman" w:hAnsi="Times New Roman"/>
                <w:sz w:val="14"/>
                <w:szCs w:val="14"/>
                <w:color w:val="auto"/>
              </w:rPr>
              <w:t>Guidewire Software, Inc. Form of Restricted Stock Unit Award Agreement</w:t>
            </w:r>
          </w:p>
        </w:tc>
        <w:tc>
          <w:tcPr>
            <w:tcW w:w="17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(U.S. Time-Based, Executives) under the 2011 Stock Plan</w:t>
            </w:r>
          </w:p>
        </w:tc>
        <w:tc>
          <w:tcPr>
            <w:tcW w:w="1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gridSpan w:val="2"/>
          </w:tcPr>
          <w:p>
            <w:pPr>
              <w:ind w:left="20"/>
              <w:spacing w:after="0" w:line="150" w:lineRule="exact"/>
              <w:rPr>
                <w:rFonts w:ascii="Times New Roman" w:cs="Times New Roman" w:eastAsia="Times New Roman" w:hAnsi="Times New Roman"/>
                <w:sz w:val="14"/>
                <w:szCs w:val="14"/>
                <w:color w:val="0000FF"/>
                <w:w w:val="88"/>
              </w:rPr>
            </w:pPr>
            <w:hyperlink r:id="rId158">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7#</w:t>
              </w:r>
            </w:hyperlink>
          </w:p>
        </w:tc>
        <w:tc>
          <w:tcPr>
            <w:tcW w:w="60" w:type="dxa"/>
            <w:vAlign w:val="bottom"/>
          </w:tcPr>
          <w:p>
            <w:pPr>
              <w:spacing w:after="0"/>
              <w:rPr>
                <w:sz w:val="14"/>
                <w:szCs w:val="14"/>
                <w:color w:val="auto"/>
              </w:rPr>
            </w:pPr>
          </w:p>
        </w:tc>
        <w:tc>
          <w:tcPr>
            <w:tcW w:w="5600" w:type="dxa"/>
            <w:vAlign w:val="bottom"/>
          </w:tcPr>
          <w:p>
            <w:pPr>
              <w:ind w:left="900"/>
              <w:spacing w:after="0" w:line="150" w:lineRule="exact"/>
              <w:rPr>
                <w:sz w:val="20"/>
                <w:szCs w:val="20"/>
                <w:color w:val="auto"/>
              </w:rPr>
            </w:pPr>
            <w:r>
              <w:rPr>
                <w:rFonts w:ascii="Times New Roman" w:cs="Times New Roman" w:eastAsia="Times New Roman" w:hAnsi="Times New Roman"/>
                <w:sz w:val="14"/>
                <w:szCs w:val="14"/>
                <w:color w:val="auto"/>
              </w:rPr>
              <w:t>Guidewire Software, Inc. Long Term Incentive Plan and Form of Notice and</w:t>
            </w:r>
          </w:p>
        </w:tc>
        <w:tc>
          <w:tcPr>
            <w:tcW w:w="1780" w:type="dxa"/>
            <w:vAlign w:val="bottom"/>
          </w:tcPr>
          <w:p>
            <w:pPr>
              <w:jc w:val="center"/>
              <w:ind w:right="1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10.4</w:t>
            </w:r>
          </w:p>
        </w:tc>
        <w:tc>
          <w:tcPr>
            <w:tcW w:w="2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Restricted Stock Unit Award Agreement thereunder</w:t>
            </w:r>
          </w:p>
        </w:tc>
        <w:tc>
          <w:tcPr>
            <w:tcW w:w="1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 w:type="dxa"/>
            <w:vAlign w:val="bottom"/>
            <w:gridSpan w:val="2"/>
          </w:tcPr>
          <w:p>
            <w:pPr>
              <w:ind w:left="20"/>
              <w:spacing w:after="0"/>
              <w:rPr>
                <w:rFonts w:ascii="Times New Roman" w:cs="Times New Roman" w:eastAsia="Times New Roman" w:hAnsi="Times New Roman"/>
                <w:sz w:val="14"/>
                <w:szCs w:val="14"/>
                <w:color w:val="0000FF"/>
                <w:w w:val="88"/>
              </w:rPr>
            </w:pPr>
            <w:hyperlink r:id="rId159">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8#</w:t>
              </w:r>
            </w:hyperlink>
          </w:p>
        </w:tc>
        <w:tc>
          <w:tcPr>
            <w:tcW w:w="60" w:type="dxa"/>
            <w:vAlign w:val="bottom"/>
          </w:tcPr>
          <w:p>
            <w:pPr>
              <w:spacing w:after="0"/>
              <w:rPr>
                <w:sz w:val="14"/>
                <w:szCs w:val="14"/>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Guidewire Software, Inc. 2020 Stock Plan</w:t>
            </w:r>
          </w:p>
        </w:tc>
        <w:tc>
          <w:tcPr>
            <w:tcW w:w="1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5,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9#</w:t>
            </w:r>
          </w:p>
        </w:tc>
        <w:tc>
          <w:tcPr>
            <w:tcW w:w="60" w:type="dxa"/>
            <w:vAlign w:val="bottom"/>
          </w:tcPr>
          <w:p>
            <w:pPr>
              <w:spacing w:after="0"/>
              <w:rPr>
                <w:sz w:val="15"/>
                <w:szCs w:val="15"/>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Guidewire Software, Inc. Form of Notice and Restricted Stock Unit</w:t>
            </w:r>
          </w:p>
        </w:tc>
        <w:tc>
          <w:tcPr>
            <w:tcW w:w="1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Filed herewith</w:t>
            </w:r>
          </w:p>
        </w:tc>
        <w:tc>
          <w:tcPr>
            <w:tcW w:w="14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ind w:left="900"/>
              <w:spacing w:after="0" w:line="156" w:lineRule="exact"/>
              <w:rPr>
                <w:sz w:val="20"/>
                <w:szCs w:val="20"/>
                <w:color w:val="auto"/>
              </w:rPr>
            </w:pPr>
            <w:r>
              <w:rPr>
                <w:rFonts w:ascii="Times New Roman" w:cs="Times New Roman" w:eastAsia="Times New Roman" w:hAnsi="Times New Roman"/>
                <w:sz w:val="14"/>
                <w:szCs w:val="14"/>
                <w:color w:val="auto"/>
              </w:rPr>
              <w:t>Agreement (PSUs) under the 2020 Stock Plan</w:t>
            </w: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10#</w:t>
            </w:r>
          </w:p>
        </w:tc>
        <w:tc>
          <w:tcPr>
            <w:tcW w:w="5600" w:type="dxa"/>
            <w:vAlign w:val="bottom"/>
          </w:tcPr>
          <w:p>
            <w:pPr>
              <w:ind w:left="900"/>
              <w:spacing w:after="0" w:line="153" w:lineRule="exact"/>
              <w:rPr>
                <w:sz w:val="20"/>
                <w:szCs w:val="20"/>
                <w:color w:val="auto"/>
              </w:rPr>
            </w:pPr>
            <w:r>
              <w:rPr>
                <w:rFonts w:ascii="Times New Roman" w:cs="Times New Roman" w:eastAsia="Times New Roman" w:hAnsi="Times New Roman"/>
                <w:sz w:val="14"/>
                <w:szCs w:val="14"/>
                <w:color w:val="auto"/>
              </w:rPr>
              <w:t>Guidewire Software, Inc. Global Stock Option Agreement under the</w:t>
            </w:r>
          </w:p>
        </w:tc>
        <w:tc>
          <w:tcPr>
            <w:tcW w:w="1780" w:type="dxa"/>
            <w:vAlign w:val="bottom"/>
          </w:tcPr>
          <w:p>
            <w:pPr>
              <w:jc w:val="center"/>
              <w:ind w:right="129"/>
              <w:spacing w:after="0" w:line="153" w:lineRule="exact"/>
              <w:rPr>
                <w:sz w:val="20"/>
                <w:szCs w:val="20"/>
                <w:color w:val="auto"/>
              </w:rPr>
            </w:pPr>
            <w:r>
              <w:rPr>
                <w:rFonts w:ascii="Times New Roman" w:cs="Times New Roman" w:eastAsia="Times New Roman" w:hAnsi="Times New Roman"/>
                <w:sz w:val="14"/>
                <w:szCs w:val="14"/>
                <w:color w:val="auto"/>
              </w:rPr>
              <w:t>Filed herewith</w:t>
            </w:r>
          </w:p>
        </w:tc>
        <w:tc>
          <w:tcPr>
            <w:tcW w:w="1420" w:type="dxa"/>
            <w:vAlign w:val="bottom"/>
          </w:tcPr>
          <w:p>
            <w:pPr>
              <w:jc w:val="center"/>
              <w:ind w:left="9"/>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0" w:type="dxa"/>
            <w:vAlign w:val="bottom"/>
          </w:tcPr>
          <w:p>
            <w:pPr>
              <w:ind w:left="900"/>
              <w:spacing w:after="0" w:line="156" w:lineRule="exact"/>
              <w:rPr>
                <w:sz w:val="20"/>
                <w:szCs w:val="20"/>
                <w:color w:val="auto"/>
              </w:rPr>
            </w:pPr>
            <w:r>
              <w:rPr>
                <w:rFonts w:ascii="Times New Roman" w:cs="Times New Roman" w:eastAsia="Times New Roman" w:hAnsi="Times New Roman"/>
                <w:sz w:val="14"/>
                <w:szCs w:val="14"/>
                <w:color w:val="auto"/>
              </w:rPr>
              <w:t>Guidewire Software, Inc. 2020 Stock Plan</w:t>
            </w:r>
          </w:p>
        </w:tc>
        <w:tc>
          <w:tcPr>
            <w:tcW w:w="1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gridSpan w:val="2"/>
          </w:tcPr>
          <w:p>
            <w:pPr>
              <w:ind w:left="20"/>
              <w:spacing w:after="0" w:line="153" w:lineRule="exact"/>
              <w:rPr>
                <w:rFonts w:ascii="Times New Roman" w:cs="Times New Roman" w:eastAsia="Times New Roman" w:hAnsi="Times New Roman"/>
                <w:sz w:val="14"/>
                <w:szCs w:val="14"/>
                <w:color w:val="0000FF"/>
                <w:w w:val="88"/>
              </w:rPr>
            </w:pPr>
            <w:hyperlink r:id="rId160">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11</w:t>
              </w:r>
            </w:hyperlink>
          </w:p>
        </w:tc>
        <w:tc>
          <w:tcPr>
            <w:tcW w:w="60" w:type="dxa"/>
            <w:vAlign w:val="bottom"/>
          </w:tcPr>
          <w:p>
            <w:pPr>
              <w:spacing w:after="0"/>
              <w:rPr>
                <w:sz w:val="13"/>
                <w:szCs w:val="13"/>
                <w:color w:val="auto"/>
              </w:rPr>
            </w:pPr>
          </w:p>
        </w:tc>
        <w:tc>
          <w:tcPr>
            <w:tcW w:w="5600" w:type="dxa"/>
            <w:vAlign w:val="bottom"/>
          </w:tcPr>
          <w:p>
            <w:pPr>
              <w:ind w:left="900"/>
              <w:spacing w:after="0" w:line="153" w:lineRule="exact"/>
              <w:rPr>
                <w:sz w:val="20"/>
                <w:szCs w:val="20"/>
                <w:color w:val="auto"/>
              </w:rPr>
            </w:pPr>
            <w:r>
              <w:rPr>
                <w:rFonts w:ascii="Times New Roman" w:cs="Times New Roman" w:eastAsia="Times New Roman" w:hAnsi="Times New Roman"/>
                <w:sz w:val="14"/>
                <w:szCs w:val="14"/>
                <w:color w:val="auto"/>
              </w:rPr>
              <w:t>Guidewire Software, Inc. Senior Executive Incentive Bonus Plan</w:t>
            </w:r>
          </w:p>
        </w:tc>
        <w:tc>
          <w:tcPr>
            <w:tcW w:w="1780" w:type="dxa"/>
            <w:vAlign w:val="bottom"/>
          </w:tcPr>
          <w:p>
            <w:pPr>
              <w:jc w:val="center"/>
              <w:ind w:right="129"/>
              <w:spacing w:after="0" w:line="153" w:lineRule="exact"/>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10.12</w:t>
            </w:r>
          </w:p>
        </w:tc>
        <w:tc>
          <w:tcPr>
            <w:tcW w:w="20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December 13,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gridSpan w:val="3"/>
          </w:tcPr>
          <w:p>
            <w:pPr>
              <w:ind w:left="20"/>
              <w:spacing w:after="0" w:line="150" w:lineRule="exact"/>
              <w:rPr>
                <w:rFonts w:ascii="Times New Roman" w:cs="Times New Roman" w:eastAsia="Times New Roman" w:hAnsi="Times New Roman"/>
                <w:sz w:val="14"/>
                <w:szCs w:val="14"/>
                <w:color w:val="0000FF"/>
                <w:w w:val="93"/>
              </w:rPr>
            </w:pPr>
            <w:hyperlink r:id="rId161">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12#</w:t>
              </w:r>
            </w:hyperlink>
          </w:p>
        </w:tc>
        <w:tc>
          <w:tcPr>
            <w:tcW w:w="5600" w:type="dxa"/>
            <w:vAlign w:val="bottom"/>
          </w:tcPr>
          <w:p>
            <w:pPr>
              <w:ind w:left="900"/>
              <w:spacing w:after="0" w:line="150" w:lineRule="exact"/>
              <w:rPr>
                <w:sz w:val="20"/>
                <w:szCs w:val="20"/>
                <w:color w:val="auto"/>
              </w:rPr>
            </w:pPr>
            <w:r>
              <w:rPr>
                <w:rFonts w:ascii="Times New Roman" w:cs="Times New Roman" w:eastAsia="Times New Roman" w:hAnsi="Times New Roman"/>
                <w:sz w:val="14"/>
                <w:szCs w:val="14"/>
                <w:color w:val="auto"/>
              </w:rPr>
              <w:t>Guidewire Software, Inc. Form of Executive Agreement</w:t>
            </w:r>
          </w:p>
        </w:tc>
        <w:tc>
          <w:tcPr>
            <w:tcW w:w="1780" w:type="dxa"/>
            <w:vAlign w:val="bottom"/>
          </w:tcPr>
          <w:p>
            <w:pPr>
              <w:jc w:val="center"/>
              <w:ind w:right="1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10.6</w:t>
            </w:r>
          </w:p>
        </w:tc>
        <w:tc>
          <w:tcPr>
            <w:tcW w:w="2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March 5,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 w:type="dxa"/>
            <w:vAlign w:val="bottom"/>
            <w:gridSpan w:val="3"/>
          </w:tcPr>
          <w:p>
            <w:pPr>
              <w:ind w:left="20"/>
              <w:spacing w:after="0"/>
              <w:rPr>
                <w:rFonts w:ascii="Times New Roman" w:cs="Times New Roman" w:eastAsia="Times New Roman" w:hAnsi="Times New Roman"/>
                <w:sz w:val="14"/>
                <w:szCs w:val="14"/>
                <w:color w:val="0000FF"/>
                <w:w w:val="93"/>
              </w:rPr>
            </w:pPr>
            <w:hyperlink r:id="rId162">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13#</w:t>
              </w:r>
            </w:hyperlink>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Executive Agreement between Guidewire Software, Inc. and Michael</w:t>
            </w:r>
          </w:p>
        </w:tc>
        <w:tc>
          <w:tcPr>
            <w:tcW w:w="178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5, 2019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Rosenbaum, dated as of August 3, 2019</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4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617"/>
        </w:trPr>
        <w:tc>
          <w:tcPr>
            <w:tcW w:w="1000" w:type="dxa"/>
            <w:vAlign w:val="bottom"/>
            <w:tcBorders>
              <w:top w:val="single" w:sz="8" w:color="0000FF"/>
            </w:tcBorders>
            <w:gridSpan w:val="4"/>
          </w:tcPr>
          <w:p>
            <w:pPr>
              <w:ind w:left="20"/>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14#</w:t>
            </w:r>
          </w:p>
        </w:tc>
        <w:tc>
          <w:tcPr>
            <w:tcW w:w="16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First Amendment to Executive Agreement between Guidewire Software, Inc.</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6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December 9, 2020</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and Mike Rosenbaum, dated as of November 4, 2020</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340" w:type="dxa"/>
            <w:vAlign w:val="bottom"/>
            <w:gridSpan w:val="3"/>
          </w:tcPr>
          <w:p>
            <w:pPr>
              <w:ind w:left="20"/>
              <w:spacing w:after="0" w:line="153" w:lineRule="exact"/>
              <w:rPr>
                <w:rFonts w:ascii="Times New Roman" w:cs="Times New Roman" w:eastAsia="Times New Roman" w:hAnsi="Times New Roman"/>
                <w:sz w:val="14"/>
                <w:szCs w:val="14"/>
                <w:color w:val="0000FF"/>
                <w:w w:val="72"/>
              </w:rPr>
            </w:pPr>
            <w:hyperlink r:id="rId166">
              <w:r>
                <w:rPr>
                  <w:rFonts w:ascii="Times New Roman" w:cs="Times New Roman" w:eastAsia="Times New Roman" w:hAnsi="Times New Roman"/>
                  <w:sz w:val="14"/>
                  <w:szCs w:val="14"/>
                  <w:color w:val="0000FF"/>
                  <w:w w:val="72"/>
                </w:rPr>
                <w:t>10.</w:t>
              </w:r>
            </w:hyperlink>
            <w:r>
              <w:rPr>
                <w:rFonts w:ascii="Times New Roman" w:cs="Times New Roman" w:eastAsia="Times New Roman" w:hAnsi="Times New Roman"/>
                <w:sz w:val="14"/>
                <w:szCs w:val="14"/>
                <w:u w:val="single" w:color="auto"/>
                <w:color w:val="0000FF"/>
                <w:w w:val="72"/>
              </w:rPr>
              <w:t>15#</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Executive Agreement between Guidewire Software, Inc. and John Mullen,</w:t>
            </w:r>
          </w:p>
        </w:tc>
        <w:tc>
          <w:tcPr>
            <w:tcW w:w="1900" w:type="dxa"/>
            <w:vAlign w:val="bottom"/>
          </w:tcPr>
          <w:p>
            <w:pPr>
              <w:jc w:val="center"/>
              <w:ind w:right="169"/>
              <w:spacing w:after="0" w:line="153" w:lineRule="exact"/>
              <w:rPr>
                <w:sz w:val="20"/>
                <w:szCs w:val="20"/>
                <w:color w:val="auto"/>
              </w:rPr>
            </w:pPr>
            <w:r>
              <w:rPr>
                <w:rFonts w:ascii="Times New Roman" w:cs="Times New Roman" w:eastAsia="Times New Roman" w:hAnsi="Times New Roman"/>
                <w:sz w:val="14"/>
                <w:szCs w:val="14"/>
                <w:color w:val="auto"/>
              </w:rPr>
              <w:t>10-Q</w:t>
            </w:r>
          </w:p>
        </w:tc>
        <w:tc>
          <w:tcPr>
            <w:tcW w:w="13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10.1</w:t>
            </w:r>
          </w:p>
        </w:tc>
        <w:tc>
          <w:tcPr>
            <w:tcW w:w="1640" w:type="dxa"/>
            <w:vAlign w:val="bottom"/>
          </w:tcPr>
          <w:p>
            <w:pPr>
              <w:jc w:val="center"/>
              <w:ind w:left="449"/>
              <w:spacing w:after="0" w:line="153" w:lineRule="exact"/>
              <w:rPr>
                <w:sz w:val="20"/>
                <w:szCs w:val="20"/>
                <w:color w:val="auto"/>
              </w:rPr>
            </w:pPr>
            <w:r>
              <w:rPr>
                <w:rFonts w:ascii="Times New Roman" w:cs="Times New Roman" w:eastAsia="Times New Roman" w:hAnsi="Times New Roman"/>
                <w:sz w:val="14"/>
                <w:szCs w:val="14"/>
                <w:color w:val="auto"/>
              </w:rPr>
              <w:t>June 7, 2022</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dated as of February 3, 2022</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1000" w:type="dxa"/>
            <w:vAlign w:val="bottom"/>
            <w:gridSpan w:val="4"/>
          </w:tcPr>
          <w:p>
            <w:pPr>
              <w:ind w:left="20"/>
              <w:spacing w:after="0" w:line="153"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160" w:type="dxa"/>
            <w:vAlign w:val="bottom"/>
          </w:tcPr>
          <w:p>
            <w:pPr>
              <w:spacing w:after="0"/>
              <w:rPr>
                <w:sz w:val="13"/>
                <w:szCs w:val="13"/>
                <w:color w:val="auto"/>
              </w:rPr>
            </w:pPr>
          </w:p>
        </w:tc>
        <w:tc>
          <w:tcPr>
            <w:tcW w:w="48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Form of Indemnification Agreement for directors and executive officers</w:t>
            </w:r>
          </w:p>
        </w:tc>
        <w:tc>
          <w:tcPr>
            <w:tcW w:w="1900" w:type="dxa"/>
            <w:vAlign w:val="bottom"/>
          </w:tcPr>
          <w:p>
            <w:pPr>
              <w:jc w:val="center"/>
              <w:ind w:right="169"/>
              <w:spacing w:after="0" w:line="153" w:lineRule="exact"/>
              <w:rPr>
                <w:sz w:val="20"/>
                <w:szCs w:val="20"/>
                <w:color w:val="auto"/>
              </w:rPr>
            </w:pPr>
            <w:r>
              <w:rPr>
                <w:rFonts w:ascii="Times New Roman" w:cs="Times New Roman" w:eastAsia="Times New Roman" w:hAnsi="Times New Roman"/>
                <w:sz w:val="14"/>
                <w:szCs w:val="14"/>
                <w:color w:val="auto"/>
              </w:rPr>
              <w:t>S-1/A</w:t>
            </w:r>
          </w:p>
        </w:tc>
        <w:tc>
          <w:tcPr>
            <w:tcW w:w="13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10.1</w:t>
            </w:r>
          </w:p>
        </w:tc>
        <w:tc>
          <w:tcPr>
            <w:tcW w:w="1640" w:type="dxa"/>
            <w:vAlign w:val="bottom"/>
          </w:tcPr>
          <w:p>
            <w:pPr>
              <w:jc w:val="center"/>
              <w:ind w:left="429"/>
              <w:spacing w:after="0" w:line="153" w:lineRule="exact"/>
              <w:rPr>
                <w:sz w:val="20"/>
                <w:szCs w:val="20"/>
                <w:color w:val="auto"/>
              </w:rPr>
            </w:pPr>
            <w:r>
              <w:rPr>
                <w:rFonts w:ascii="Times New Roman" w:cs="Times New Roman" w:eastAsia="Times New Roman" w:hAnsi="Times New Roman"/>
                <w:sz w:val="14"/>
                <w:szCs w:val="14"/>
                <w:color w:val="auto"/>
              </w:rPr>
              <w:t>October 28, 2011</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68">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17</w:t>
              </w:r>
            </w:hyperlink>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Guidewire Software,, Inc. Form of Capped Call Confirmation</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640" w:type="dxa"/>
            <w:vAlign w:val="bottom"/>
          </w:tcPr>
          <w:p>
            <w:pPr>
              <w:jc w:val="center"/>
              <w:ind w:left="429"/>
              <w:spacing w:after="0"/>
              <w:rPr>
                <w:sz w:val="20"/>
                <w:szCs w:val="20"/>
                <w:color w:val="auto"/>
              </w:rPr>
            </w:pPr>
            <w:r>
              <w:rPr>
                <w:rFonts w:ascii="Times New Roman" w:cs="Times New Roman" w:eastAsia="Times New Roman" w:hAnsi="Times New Roman"/>
                <w:sz w:val="14"/>
                <w:szCs w:val="14"/>
                <w:color w:val="auto"/>
              </w:rPr>
              <w:t>March 13, 2018</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69">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18</w:t>
              </w:r>
            </w:hyperlink>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Agreement between Bay Meadows Station 2 Investors, LLC and</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6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September 19, 2018</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Guidewire Software, Inc. dated as of December 18, 2017</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2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Subsidiaries of the Registrant</w:t>
            </w:r>
          </w:p>
        </w:tc>
        <w:tc>
          <w:tcPr>
            <w:tcW w:w="1900" w:type="dxa"/>
            <w:vAlign w:val="bottom"/>
          </w:tcPr>
          <w:p>
            <w:pPr>
              <w:jc w:val="center"/>
              <w:ind w:right="169"/>
              <w:spacing w:after="0" w:line="153" w:lineRule="exact"/>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Pr>
          <w:p>
            <w:pPr>
              <w:jc w:val="center"/>
              <w:ind w:left="449"/>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23.</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Consent of KPMG LLP, Independent Registered Public Accounting Firm</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Certification of the Chief Executive Officer pursuant to Section 302 of the</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Sarbanes-Oxley Act</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2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Certification of the Chief Financial Officer pursuant to Section 302 of the</w:t>
            </w:r>
          </w:p>
        </w:tc>
        <w:tc>
          <w:tcPr>
            <w:tcW w:w="1900" w:type="dxa"/>
            <w:vAlign w:val="bottom"/>
          </w:tcPr>
          <w:p>
            <w:pPr>
              <w:jc w:val="center"/>
              <w:ind w:right="169"/>
              <w:spacing w:after="0" w:line="153" w:lineRule="exact"/>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Sarbanes-Oxley Act</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3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r>
              <w:rPr>
                <w:rFonts w:ascii="Times New Roman" w:cs="Times New Roman" w:eastAsia="Times New Roman" w:hAnsi="Times New Roman"/>
                <w:sz w:val="14"/>
                <w:szCs w:val="14"/>
                <w:color w:val="000000"/>
                <w:w w:val="88"/>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Certification of the Chief Executive Officer and the Chief Financial Officer</w:t>
            </w:r>
          </w:p>
        </w:tc>
        <w:tc>
          <w:tcPr>
            <w:tcW w:w="1900" w:type="dxa"/>
            <w:vAlign w:val="bottom"/>
          </w:tcPr>
          <w:p>
            <w:pPr>
              <w:jc w:val="center"/>
              <w:ind w:right="169"/>
              <w:spacing w:after="0" w:line="153" w:lineRule="exact"/>
              <w:rPr>
                <w:sz w:val="20"/>
                <w:szCs w:val="20"/>
                <w:color w:val="auto"/>
              </w:rPr>
            </w:pPr>
            <w:r>
              <w:rPr>
                <w:rFonts w:ascii="Times New Roman" w:cs="Times New Roman" w:eastAsia="Times New Roman" w:hAnsi="Times New Roman"/>
                <w:sz w:val="14"/>
                <w:szCs w:val="14"/>
                <w:color w:val="auto"/>
              </w:rPr>
              <w:t>Furnished herewith</w:t>
            </w:r>
          </w:p>
        </w:tc>
        <w:tc>
          <w:tcPr>
            <w:tcW w:w="1320" w:type="dxa"/>
            <w:vAlign w:val="bottom"/>
          </w:tcPr>
          <w:p>
            <w:pPr>
              <w:ind w:left="5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center"/>
              <w:ind w:left="449"/>
              <w:spacing w:after="0" w:line="153" w:lineRule="exact"/>
              <w:rPr>
                <w:sz w:val="20"/>
                <w:szCs w:val="20"/>
                <w:color w:val="auto"/>
              </w:rPr>
            </w:pPr>
            <w:r>
              <w:rPr>
                <w:rFonts w:ascii="Times New Roman" w:cs="Times New Roman" w:eastAsia="Times New Roman" w:hAnsi="Times New Roman"/>
                <w:sz w:val="14"/>
                <w:szCs w:val="14"/>
                <w:color w:val="auto"/>
              </w:rPr>
              <w:t>—</w:t>
            </w: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pursuant to Section 906 of the Sarbanes-Oxley Act</w:t>
            </w:r>
          </w:p>
        </w:tc>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101.LAB</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101.PRE</w:t>
            </w: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with applicable</w:t>
            </w:r>
          </w:p>
        </w:tc>
        <w:tc>
          <w:tcPr>
            <w:tcW w:w="190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Filed herewith</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taxonomy extension information contained in Exhibits 101)</w:t>
            </w:r>
          </w:p>
        </w:tc>
        <w:tc>
          <w:tcPr>
            <w:tcW w:w="1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113" w:lineRule="exact"/>
        <w:rPr>
          <w:sz w:val="20"/>
          <w:szCs w:val="20"/>
          <w:color w:val="auto"/>
        </w:rPr>
      </w:pPr>
    </w:p>
    <w:p>
      <w:pPr>
        <w:ind w:left="280" w:hanging="261"/>
        <w:spacing w:after="0"/>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3" w:lineRule="exact"/>
        <w:rPr>
          <w:sz w:val="20"/>
          <w:szCs w:val="20"/>
          <w:color w:val="auto"/>
        </w:rPr>
      </w:pPr>
    </w:p>
    <w:p>
      <w:pPr>
        <w:jc w:val="both"/>
        <w:ind w:left="280" w:hanging="261"/>
        <w:spacing w:after="0" w:line="226"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473710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6"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September 26, 2022</w:t>
      </w:r>
    </w:p>
    <w:p>
      <w:pPr>
        <w:spacing w:after="0" w:line="25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3"/>
          <w:szCs w:val="13"/>
          <w:b w:val="1"/>
          <w:bCs w:val="1"/>
          <w:color w:val="auto"/>
        </w:rPr>
        <w:t>GUIDEWIRE SOFTWARE, INC.</w:t>
      </w:r>
    </w:p>
    <w:p>
      <w:pPr>
        <w:spacing w:after="0" w:line="107" w:lineRule="exact"/>
        <w:rPr>
          <w:sz w:val="20"/>
          <w:szCs w:val="20"/>
          <w:color w:val="auto"/>
        </w:rPr>
      </w:pPr>
    </w:p>
    <w:p>
      <w:pPr>
        <w:ind w:left="6160"/>
        <w:spacing w:after="0"/>
        <w:tabs>
          <w:tab w:leader="none" w:pos="670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12700</wp:posOffset>
            </wp:positionV>
            <wp:extent cx="29711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1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3"/>
          <w:szCs w:val="13"/>
          <w:color w:val="auto"/>
        </w:rPr>
        <w:t>Jeff Cooper</w:t>
      </w:r>
    </w:p>
    <w:p>
      <w:pPr>
        <w:spacing w:after="0" w:line="1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3"/>
          <w:szCs w:val="13"/>
          <w:color w:val="auto"/>
        </w:rPr>
        <w:t>Chief Financial Officer</w:t>
      </w:r>
    </w:p>
    <w:p>
      <w:pPr>
        <w:ind w:left="6720"/>
        <w:spacing w:after="0"/>
        <w:rPr>
          <w:sz w:val="20"/>
          <w:szCs w:val="20"/>
          <w:color w:val="auto"/>
        </w:rPr>
      </w:pPr>
      <w:r>
        <w:rPr>
          <w:rFonts w:ascii="Times New Roman" w:cs="Times New Roman" w:eastAsia="Times New Roman" w:hAnsi="Times New Roman"/>
          <w:sz w:val="13"/>
          <w:szCs w:val="13"/>
          <w:color w:val="auto"/>
        </w:rPr>
        <w:t>(Principal Financial and Accounting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Each person whose individual signature appears below hereby authorizes and appoints Mike Rosenbaum, Jeff Cooper, and Winston King,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00" w:type="dxa"/>
            <w:vAlign w:val="bottom"/>
          </w:tcPr>
          <w:p>
            <w:pPr>
              <w:spacing w:after="0"/>
              <w:rPr>
                <w:sz w:val="14"/>
                <w:szCs w:val="14"/>
                <w:color w:val="auto"/>
              </w:rPr>
            </w:pPr>
          </w:p>
        </w:tc>
        <w:tc>
          <w:tcPr>
            <w:tcW w:w="54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22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 MIKE ROSENBAUM</w:t>
            </w:r>
          </w:p>
        </w:tc>
        <w:tc>
          <w:tcPr>
            <w:tcW w:w="100" w:type="dxa"/>
            <w:vAlign w:val="bottom"/>
          </w:tcPr>
          <w:p>
            <w:pPr>
              <w:spacing w:after="0"/>
              <w:rPr>
                <w:sz w:val="19"/>
                <w:szCs w:val="19"/>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Executive Officer and Director (Principal Executive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50"/>
        </w:trPr>
        <w:tc>
          <w:tcPr>
            <w:tcW w:w="35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Mike Rosenbaum</w:t>
            </w:r>
          </w:p>
        </w:tc>
        <w:tc>
          <w:tcPr>
            <w:tcW w:w="1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/s/ JEFF COOPER</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Chief Financial Officer (Principal Financial and Accounting Officer)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50"/>
        </w:trPr>
        <w:tc>
          <w:tcPr>
            <w:tcW w:w="35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Jeff Cooper</w:t>
            </w:r>
          </w:p>
        </w:tc>
        <w:tc>
          <w:tcPr>
            <w:tcW w:w="1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MARCUS S. RYU</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 (Chairman of the Board)</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Marcus S. Ryu</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ANDREW BROWN</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Andrew Brown</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MARGARET DILLON</w:t>
            </w:r>
          </w:p>
        </w:tc>
        <w:tc>
          <w:tcPr>
            <w:tcW w:w="100" w:type="dxa"/>
            <w:vAlign w:val="bottom"/>
          </w:tcPr>
          <w:p>
            <w:pPr>
              <w:spacing w:after="0"/>
              <w:rPr>
                <w:sz w:val="14"/>
                <w:szCs w:val="1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Margaret Dillon</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MICHAEL KELLER</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Michael Keller</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PAUL LAVIN</w:t>
            </w:r>
          </w:p>
        </w:tc>
        <w:tc>
          <w:tcPr>
            <w:tcW w:w="100" w:type="dxa"/>
            <w:vAlign w:val="bottom"/>
          </w:tcPr>
          <w:p>
            <w:pPr>
              <w:spacing w:after="0"/>
              <w:rPr>
                <w:sz w:val="22"/>
                <w:szCs w:val="22"/>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Paul Lavin</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CATHERINE P. LEGO</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Catherine P. Lego</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RAJANI RAMANATHAN</w:t>
            </w:r>
          </w:p>
        </w:tc>
        <w:tc>
          <w:tcPr>
            <w:tcW w:w="100" w:type="dxa"/>
            <w:vAlign w:val="bottom"/>
          </w:tcPr>
          <w:p>
            <w:pPr>
              <w:spacing w:after="0"/>
              <w:rPr>
                <w:sz w:val="18"/>
                <w:szCs w:val="18"/>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September 26, 2022</w:t>
            </w:r>
          </w:p>
        </w:tc>
        <w:tc>
          <w:tcPr>
            <w:tcW w:w="0" w:type="dxa"/>
            <w:vAlign w:val="bottom"/>
          </w:tcPr>
          <w:p>
            <w:pPr>
              <w:spacing w:after="0"/>
              <w:rPr>
                <w:sz w:val="1"/>
                <w:szCs w:val="1"/>
                <w:color w:val="auto"/>
              </w:rPr>
            </w:pPr>
          </w:p>
        </w:tc>
      </w:tr>
      <w:tr>
        <w:trPr>
          <w:trHeight w:val="158"/>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Rajani Ramanathan</w:t>
            </w:r>
          </w:p>
        </w:tc>
        <w:tc>
          <w:tcPr>
            <w:tcW w:w="1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25"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 4.5</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COMPANY’S SECURITIES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July 31, 2022, Guidewire Software, Inc. (“Guidewire,” the “Company,” “we,” “us,” and “our”) had one class of securities registered under Section 12 of the Securities Exchange Act of 1934, as amended (the "Exchange Act"): our common stock.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authorized capital stock consists of 500,000,000 shares of common stock, $0.0001 par value, and 25,000,000 shares of undesignated preferred stock, $0.0001 par value. The following description of our common stock does not purport to be complete and is subject to, and qualified in its entirety by, our amended and restated certificate of incorporation and amended and restated bylaws, each of which is incorporated by reference as an exhibit to our Annual Report on Form 10-K for the year ended July 31,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holders of our common stock are entitled to one vote per share on all matters to be voted on by the stockholders. Subject to preferences that may be applicable to any outstanding shares of preferred stock, holders of common stock are entitled to receive ratably such dividends as may be declared by the board of directors out of funds legally available therefore. In the event we liquidate, dissolve or wind up, holders of common stock are entitled to share ratably in all assets remaining after payment of liabilities and the liquidation preferences of any outstanding shares of preferred stock. Holders of common stock have no preemptive, conversion or subscription rights. There are no redemption or sinking fund provisions applicable to the common stock. All outstanding shares of common stock are fully paid and nonassessable.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and traded on the New York Stock Exchange under the symbol “GWRE.”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 – Limitations on Rights of Holders of Common Stock</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board of directors may, without further action by our stockholders, fix the rights, preferences, privileges and restrictions of up to an aggregate of 25,000,000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common stock. Any issuance of our preferred stock could adversely affect the voting power of holders of our common stock and the likelihood that such holders would receive dividend payments and payments upon liquidation. In addition, the issuance of preferred stock could have the effect of delaying, deferring or preventing a change of control or other corporate action.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for our common stock is Computershare Trust Company, N.A.</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Amended and Restated Certificate of Incorporation and Amended and Restated Bylaws</w:t>
      </w:r>
    </w:p>
    <w:p>
      <w:pPr>
        <w:spacing w:after="0" w:line="9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Certain provisions of Delaware law, our amended and restated certificate of incorporation and our amended and restated bylaws could have the effect of delaying, deferring or discouraging another party from acquiring control of us. These provisions, which are summarized below, may have the effect of discouraging coercive takeover practices</w:t>
      </w:r>
    </w:p>
    <w:p>
      <w:pPr>
        <w:sectPr>
          <w:pgSz w:w="11900" w:h="16838" w:orient="portrait"/>
          <w:cols w:equalWidth="0" w:num="1">
            <w:col w:w="11260"/>
          </w:cols>
          <w:pgMar w:left="300" w:top="1141" w:right="339" w:bottom="1440" w:gutter="0" w:footer="0" w:header="0"/>
        </w:sectPr>
      </w:pPr>
    </w:p>
    <w:bookmarkStart w:id="111" w:name="page112"/>
    <w:bookmarkEnd w:id="111"/>
    <w:p>
      <w:pPr>
        <w:ind w:right="40"/>
        <w:spacing w:after="0" w:line="270" w:lineRule="auto"/>
        <w:rPr>
          <w:sz w:val="20"/>
          <w:szCs w:val="20"/>
          <w:color w:val="auto"/>
        </w:rPr>
      </w:pPr>
      <w:r>
        <w:rPr>
          <w:rFonts w:ascii="Times New Roman" w:cs="Times New Roman" w:eastAsia="Times New Roman" w:hAnsi="Times New Roman"/>
          <w:sz w:val="14"/>
          <w:szCs w:val="14"/>
          <w:color w:val="auto"/>
        </w:rPr>
        <w:t>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i w:val="1"/>
          <w:iCs w:val="1"/>
          <w:color w:val="auto"/>
        </w:rPr>
        <w:t>Limits on ability of stockholders to call a special meeting</w:t>
      </w:r>
      <w:r>
        <w:rPr>
          <w:rFonts w:ascii="Times New Roman" w:cs="Times New Roman" w:eastAsia="Times New Roman" w:hAnsi="Times New Roman"/>
          <w:sz w:val="14"/>
          <w:szCs w:val="14"/>
          <w:color w:val="auto"/>
        </w:rPr>
        <w:t>. Our amended and restated bylaws provide that special meetings of the stockholders may be called only by a majority of the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then in office. These restrictions may delay the ability of our stockholders to force consideration of a proposal or for holders controlling a majority of our capital stock to take any action, including the removal of directors.</w:t>
      </w:r>
    </w:p>
    <w:p>
      <w:pPr>
        <w:spacing w:after="0" w:line="13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Requirements for advance notification of stockholder nominations and proposals</w:t>
      </w:r>
      <w:r>
        <w:rPr>
          <w:rFonts w:ascii="Times New Roman" w:cs="Times New Roman" w:eastAsia="Times New Roman" w:hAnsi="Times New Roman"/>
          <w:sz w:val="14"/>
          <w:szCs w:val="14"/>
          <w:color w:val="auto"/>
        </w:rPr>
        <w:t>. Our amended and restated bylaws establish advance notice procedures with respect to stockholder proposals relating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 not less than 90 days nor more than 120 days prior to the first anniversary date of the annual meeting the preceding year. As a result,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4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i w:val="1"/>
          <w:iCs w:val="1"/>
          <w:color w:val="auto"/>
        </w:rPr>
        <w:t>No cumulative voting</w:t>
      </w:r>
      <w:r>
        <w:rPr>
          <w:rFonts w:ascii="Times New Roman" w:cs="Times New Roman" w:eastAsia="Times New Roman" w:hAnsi="Times New Roman"/>
          <w:sz w:val="14"/>
          <w:szCs w:val="14"/>
          <w:color w:val="auto"/>
        </w:rPr>
        <w:t>. The Delaware General Corporation Law provides that stockholders are not entitled to the right to cumulate votes in the election of directors unless our amended and restated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certificate of incorporation provides otherwise. Our amended and restated certificate of incorporation and amended and restated bylaws do not expressly provide for cumulative voting.</w:t>
      </w:r>
    </w:p>
    <w:p>
      <w:pPr>
        <w:spacing w:after="0" w:line="14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i w:val="1"/>
          <w:iCs w:val="1"/>
          <w:color w:val="auto"/>
        </w:rPr>
        <w:t>Board Composition and Filling Vacancies</w:t>
      </w:r>
      <w:r>
        <w:rPr>
          <w:rFonts w:ascii="Times New Roman" w:cs="Times New Roman" w:eastAsia="Times New Roman" w:hAnsi="Times New Roman"/>
          <w:sz w:val="14"/>
          <w:szCs w:val="14"/>
          <w:color w:val="auto"/>
        </w:rPr>
        <w:t>. Prior to December 17, 2019, our amended and restated certificate of incorporation provided for the division of our board of directors into three classes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serving staggered three-year terms, with one class being elected each year. Our amended and restated certificate of incorporation currently in effect provides for a gradual declassification of our board of directors such that each director shall be elected to hold office for a one-year term expiring at the next annual meeting of stockholders, but no terms in effect prior to the filing of our amended and restated certificate on December 17, 2019 were shortened. Beginning with the 2021 annual meeting, the entire board of directors will stand for election annually for one-year terms. Our amended and restated certificate of incorporation also provides that directors may be removed only for cause. Furthermore, any vacancy on our board of directors, however occurring, including a vacancy resulting from an increase in the size of our board, may only be filled by the affirmative vote of a majority of our directors then in office even if less than a quorum. The limitations on removal of directors and treatment of vacancies have the effect of making it more difficult for stockholders to change the composition of our board of directors.</w:t>
      </w:r>
    </w:p>
    <w:p>
      <w:pPr>
        <w:spacing w:after="0" w:line="14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i w:val="1"/>
          <w:iCs w:val="1"/>
          <w:color w:val="auto"/>
        </w:rPr>
        <w:t>No Written Consent of Stockholders</w:t>
      </w:r>
      <w:r>
        <w:rPr>
          <w:rFonts w:ascii="Times New Roman" w:cs="Times New Roman" w:eastAsia="Times New Roman" w:hAnsi="Times New Roman"/>
          <w:sz w:val="14"/>
          <w:szCs w:val="14"/>
          <w:color w:val="auto"/>
        </w:rPr>
        <w:t>. Our amended and restated certificate of incorporation provides that all stockholder actions are required to be taken by a vote of the stockholders at an annual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1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Amendment to Certificate of Incorporation and Bylaws</w:t>
      </w:r>
      <w:r>
        <w:rPr>
          <w:rFonts w:ascii="Times New Roman" w:cs="Times New Roman" w:eastAsia="Times New Roman" w:hAnsi="Times New Roman"/>
          <w:sz w:val="14"/>
          <w:szCs w:val="14"/>
          <w:color w:val="auto"/>
        </w:rPr>
        <w:t>. Any amendment of our amended and restated certificate of incorporation must first be approved by a majority of our board of directors, and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amended and restated certificate of incorporation must be approved by not less than 66 2/3% of the outstanding shares entitled to vote on the amendment, and not less than 66 2/3% of the outstanding shares of each class entitled to vote thereon as a class. Our amended and restated bylaws may be amended by the affirmative vote of a majority of the directors then in office, subject to any limitations set forth in the bylaws; and</w:t>
      </w:r>
    </w:p>
    <w:p>
      <w:pPr>
        <w:sectPr>
          <w:pgSz w:w="11900" w:h="16838" w:orient="portrait"/>
          <w:cols w:equalWidth="0" w:num="1">
            <w:col w:w="11260"/>
          </w:cols>
          <w:pgMar w:left="300" w:top="122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color w:val="auto"/>
        </w:rPr>
        <w:t>may also be amended by the affirmative vote of a majority of the outstanding shares entitled to vote on the amendment.</w:t>
      </w:r>
    </w:p>
    <w:p>
      <w:pPr>
        <w:spacing w:after="0" w:line="1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i w:val="1"/>
          <w:iCs w:val="1"/>
          <w:color w:val="auto"/>
        </w:rPr>
        <w:t>Undesignated Preferred Stock</w:t>
      </w:r>
      <w:r>
        <w:rPr>
          <w:rFonts w:ascii="Times New Roman" w:cs="Times New Roman" w:eastAsia="Times New Roman" w:hAnsi="Times New Roman"/>
          <w:sz w:val="14"/>
          <w:szCs w:val="14"/>
          <w:color w:val="auto"/>
        </w:rPr>
        <w:t>. Our amended and restated certificate of incorporation provides for 25,000,000 authorized shares of preferred stock. The existence of authorized but unissued shares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Exclusive Forum</w:t>
      </w:r>
      <w:r>
        <w:rPr>
          <w:rFonts w:ascii="Times New Roman" w:cs="Times New Roman" w:eastAsia="Times New Roman" w:hAnsi="Times New Roman"/>
          <w:sz w:val="14"/>
          <w:szCs w:val="14"/>
          <w:color w:val="auto"/>
        </w:rPr>
        <w:t>. Our amended and restated bylaws provide that, unless we consent in writing to the selection of an alternative forum, the Court of Chancery of the State of Delaware will be the sole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exclusive forum for any state law claim for (i) any derivative action or proceeding brought on our behalf; (ii) any action asserting a claim of breach of a fiduciary duty owed by any of our directors, officers and employees to us or our stockholders; (iii) any action asserting a claim arising pursuant to the Delaware General Corporation Law, our amended and restated certificate of incorporation or our amended and restated bylaws; or (iv) any action asserting a claim that is governed by the internal affairs doctrine (the “Delaware Forum Provision”). The Delaware Forum</w:t>
      </w:r>
    </w:p>
    <w:p>
      <w:pPr>
        <w:spacing w:after="0" w:line="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Provision will not apply to any causes of action arising under the Securities Act of 1933, as amended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w:t>
      </w:r>
    </w:p>
    <w:p>
      <w:pPr>
        <w:spacing w:after="0" w:line="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The Delaware Forum Provision and the Federal Forum Provision may impose additional costs on stockholders, may limit our stockholders’ ability to bring a claim in a forum they find favorable, and the designated courts may reach</w:t>
      </w:r>
    </w:p>
    <w:p>
      <w:pPr>
        <w:spacing w:after="0" w:line="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different judgments or results than other courts. In addition, there is uncertainty as to whether the Federal Forum Provision for Securities Act claims will be enforced, which may impose additional costs on us and our stockholders.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9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68" w:lineRule="exact"/>
        <w:rPr>
          <w:sz w:val="20"/>
          <w:szCs w:val="20"/>
          <w:color w:val="auto"/>
        </w:rPr>
      </w:pPr>
    </w:p>
    <w:p>
      <w:pPr>
        <w:ind w:left="940" w:right="360" w:hanging="369"/>
        <w:spacing w:after="0" w:line="239"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of the corporation approved either the business combination or the transaction which resulted in the stockholder becoming an interested stockholder;</w:t>
      </w:r>
    </w:p>
    <w:p>
      <w:pPr>
        <w:sectPr>
          <w:pgSz w:w="11900" w:h="16838" w:orient="portrait"/>
          <w:cols w:equalWidth="0" w:num="1">
            <w:col w:w="11260"/>
          </w:cols>
          <w:pgMar w:left="300" w:top="1313" w:right="339" w:bottom="1440" w:gutter="0" w:footer="0" w:header="0"/>
        </w:sectPr>
      </w:pPr>
    </w:p>
    <w:bookmarkStart w:id="113" w:name="page114"/>
    <w:bookmarkEnd w:id="113"/>
    <w:p>
      <w:pPr>
        <w:ind w:left="940" w:right="60" w:hanging="369"/>
        <w:spacing w:after="0" w:line="228"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73" w:lineRule="exact"/>
        <w:rPr>
          <w:rFonts w:ascii="Times New Roman" w:cs="Times New Roman" w:eastAsia="Times New Roman" w:hAnsi="Times New Roman"/>
          <w:sz w:val="14"/>
          <w:szCs w:val="14"/>
          <w:color w:val="auto"/>
        </w:rPr>
      </w:pPr>
    </w:p>
    <w:p>
      <w:pPr>
        <w:ind w:left="940" w:right="340" w:hanging="369"/>
        <w:spacing w:after="0" w:line="239"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210" w:lineRule="exact"/>
        <w:rPr>
          <w:sz w:val="20"/>
          <w:szCs w:val="20"/>
          <w:color w:val="auto"/>
        </w:rPr>
      </w:pPr>
    </w:p>
    <w:p>
      <w:pPr>
        <w:ind w:left="940" w:hanging="369"/>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284" w:lineRule="exact"/>
        <w:rPr>
          <w:rFonts w:ascii="Times New Roman" w:cs="Times New Roman" w:eastAsia="Times New Roman" w:hAnsi="Times New Roman"/>
          <w:sz w:val="14"/>
          <w:szCs w:val="14"/>
          <w:color w:val="auto"/>
        </w:rPr>
      </w:pPr>
    </w:p>
    <w:p>
      <w:pPr>
        <w:ind w:left="940" w:hanging="369"/>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284" w:lineRule="exact"/>
        <w:rPr>
          <w:rFonts w:ascii="Times New Roman" w:cs="Times New Roman" w:eastAsia="Times New Roman" w:hAnsi="Times New Roman"/>
          <w:sz w:val="14"/>
          <w:szCs w:val="14"/>
          <w:color w:val="auto"/>
        </w:rPr>
      </w:pPr>
    </w:p>
    <w:p>
      <w:pPr>
        <w:ind w:left="940" w:hanging="369"/>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of transfer by the corporation of any stock of the corporation to the interested stockholder;</w:t>
      </w:r>
    </w:p>
    <w:p>
      <w:pPr>
        <w:spacing w:after="0" w:line="284" w:lineRule="exact"/>
        <w:rPr>
          <w:rFonts w:ascii="Times New Roman" w:cs="Times New Roman" w:eastAsia="Times New Roman" w:hAnsi="Times New Roman"/>
          <w:sz w:val="14"/>
          <w:szCs w:val="14"/>
          <w:color w:val="auto"/>
        </w:rPr>
      </w:pPr>
    </w:p>
    <w:p>
      <w:pPr>
        <w:ind w:left="940" w:right="600" w:hanging="369"/>
        <w:spacing w:after="0" w:line="239" w:lineRule="auto"/>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62" w:lineRule="exact"/>
        <w:rPr>
          <w:rFonts w:ascii="Times New Roman" w:cs="Times New Roman" w:eastAsia="Times New Roman" w:hAnsi="Times New Roman"/>
          <w:sz w:val="14"/>
          <w:szCs w:val="14"/>
          <w:color w:val="auto"/>
        </w:rPr>
      </w:pPr>
    </w:p>
    <w:p>
      <w:pPr>
        <w:ind w:left="940" w:hanging="369"/>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ectPr>
          <w:pgSz w:w="11900" w:h="16838" w:orient="portrait"/>
          <w:cols w:equalWidth="0" w:num="1">
            <w:col w:w="11240"/>
          </w:cols>
          <w:pgMar w:left="300" w:top="1249" w:right="359" w:bottom="1440" w:gutter="0" w:footer="0" w:header="0"/>
        </w:sectPr>
      </w:pPr>
    </w:p>
    <w:bookmarkStart w:id="114" w:name="page115"/>
    <w:bookmarkEnd w:id="114"/>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87" w:lineRule="auto"/>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ind w:left="3740"/>
        <w:spacing w:after="0"/>
        <w:rPr>
          <w:sz w:val="20"/>
          <w:szCs w:val="20"/>
          <w:color w:val="auto"/>
        </w:rPr>
      </w:pPr>
      <w:r>
        <w:rPr>
          <w:rFonts w:ascii="Times New Roman" w:cs="Times New Roman" w:eastAsia="Times New Roman" w:hAnsi="Times New Roman"/>
          <w:sz w:val="20"/>
          <w:szCs w:val="20"/>
          <w:b w:val="1"/>
          <w:bCs w:val="1"/>
          <w:color w:val="auto"/>
        </w:rPr>
        <w:t>GLOBAL STOCK OPTION AGREEMENT</w:t>
      </w:r>
      <w:r>
        <w:rPr>
          <w:rFonts w:ascii="Times New Roman" w:cs="Times New Roman" w:eastAsia="Times New Roman" w:hAnsi="Times New Roman"/>
          <w:sz w:val="25"/>
          <w:szCs w:val="25"/>
          <w:b w:val="1"/>
          <w:bCs w:val="1"/>
          <w:color w:val="auto"/>
          <w:vertAlign w:val="superscript"/>
        </w:rPr>
        <w:t>1</w:t>
      </w:r>
    </w:p>
    <w:p>
      <w:pPr>
        <w:ind w:left="3600"/>
        <w:spacing w:after="0" w:line="199" w:lineRule="auto"/>
        <w:rPr>
          <w:sz w:val="20"/>
          <w:szCs w:val="20"/>
          <w:color w:val="auto"/>
        </w:rPr>
      </w:pPr>
      <w:r>
        <w:rPr>
          <w:rFonts w:ascii="Times New Roman" w:cs="Times New Roman" w:eastAsia="Times New Roman" w:hAnsi="Times New Roman"/>
          <w:sz w:val="20"/>
          <w:szCs w:val="20"/>
          <w:b w:val="1"/>
          <w:bCs w:val="1"/>
          <w:color w:val="auto"/>
        </w:rPr>
        <w:t>UNDER THE GUIDEWIRE SOFTWARE,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STOCK PLAN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-9525</wp:posOffset>
            </wp:positionV>
            <wp:extent cx="1079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-9525</wp:posOffset>
            </wp:positionV>
            <wp:extent cx="1079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116"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7"/>
          <w:szCs w:val="17"/>
          <w:color w:val="auto"/>
        </w:rPr>
        <w:t>Option Exercise Price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-4445</wp:posOffset>
            </wp:positionV>
            <wp:extent cx="1079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b w:val="1"/>
          <w:bCs w:val="1"/>
          <w:color w:val="auto"/>
        </w:rPr>
        <w:t>[FMV on Grant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-9525</wp:posOffset>
            </wp:positionV>
            <wp:extent cx="10795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-9525</wp:posOffset>
            </wp:positionV>
            <wp:extent cx="1079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9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color w:val="auto"/>
        </w:rPr>
        <w:t>Option Type:</w:t>
      </w:r>
      <w:r>
        <w:rPr>
          <w:sz w:val="20"/>
          <w:szCs w:val="20"/>
          <w:color w:val="auto"/>
        </w:rPr>
        <w:tab/>
      </w:r>
      <w:r>
        <w:rPr>
          <w:rFonts w:ascii="Times New Roman" w:cs="Times New Roman" w:eastAsia="Times New Roman" w:hAnsi="Times New Roman"/>
          <w:sz w:val="17"/>
          <w:szCs w:val="17"/>
          <w:color w:val="auto"/>
        </w:rPr>
        <w:t>Non-Qualified Stock Option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Stock Option is not intended to be an “incentive stock option” under Section 422 of the Internal Revenue Code of 1986, as amended (the “Code”).</w:t>
      </w:r>
    </w:p>
    <w:p>
      <w:pPr>
        <w:spacing w:after="0" w:line="314"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Pursuant to the Guidewire Software, Inc. 2020 Stock Plan as amended through the date hereof (the “Plan”), Guidewire Software, Inc. (the “Company”) hereby grants to the Optionee named above an option (the “Stock Option”) to purchase on or prior to the Expiration Date specified above all or part of the number of shares of Common Stock (the “Stock”) of the Company specified above at the Option Exercise Price per Share specified above subject to the terms and conditions set forth in this Global Stock Option Agreement (the “Option Agreement”), including any additional terms and conditions for the Optionee’s country set forth in the appendix attached hereto (the “Appendix” and, together with the Option Agreement, the “Agreement”) and in the Plan. Capitalized terms in this Agreement shall have the meaning specified in the Plan, unless a different meaning is specified herein.</w:t>
      </w:r>
    </w:p>
    <w:p>
      <w:pPr>
        <w:spacing w:after="0" w:line="123" w:lineRule="exact"/>
        <w:rPr>
          <w:sz w:val="20"/>
          <w:szCs w:val="20"/>
          <w:color w:val="auto"/>
        </w:rPr>
      </w:pPr>
    </w:p>
    <w:p>
      <w:pPr>
        <w:jc w:val="both"/>
        <w:ind w:firstLine="514"/>
        <w:spacing w:after="0" w:line="208" w:lineRule="auto"/>
        <w:tabs>
          <w:tab w:leader="none" w:pos="101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 Schedule</w:t>
      </w:r>
      <w:r>
        <w:rPr>
          <w:rFonts w:ascii="Times New Roman" w:cs="Times New Roman" w:eastAsia="Times New Roman" w:hAnsi="Times New Roman"/>
          <w:sz w:val="17"/>
          <w:szCs w:val="17"/>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[and to any Company leave of absence policy in effect]</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this Stock Option shall be exercisable with respect to the following number of Option Shares on the dates indicated so long as the Optionee continues to be employed with the Company or an Affiliate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134747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400" w:hanging="90"/>
        <w:spacing w:after="0"/>
        <w:tabs>
          <w:tab w:leader="none" w:pos="400"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 if LOA policy is in effect.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055" w:right="319" w:bottom="1440" w:gutter="0" w:footer="0" w:header="0"/>
        </w:sectPr>
      </w:pPr>
    </w:p>
    <w:bookmarkStart w:id="123" w:name="page124"/>
    <w:bookmarkEnd w:id="123"/>
    <w:p>
      <w:pPr>
        <w:jc w:val="center"/>
        <w:ind w:right="4900"/>
        <w:spacing w:after="0"/>
        <w:rPr>
          <w:sz w:val="20"/>
          <w:szCs w:val="20"/>
          <w:color w:val="auto"/>
        </w:rPr>
      </w:pPr>
      <w:r>
        <w:rPr>
          <w:rFonts w:ascii="Times New Roman" w:cs="Times New Roman" w:eastAsia="Times New Roman" w:hAnsi="Times New Roman"/>
          <w:sz w:val="17"/>
          <w:szCs w:val="17"/>
          <w:color w:val="auto"/>
        </w:rPr>
        <w:t>Incremental Number of</w:t>
      </w:r>
    </w:p>
    <w:p>
      <w:pPr>
        <w:jc w:val="center"/>
        <w:ind w:right="4900"/>
        <w:spacing w:after="0" w:line="198" w:lineRule="auto"/>
        <w:rPr>
          <w:sz w:val="20"/>
          <w:szCs w:val="20"/>
          <w:color w:val="auto"/>
        </w:rPr>
      </w:pPr>
      <w:r>
        <w:rPr>
          <w:rFonts w:ascii="Times New Roman" w:cs="Times New Roman" w:eastAsia="Times New Roman" w:hAnsi="Times New Roman"/>
          <w:sz w:val="17"/>
          <w:szCs w:val="17"/>
          <w:color w:val="auto"/>
        </w:rPr>
        <w:t>Option Shares Exercisable[*]</w:t>
      </w:r>
    </w:p>
    <w:p>
      <w:pPr>
        <w:spacing w:after="0" w:line="1" w:lineRule="exact"/>
        <w:rPr>
          <w:sz w:val="20"/>
          <w:szCs w:val="20"/>
          <w:color w:val="auto"/>
        </w:rPr>
      </w:pPr>
    </w:p>
    <w:tbl>
      <w:tblPr>
        <w:tblLayout w:type="fixed"/>
        <w:tblInd w:w="2200" w:type="dxa"/>
        <w:tblCellMar>
          <w:top w:w="0" w:type="dxa"/>
          <w:left w:w="0" w:type="dxa"/>
          <w:bottom w:w="0" w:type="dxa"/>
          <w:right w:w="0" w:type="dxa"/>
        </w:tblCellMar>
      </w:tblPr>
      <w:tr>
        <w:trPr>
          <w:trHeight w:val="150"/>
        </w:trPr>
        <w:tc>
          <w:tcPr>
            <w:tcW w:w="1980" w:type="dxa"/>
            <w:vAlign w:val="bottom"/>
            <w:tcBorders>
              <w:top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1320" w:type="dxa"/>
            <w:vAlign w:val="bottom"/>
            <w:tcBorders>
              <w:bottom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Exercisability Date</w:t>
            </w:r>
          </w:p>
        </w:tc>
      </w:tr>
      <w:tr>
        <w:trPr>
          <w:trHeight w:val="225"/>
        </w:trPr>
        <w:tc>
          <w:tcPr>
            <w:tcW w:w="1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_____________ (___%)</w:t>
            </w:r>
          </w:p>
        </w:tc>
        <w:tc>
          <w:tcPr>
            <w:tcW w:w="4120" w:type="dxa"/>
            <w:vAlign w:val="bottom"/>
            <w:gridSpan w:val="2"/>
          </w:tcPr>
          <w:p>
            <w:pPr>
              <w:jc w:val="center"/>
              <w:ind w:left="2735"/>
              <w:spacing w:after="0"/>
              <w:rPr>
                <w:sz w:val="20"/>
                <w:szCs w:val="20"/>
                <w:color w:val="auto"/>
              </w:rPr>
            </w:pPr>
            <w:r>
              <w:rPr>
                <w:rFonts w:ascii="Times New Roman" w:cs="Times New Roman" w:eastAsia="Times New Roman" w:hAnsi="Times New Roman"/>
                <w:sz w:val="17"/>
                <w:szCs w:val="17"/>
                <w:color w:val="auto"/>
                <w:w w:val="99"/>
              </w:rPr>
              <w:t>____________</w:t>
            </w:r>
          </w:p>
        </w:tc>
      </w:tr>
      <w:tr>
        <w:trPr>
          <w:trHeight w:val="212"/>
        </w:trPr>
        <w:tc>
          <w:tcPr>
            <w:tcW w:w="1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_____________ (___%)</w:t>
            </w:r>
          </w:p>
        </w:tc>
        <w:tc>
          <w:tcPr>
            <w:tcW w:w="4120" w:type="dxa"/>
            <w:vAlign w:val="bottom"/>
            <w:gridSpan w:val="2"/>
          </w:tcPr>
          <w:p>
            <w:pPr>
              <w:jc w:val="center"/>
              <w:ind w:left="2735"/>
              <w:spacing w:after="0"/>
              <w:rPr>
                <w:sz w:val="20"/>
                <w:szCs w:val="20"/>
                <w:color w:val="auto"/>
              </w:rPr>
            </w:pPr>
            <w:r>
              <w:rPr>
                <w:rFonts w:ascii="Times New Roman" w:cs="Times New Roman" w:eastAsia="Times New Roman" w:hAnsi="Times New Roman"/>
                <w:sz w:val="17"/>
                <w:szCs w:val="17"/>
                <w:color w:val="auto"/>
                <w:w w:val="99"/>
              </w:rPr>
              <w:t>____________</w:t>
            </w:r>
          </w:p>
        </w:tc>
      </w:tr>
      <w:tr>
        <w:trPr>
          <w:trHeight w:val="212"/>
        </w:trPr>
        <w:tc>
          <w:tcPr>
            <w:tcW w:w="1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_____________ (___%)</w:t>
            </w:r>
          </w:p>
        </w:tc>
        <w:tc>
          <w:tcPr>
            <w:tcW w:w="4120" w:type="dxa"/>
            <w:vAlign w:val="bottom"/>
            <w:gridSpan w:val="2"/>
          </w:tcPr>
          <w:p>
            <w:pPr>
              <w:jc w:val="center"/>
              <w:ind w:left="2735"/>
              <w:spacing w:after="0"/>
              <w:rPr>
                <w:sz w:val="20"/>
                <w:szCs w:val="20"/>
                <w:color w:val="auto"/>
              </w:rPr>
            </w:pPr>
            <w:r>
              <w:rPr>
                <w:rFonts w:ascii="Times New Roman" w:cs="Times New Roman" w:eastAsia="Times New Roman" w:hAnsi="Times New Roman"/>
                <w:sz w:val="17"/>
                <w:szCs w:val="17"/>
                <w:color w:val="auto"/>
                <w:w w:val="99"/>
              </w:rPr>
              <w:t>____________</w:t>
            </w:r>
          </w:p>
        </w:tc>
      </w:tr>
      <w:tr>
        <w:trPr>
          <w:trHeight w:val="212"/>
        </w:trPr>
        <w:tc>
          <w:tcPr>
            <w:tcW w:w="1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_____________ (___%)</w:t>
            </w:r>
          </w:p>
        </w:tc>
        <w:tc>
          <w:tcPr>
            <w:tcW w:w="4120" w:type="dxa"/>
            <w:vAlign w:val="bottom"/>
            <w:gridSpan w:val="2"/>
          </w:tcPr>
          <w:p>
            <w:pPr>
              <w:jc w:val="center"/>
              <w:ind w:left="2735"/>
              <w:spacing w:after="0"/>
              <w:rPr>
                <w:sz w:val="20"/>
                <w:szCs w:val="20"/>
                <w:color w:val="auto"/>
              </w:rPr>
            </w:pPr>
            <w:r>
              <w:rPr>
                <w:rFonts w:ascii="Times New Roman" w:cs="Times New Roman" w:eastAsia="Times New Roman" w:hAnsi="Times New Roman"/>
                <w:sz w:val="17"/>
                <w:szCs w:val="17"/>
                <w:color w:val="auto"/>
                <w:w w:val="99"/>
              </w:rPr>
              <w:t>____________</w:t>
            </w:r>
          </w:p>
        </w:tc>
      </w:tr>
      <w:tr>
        <w:trPr>
          <w:trHeight w:val="219"/>
        </w:trPr>
        <w:tc>
          <w:tcPr>
            <w:tcW w:w="1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_____________ (___%)</w:t>
            </w:r>
          </w:p>
        </w:tc>
        <w:tc>
          <w:tcPr>
            <w:tcW w:w="4120" w:type="dxa"/>
            <w:vAlign w:val="bottom"/>
            <w:gridSpan w:val="2"/>
          </w:tcPr>
          <w:p>
            <w:pPr>
              <w:jc w:val="center"/>
              <w:ind w:left="2735"/>
              <w:spacing w:after="0"/>
              <w:rPr>
                <w:sz w:val="20"/>
                <w:szCs w:val="20"/>
                <w:color w:val="auto"/>
              </w:rPr>
            </w:pPr>
            <w:r>
              <w:rPr>
                <w:rFonts w:ascii="Times New Roman" w:cs="Times New Roman" w:eastAsia="Times New Roman" w:hAnsi="Times New Roman"/>
                <w:sz w:val="17"/>
                <w:szCs w:val="17"/>
                <w:color w:val="auto"/>
                <w:w w:val="99"/>
              </w:rPr>
              <w:t>____________</w:t>
            </w:r>
          </w:p>
        </w:tc>
      </w:tr>
    </w:tbl>
    <w:p>
      <w:pPr>
        <w:spacing w:after="0" w:line="216" w:lineRule="exact"/>
        <w:rPr>
          <w:sz w:val="20"/>
          <w:szCs w:val="20"/>
          <w:color w:val="auto"/>
        </w:rPr>
      </w:pPr>
    </w:p>
    <w:p>
      <w:pPr>
        <w:jc w:val="both"/>
        <w:ind w:right="60" w:firstLine="509"/>
        <w:spacing w:after="0" w:line="232" w:lineRule="auto"/>
        <w:rPr>
          <w:sz w:val="20"/>
          <w:szCs w:val="20"/>
          <w:color w:val="auto"/>
        </w:rPr>
      </w:pPr>
      <w:r>
        <w:rPr>
          <w:rFonts w:ascii="Times New Roman" w:cs="Times New Roman" w:eastAsia="Times New Roman" w:hAnsi="Times New Roman"/>
          <w:sz w:val="17"/>
          <w:szCs w:val="17"/>
          <w:color w:val="auto"/>
        </w:rPr>
        <w:t>Notwithstanding anything in this Agreement to the contrary, in the case of a Sale Event, this Stock Option and the Option Shares shall be treated as provided in Section 3(c) of the Plan[ provided; however that the Stock Option and the Option Shares shall be subject to any executive agreement by and between the Optionee and the Company, as applicable (the “Executive Agreement”)].</w:t>
      </w:r>
      <w:r>
        <w:rPr>
          <w:rFonts w:ascii="Times New Roman" w:cs="Times New Roman" w:eastAsia="Times New Roman" w:hAnsi="Times New Roman"/>
          <w:sz w:val="22"/>
          <w:szCs w:val="22"/>
          <w:color w:val="auto"/>
          <w:vertAlign w:val="superscript"/>
        </w:rPr>
        <w:t>3</w:t>
      </w:r>
    </w:p>
    <w:p>
      <w:pPr>
        <w:spacing w:after="0" w:line="57"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Once exercisable, this Stock Option shall continue to be exercisable at any time or times prior to the close of business on the Expiration Date, subject to the provisions hereof and of the Plan. For the avoidance of doubt, being employed with the Company or an Affiliate for only a portion of the vesting period, but where the Optionee’s employment has terminated prior to a vesting date, will not entitle the Optionee to vest in and exercise a pro-rata portion of this Stock Option on such vesting date or any future vesting date.</w:t>
      </w:r>
    </w:p>
    <w:p>
      <w:pPr>
        <w:spacing w:after="0" w:line="122" w:lineRule="exact"/>
        <w:rPr>
          <w:sz w:val="20"/>
          <w:szCs w:val="20"/>
          <w:color w:val="auto"/>
        </w:rPr>
      </w:pPr>
    </w:p>
    <w:p>
      <w:pPr>
        <w:ind w:left="1020" w:hanging="506"/>
        <w:spacing w:after="0"/>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right="140" w:firstLine="1023"/>
        <w:spacing w:after="0" w:line="228" w:lineRule="auto"/>
        <w:tabs>
          <w:tab w:leader="none" w:pos="152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Optionee may exercise this Stock Option only in the following manner: from time to time on or prior to the Expiration Date of this Stock Option, the Optionee may give written notice to the Administrator (or such other person or entity as the Administrator may designate) of his or her election to purchase some or all of the Option Shares purchasable at the time of such notice. This notice shall specify the number of Option Shares to be purchased.</w:t>
      </w:r>
    </w:p>
    <w:p>
      <w:pPr>
        <w:spacing w:after="0" w:line="122"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of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(or such person or entity as the Company may designate)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2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134747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80" w:lineRule="exact"/>
        <w:rPr>
          <w:sz w:val="20"/>
          <w:szCs w:val="20"/>
          <w:color w:val="auto"/>
        </w:rPr>
      </w:pPr>
    </w:p>
    <w:p>
      <w:pPr>
        <w:ind w:left="400" w:hanging="90"/>
        <w:spacing w:after="0"/>
        <w:tabs>
          <w:tab w:leader="none" w:pos="40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executives with executive agreements.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61" w:right="319" w:bottom="1440" w:gutter="0" w:footer="0" w:header="0"/>
        </w:sectPr>
      </w:pPr>
    </w:p>
    <w:bookmarkStart w:id="124" w:name="page125"/>
    <w:bookmarkEnd w:id="124"/>
    <w:p>
      <w:pPr>
        <w:jc w:val="both"/>
        <w:spacing w:after="0" w:line="220" w:lineRule="auto"/>
        <w:rPr>
          <w:sz w:val="20"/>
          <w:szCs w:val="20"/>
          <w:color w:val="auto"/>
        </w:rPr>
      </w:pPr>
      <w:r>
        <w:rPr>
          <w:rFonts w:ascii="Times New Roman" w:cs="Times New Roman" w:eastAsia="Times New Roman" w:hAnsi="Times New Roman"/>
          <w:sz w:val="17"/>
          <w:szCs w:val="17"/>
          <w:color w:val="auto"/>
        </w:rPr>
        <w:t>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 owned shares of Stock through the attestation method, the number of shares of Stock transferred to the Optionee upon the exercise of the Stock Option shall be net of the Shares attested to.</w:t>
      </w:r>
    </w:p>
    <w:p>
      <w:pPr>
        <w:spacing w:after="0" w:line="123" w:lineRule="exact"/>
        <w:rPr>
          <w:sz w:val="20"/>
          <w:szCs w:val="20"/>
          <w:color w:val="auto"/>
        </w:rPr>
      </w:pPr>
    </w:p>
    <w:p>
      <w:pPr>
        <w:jc w:val="both"/>
        <w:ind w:firstLine="1023"/>
        <w:spacing w:after="0" w:line="217" w:lineRule="auto"/>
        <w:tabs>
          <w:tab w:leader="none" w:pos="152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20"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hereof or of the Plan, no portion of this Stock Option shall be exercisable after the Expiration Date hereof.</w:t>
      </w:r>
    </w:p>
    <w:p>
      <w:pPr>
        <w:spacing w:after="0" w:line="155" w:lineRule="exact"/>
        <w:rPr>
          <w:rFonts w:ascii="Times New Roman" w:cs="Times New Roman" w:eastAsia="Times New Roman" w:hAnsi="Times New Roman"/>
          <w:sz w:val="16"/>
          <w:szCs w:val="16"/>
          <w:color w:val="auto"/>
        </w:rPr>
      </w:pPr>
    </w:p>
    <w:p>
      <w:pPr>
        <w:ind w:firstLine="514"/>
        <w:spacing w:after="0" w:line="238" w:lineRule="auto"/>
        <w:tabs>
          <w:tab w:leader="none" w:pos="1019"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If the Optionee’s employment with the Company or an Affiliate (as defined in the Plan) is terminated, the period within which to exercise the Stock Option may be subject to earlier termination as set forth below (and if not exercised within such period, shall thereafter terminate).</w:t>
      </w:r>
    </w:p>
    <w:p>
      <w:pPr>
        <w:spacing w:after="0" w:line="121"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w:t>
      </w:r>
      <w:r>
        <w:rPr>
          <w:rFonts w:ascii="Times New Roman" w:cs="Times New Roman" w:eastAsia="Times New Roman" w:hAnsi="Times New Roman"/>
          <w:sz w:val="17"/>
          <w:szCs w:val="17"/>
          <w:color w:val="auto"/>
        </w:rPr>
        <w:t>. If the Optionee’s employment with the Company or an Affiliate terminates by reason of the Optionee’s death, any portion of this Stock Option outstanding on such date, to the extent exercisable on the date of death, may thereafter be exercised by the Optionee’s legal representative or legatee for a period of twelve (12) months from the date of death or until the Expiration Date, if earlier. Any portion of this Stock Option that is not exercisable on the date of death shall terminate immediately and be of no further force or effect.</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Disability</w:t>
      </w:r>
      <w:r>
        <w:rPr>
          <w:rFonts w:ascii="Times New Roman" w:cs="Times New Roman" w:eastAsia="Times New Roman" w:hAnsi="Times New Roman"/>
          <w:sz w:val="17"/>
          <w:szCs w:val="17"/>
          <w:color w:val="auto"/>
        </w:rPr>
        <w:t>. If the Optionee’s employment with the Company or an Affiliate terminates by reason of the Optionee’s disability (as determined by the Administrator), any portion of this Stock Option outstanding on such date, to the extent exercisable on the date of such termination, may thereafter be exercised by the Optionee for a period of twelve (12) months from the date of termination due to disability or until the Expiration Date, if earlier. Any portion of this Stock Option that is not exercisable on the date of termination due to disability shall terminate immediately and be of no further force or effect.</w:t>
      </w:r>
    </w:p>
    <w:p>
      <w:pPr>
        <w:spacing w:after="0" w:line="122"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the Optionee’s employment with the Company or an Affiliate terminates for Cause, any portion of this Stock Option outstanding on such date shall terminate immediately and be of no further force and effect. For purposes hereof, “Cause” shall mean, unless otherwise provided in an employment or other service agreement between the Optionee and the Company or an Affiliate, as applicable,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25" w:name="page126"/>
    <w:bookmarkEnd w:id="125"/>
    <w:p>
      <w:pPr>
        <w:spacing w:after="0" w:line="238" w:lineRule="auto"/>
        <w:rPr>
          <w:sz w:val="20"/>
          <w:szCs w:val="20"/>
          <w:color w:val="auto"/>
        </w:rPr>
      </w:pPr>
      <w:r>
        <w:rPr>
          <w:rFonts w:ascii="Times New Roman" w:cs="Times New Roman" w:eastAsia="Times New Roman" w:hAnsi="Times New Roman"/>
          <w:sz w:val="17"/>
          <w:szCs w:val="17"/>
          <w:color w:val="auto"/>
        </w:rPr>
        <w:t>material misconduct or willful and deliberate non-performance (other than by reason of disability) by the Optionee of the Optionee’s duties to the Company or any Affiliate.</w:t>
      </w:r>
    </w:p>
    <w:p>
      <w:pPr>
        <w:spacing w:after="0" w:line="122" w:lineRule="exact"/>
        <w:rPr>
          <w:sz w:val="20"/>
          <w:szCs w:val="20"/>
          <w:color w:val="auto"/>
        </w:rPr>
      </w:pPr>
    </w:p>
    <w:p>
      <w:pPr>
        <w:jc w:val="both"/>
        <w:ind w:firstLine="1023"/>
        <w:spacing w:after="0" w:line="223" w:lineRule="auto"/>
        <w:tabs>
          <w:tab w:leader="none" w:pos="152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Termination</w:t>
      </w:r>
      <w:r>
        <w:rPr>
          <w:rFonts w:ascii="Times New Roman" w:cs="Times New Roman" w:eastAsia="Times New Roman" w:hAnsi="Times New Roman"/>
          <w:sz w:val="17"/>
          <w:szCs w:val="17"/>
          <w:color w:val="auto"/>
        </w:rPr>
        <w:t>. If the Optionee’s employment with the Company or an Affiliate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22"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For purposes of this Stock Option, the Optionee’s employment with the Company or an Affiliate will be considered terminated and termination date shall be deemed to occur as of the date the Optionee is no longer actively providing services to the Company or any of its Subsidiaries or Affiliates (regardless of the reason for such termination and whether or not later found to be invalid or in breach of labor laws in the jurisdiction where the Optionee is employed or otherwise providing services or the terms of the Optionee’s employment or other service agreement, if any). Unless otherwise determined by the Company, the Optionee’s right to vest in the Stock Option, if any, will terminate and the Optionee's right to exercise any vested Stock Option will be measured as of such date and, in either case, will not be extended by any notice period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Optionee’s period of service would not include any contractual notice period or any period of “garden leave” or similar period mandated under labor laws in the jurisdiction where the Optionee is employed or otherwise providing services or the terms of the Optionee’s employment or other service agreement, if any). The Administrator shall have the exclusive discretion to determine when the Optionee is no longer actively providing services for purposes of this Stock Option (including whether the Optionee may still be considered to be providing services while on a leave of absence).</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The Administrator’s determination of the reason for termination of the Optionee’s employment with the Company or an Affiliate shall be conclusive and binding on the Optionee and his or her representatives or legatees.</w:t>
      </w:r>
    </w:p>
    <w:p>
      <w:pPr>
        <w:spacing w:after="0" w:line="122" w:lineRule="exact"/>
        <w:rPr>
          <w:sz w:val="20"/>
          <w:szCs w:val="20"/>
          <w:color w:val="auto"/>
        </w:rPr>
      </w:pPr>
    </w:p>
    <w:p>
      <w:pPr>
        <w:ind w:firstLine="514"/>
        <w:spacing w:after="0" w:line="238" w:lineRule="auto"/>
        <w:tabs>
          <w:tab w:leader="none" w:pos="10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of Plan</w:t>
      </w:r>
      <w:r>
        <w:rPr>
          <w:rFonts w:ascii="Times New Roman" w:cs="Times New Roman" w:eastAsia="Times New Roman" w:hAnsi="Times New Roman"/>
          <w:sz w:val="17"/>
          <w:szCs w:val="17"/>
          <w:color w:val="auto"/>
        </w:rPr>
        <w:t>. Notwithstanding anything herein to the contrary, this Stock Option shall be subject to and governed by all the terms and conditions of the Plan, including the powers of the Administrator set forth in Section 2(b) of the Plan.</w:t>
      </w:r>
    </w:p>
    <w:p>
      <w:pPr>
        <w:spacing w:after="0" w:line="121"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21" w:lineRule="exact"/>
        <w:rPr>
          <w:rFonts w:ascii="Times New Roman" w:cs="Times New Roman" w:eastAsia="Times New Roman" w:hAnsi="Times New Roman"/>
          <w:sz w:val="17"/>
          <w:szCs w:val="17"/>
          <w:color w:val="auto"/>
        </w:rPr>
      </w:pPr>
    </w:p>
    <w:p>
      <w:pPr>
        <w:jc w:val="both"/>
        <w:ind w:firstLine="514"/>
        <w:spacing w:after="0" w:line="217" w:lineRule="auto"/>
        <w:tabs>
          <w:tab w:leader="none" w:pos="101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Regardless of any action that the Company, or if different, an Affiliate to which the Optionee provides service (collectively, the “Employer”) takes with respect to any or all income tax, social insurance, fringe benefits tax, payroll tax, payment on account, or other tax-related items related to the Optionee’s participation in the Plan and legally applicable or deemed applicable to him or her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(i) make no representations or undertakings regarding the treatment of any Tax-Related Items in connection with any aspect of the Stock Option, including, without limitation, the grant, vesting, or exercise of the Stock Option, the issuance of Stock upon exercise, the subsequent sale of Stock acquired pursuant to such issuance, and the receipt of any dividends; and (ii) do not commit to and 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26" w:name="page127"/>
    <w:bookmarkEnd w:id="126"/>
    <w:p>
      <w:pPr>
        <w:jc w:val="both"/>
        <w:spacing w:after="0" w:line="223" w:lineRule="auto"/>
        <w:rPr>
          <w:sz w:val="20"/>
          <w:szCs w:val="20"/>
          <w:color w:val="auto"/>
        </w:rPr>
      </w:pPr>
      <w:r>
        <w:rPr>
          <w:rFonts w:ascii="Times New Roman" w:cs="Times New Roman" w:eastAsia="Times New Roman" w:hAnsi="Times New Roman"/>
          <w:sz w:val="17"/>
          <w:szCs w:val="17"/>
          <w:color w:val="auto"/>
        </w:rPr>
        <w:t>under no obligation to structure the terms of the grant or any aspect of the Stock Option to reduce or eliminate the Optionee’s liability for Tax-Related Items or achieve any particular tax result. The Optionee shall not make any claim against the Company or its Board, officers or employees related to Tax-Related Items arising from this Stock Option. Furthermore, if the Optionee has become subject to tax in more than one jurisdiction, the Optionee acknowledges that the Company and/or the Employer (or former employer, as applicable) may be required to withhold or account for Tax-Related Items in more than one jurisdiction.</w:t>
      </w:r>
    </w:p>
    <w:p>
      <w:pPr>
        <w:spacing w:after="0" w:line="122" w:lineRule="exact"/>
        <w:rPr>
          <w:sz w:val="20"/>
          <w:szCs w:val="20"/>
          <w:color w:val="auto"/>
        </w:rPr>
      </w:pPr>
    </w:p>
    <w:p>
      <w:pPr>
        <w:jc w:val="both"/>
        <w:ind w:firstLine="381"/>
        <w:spacing w:after="0" w:line="228" w:lineRule="auto"/>
        <w:rPr>
          <w:sz w:val="20"/>
          <w:szCs w:val="20"/>
          <w:color w:val="auto"/>
        </w:rPr>
      </w:pPr>
      <w:r>
        <w:rPr>
          <w:rFonts w:ascii="Times New Roman" w:cs="Times New Roman" w:eastAsia="Times New Roman" w:hAnsi="Times New Roman"/>
          <w:sz w:val="17"/>
          <w:szCs w:val="17"/>
          <w:color w:val="auto"/>
        </w:rPr>
        <w:t>Prior to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w:t>
      </w:r>
    </w:p>
    <w:p>
      <w:pPr>
        <w:spacing w:after="0" w:line="122" w:lineRule="exact"/>
        <w:rPr>
          <w:sz w:val="20"/>
          <w:szCs w:val="20"/>
          <w:color w:val="auto"/>
        </w:rPr>
      </w:pPr>
    </w:p>
    <w:p>
      <w:pPr>
        <w:ind w:left="1380" w:hanging="357"/>
        <w:spacing w:after="0"/>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cash payment by the Optionee to the Company and/or the Employer; or</w:t>
      </w:r>
    </w:p>
    <w:p>
      <w:pPr>
        <w:spacing w:after="0" w:line="144" w:lineRule="exact"/>
        <w:rPr>
          <w:rFonts w:ascii="Times New Roman" w:cs="Times New Roman" w:eastAsia="Times New Roman" w:hAnsi="Times New Roman"/>
          <w:sz w:val="17"/>
          <w:szCs w:val="17"/>
          <w:color w:val="auto"/>
        </w:rPr>
      </w:pPr>
    </w:p>
    <w:p>
      <w:pPr>
        <w:ind w:left="1400" w:hanging="377"/>
        <w:spacing w:after="0"/>
        <w:tabs>
          <w:tab w:leader="none" w:pos="14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the Optionee’s wages or other cash compensation payable to him or her by the Company and/or the Employer; or</w:t>
      </w:r>
    </w:p>
    <w:p>
      <w:pPr>
        <w:spacing w:after="0" w:line="144" w:lineRule="exact"/>
        <w:rPr>
          <w:rFonts w:ascii="Times New Roman" w:cs="Times New Roman" w:eastAsia="Times New Roman" w:hAnsi="Times New Roman"/>
          <w:sz w:val="17"/>
          <w:szCs w:val="17"/>
          <w:color w:val="auto"/>
        </w:rPr>
      </w:pPr>
    </w:p>
    <w:p>
      <w:pPr>
        <w:ind w:firstLine="1023"/>
        <w:spacing w:after="0" w:line="238" w:lineRule="auto"/>
        <w:tabs>
          <w:tab w:leader="none" w:pos="147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proceeds of the sale of Stock acquired upon exercise of the Stock Options, either through a voluntary sale or through a mandatory sale arranged by the Company (on the Optionee’s behalf pursuant to this authorization without further consent); or</w:t>
      </w:r>
    </w:p>
    <w:p>
      <w:pPr>
        <w:spacing w:after="0" w:line="121" w:lineRule="exact"/>
        <w:rPr>
          <w:rFonts w:ascii="Times New Roman" w:cs="Times New Roman" w:eastAsia="Times New Roman" w:hAnsi="Times New Roman"/>
          <w:sz w:val="17"/>
          <w:szCs w:val="17"/>
          <w:color w:val="auto"/>
        </w:rPr>
      </w:pPr>
    </w:p>
    <w:p>
      <w:pPr>
        <w:ind w:left="1400" w:hanging="377"/>
        <w:spacing w:after="0"/>
        <w:tabs>
          <w:tab w:leader="none" w:pos="14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withholding method determined by the Company to be in compliance with applicable laws and permitted under the Plan.</w:t>
      </w:r>
    </w:p>
    <w:p>
      <w:pPr>
        <w:spacing w:after="0" w:line="144" w:lineRule="exact"/>
        <w:rPr>
          <w:sz w:val="20"/>
          <w:szCs w:val="20"/>
          <w:color w:val="auto"/>
        </w:rPr>
      </w:pPr>
    </w:p>
    <w:p>
      <w:pPr>
        <w:jc w:val="both"/>
        <w:ind w:firstLine="403"/>
        <w:spacing w:after="0" w:line="217" w:lineRule="auto"/>
        <w:rPr>
          <w:sz w:val="20"/>
          <w:szCs w:val="20"/>
          <w:color w:val="auto"/>
        </w:rPr>
      </w:pPr>
      <w:r>
        <w:rPr>
          <w:rFonts w:ascii="Times New Roman" w:cs="Times New Roman" w:eastAsia="Times New Roman" w:hAnsi="Times New Roman"/>
          <w:sz w:val="17"/>
          <w:szCs w:val="17"/>
          <w:color w:val="auto"/>
        </w:rPr>
        <w:t>The Company may withhold or account for Tax-Related Items by considering applicable statutory withholding amounts or other applicable withholding rates, including maximum rates applicable in the Optionee’s jurisdiction(s). In the event of over-withholding, the Optionee may receive a refund of any over-withheld amount in cash and will have no entitlement to the equivalent in shares of Stock, or if not refunded, the Optionee may seek a refund from the applicable tax authorities. In the event of under-withholding, the Optionee may be required to pay additional Tax-Related Items directly to the applicable tax authorities or to the Company and/or the Employer. If the obligation for Tax-Related Items is satisfied by withholding in shares of Stock, for tax purposes, the Optionee is deemed to have been issued the full number of Option Shares subject to the exercised Stock Option, notwithstanding that a number of the Option Shares is held back solely for the purpose of paying the Tax-Related Items..</w:t>
      </w:r>
    </w:p>
    <w:p>
      <w:pPr>
        <w:spacing w:after="0" w:line="121" w:lineRule="exact"/>
        <w:rPr>
          <w:sz w:val="20"/>
          <w:szCs w:val="20"/>
          <w:color w:val="auto"/>
        </w:rPr>
      </w:pPr>
    </w:p>
    <w:p>
      <w:pPr>
        <w:jc w:val="both"/>
        <w:ind w:firstLine="1082"/>
        <w:spacing w:after="0" w:line="223" w:lineRule="auto"/>
        <w:rPr>
          <w:sz w:val="20"/>
          <w:szCs w:val="20"/>
          <w:color w:val="auto"/>
        </w:rPr>
      </w:pPr>
      <w:r>
        <w:rPr>
          <w:rFonts w:ascii="Times New Roman" w:cs="Times New Roman" w:eastAsia="Times New Roman" w:hAnsi="Times New Roman"/>
          <w:sz w:val="17"/>
          <w:szCs w:val="17"/>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Option Shares or the proceeds of the sale of the Option Shares acquired upon the exercise of this Stock Option, if the Optionee fails to comply with his or her obligations in connection with the Tax-Related Items.</w:t>
      </w:r>
    </w:p>
    <w:p>
      <w:pPr>
        <w:spacing w:after="0" w:line="122" w:lineRule="exact"/>
        <w:rPr>
          <w:sz w:val="20"/>
          <w:szCs w:val="20"/>
          <w:color w:val="auto"/>
        </w:rPr>
      </w:pPr>
    </w:p>
    <w:p>
      <w:pPr>
        <w:ind w:left="1020" w:hanging="506"/>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Award</w:t>
      </w:r>
      <w:r>
        <w:rPr>
          <w:rFonts w:ascii="Times New Roman" w:cs="Times New Roman" w:eastAsia="Times New Roman" w:hAnsi="Times New Roman"/>
          <w:sz w:val="17"/>
          <w:szCs w:val="17"/>
          <w:color w:val="auto"/>
        </w:rPr>
        <w:t>. In accepting this Stock Option, the Optionee acknowledges, understands, and agrees that:</w:t>
      </w:r>
    </w:p>
    <w:p>
      <w:pPr>
        <w:spacing w:after="0" w:line="144" w:lineRule="exact"/>
        <w:rPr>
          <w:rFonts w:ascii="Times New Roman" w:cs="Times New Roman" w:eastAsia="Times New Roman" w:hAnsi="Times New Roman"/>
          <w:sz w:val="17"/>
          <w:szCs w:val="17"/>
          <w:color w:val="auto"/>
        </w:rPr>
      </w:pPr>
    </w:p>
    <w:p>
      <w:pPr>
        <w:jc w:val="both"/>
        <w:ind w:firstLine="1533"/>
        <w:spacing w:after="0" w:line="228" w:lineRule="auto"/>
        <w:tabs>
          <w:tab w:leader="none" w:pos="2035" w:val="left"/>
        </w:tabs>
        <w:numPr>
          <w:ilvl w:val="1"/>
          <w:numId w:val="3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Neither the Company nor any Affiliate is obligated by or as a result of the Plan or this Agreement to continue the Optionee’s employment or any other Service Relationship with the Company or an Affiliate, and neither the Plan nor this Agreement shall interfere in any way with the right of the Company or any Affiliate to terminate the Optionee’s employment or any other Service Relationship with the Company or an Affiliate at any time.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6" w:right="319" w:bottom="1440" w:gutter="0" w:footer="0" w:header="0"/>
        </w:sectPr>
      </w:pPr>
    </w:p>
    <w:bookmarkStart w:id="127" w:name="page128"/>
    <w:bookmarkEnd w:id="127"/>
    <w:p>
      <w:pPr>
        <w:ind w:left="-20" w:firstLine="1533"/>
        <w:spacing w:after="0" w:line="238" w:lineRule="auto"/>
        <w:tabs>
          <w:tab w:leader="none" w:pos="2014"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Plan is established voluntarily by the Company, is discretionary in nature and may be modified, amended, suspended, or terminated by the Company at any time, to the extent permitted by the Plan;</w:t>
      </w:r>
    </w:p>
    <w:p>
      <w:pPr>
        <w:spacing w:after="0" w:line="121" w:lineRule="exact"/>
        <w:rPr>
          <w:rFonts w:ascii="Times New Roman" w:cs="Times New Roman" w:eastAsia="Times New Roman" w:hAnsi="Times New Roman"/>
          <w:sz w:val="17"/>
          <w:szCs w:val="17"/>
          <w:color w:val="010000"/>
        </w:rPr>
      </w:pPr>
    </w:p>
    <w:p>
      <w:pPr>
        <w:ind w:left="-20" w:firstLine="1533"/>
        <w:spacing w:after="0" w:line="238" w:lineRule="auto"/>
        <w:tabs>
          <w:tab w:leader="none" w:pos="2015"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grant of this Stock Option is exceptional, voluntary and occasional and does not create any contractual or other right to receive future stock options, or benefits in lieu of stock options, even if such grants have been made in the past;</w:t>
      </w:r>
    </w:p>
    <w:p>
      <w:pPr>
        <w:spacing w:after="0" w:line="121" w:lineRule="exact"/>
        <w:rPr>
          <w:rFonts w:ascii="Times New Roman" w:cs="Times New Roman" w:eastAsia="Times New Roman" w:hAnsi="Times New Roman"/>
          <w:sz w:val="17"/>
          <w:szCs w:val="17"/>
          <w:color w:val="010000"/>
        </w:rPr>
      </w:pPr>
    </w:p>
    <w:p>
      <w:pPr>
        <w:ind w:left="2020" w:hanging="507"/>
        <w:spacing w:after="0"/>
        <w:tabs>
          <w:tab w:leader="none" w:pos="2020"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all decisions with respect to future Stock Options, if any, will be at the sole discretion of the Company;</w:t>
      </w:r>
    </w:p>
    <w:p>
      <w:pPr>
        <w:spacing w:after="0" w:line="144" w:lineRule="exact"/>
        <w:rPr>
          <w:rFonts w:ascii="Times New Roman" w:cs="Times New Roman" w:eastAsia="Times New Roman" w:hAnsi="Times New Roman"/>
          <w:sz w:val="17"/>
          <w:szCs w:val="17"/>
          <w:color w:val="010000"/>
        </w:rPr>
      </w:pPr>
    </w:p>
    <w:p>
      <w:pPr>
        <w:ind w:left="2020" w:hanging="507"/>
        <w:spacing w:after="0"/>
        <w:tabs>
          <w:tab w:leader="none" w:pos="2020"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Optionee’s participation in the Plan is voluntary;</w:t>
      </w:r>
    </w:p>
    <w:p>
      <w:pPr>
        <w:spacing w:after="0" w:line="144" w:lineRule="exact"/>
        <w:rPr>
          <w:rFonts w:ascii="Times New Roman" w:cs="Times New Roman" w:eastAsia="Times New Roman" w:hAnsi="Times New Roman"/>
          <w:sz w:val="17"/>
          <w:szCs w:val="17"/>
          <w:color w:val="010000"/>
        </w:rPr>
      </w:pPr>
    </w:p>
    <w:p>
      <w:pPr>
        <w:ind w:left="-20" w:firstLine="1533"/>
        <w:spacing w:after="0" w:line="238" w:lineRule="auto"/>
        <w:tabs>
          <w:tab w:leader="none" w:pos="2017"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Award and the shares of Stock subject to this Stock Option, and the income from and value of the same, are not intended to replace any pension rights or compensation;</w:t>
      </w:r>
    </w:p>
    <w:p>
      <w:pPr>
        <w:spacing w:after="0" w:line="121" w:lineRule="exact"/>
        <w:rPr>
          <w:rFonts w:ascii="Times New Roman" w:cs="Times New Roman" w:eastAsia="Times New Roman" w:hAnsi="Times New Roman"/>
          <w:sz w:val="17"/>
          <w:szCs w:val="17"/>
          <w:color w:val="010000"/>
        </w:rPr>
      </w:pPr>
    </w:p>
    <w:p>
      <w:pPr>
        <w:jc w:val="both"/>
        <w:ind w:left="-20" w:firstLine="1533"/>
        <w:spacing w:after="0" w:line="228" w:lineRule="auto"/>
        <w:tabs>
          <w:tab w:leader="none" w:pos="2014"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Stock Option and the shares of Stock subject to this Award, and the income from and value of same, are not part of normal or expected compensation or salary for purposes of, including, without limitation, calculating any severance, resignation, termination, redundancy, dismissal, end-of-service payments, holiday pay, bonuses, long-service awards, pension or retirement or welfare benefits or similar payments;</w:t>
      </w:r>
    </w:p>
    <w:p>
      <w:pPr>
        <w:spacing w:after="0" w:line="121" w:lineRule="exact"/>
        <w:rPr>
          <w:rFonts w:ascii="Times New Roman" w:cs="Times New Roman" w:eastAsia="Times New Roman" w:hAnsi="Times New Roman"/>
          <w:sz w:val="17"/>
          <w:szCs w:val="17"/>
          <w:color w:val="010000"/>
        </w:rPr>
      </w:pPr>
    </w:p>
    <w:p>
      <w:pPr>
        <w:ind w:left="2020" w:hanging="507"/>
        <w:spacing w:after="0"/>
        <w:tabs>
          <w:tab w:leader="none" w:pos="2020"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future value of the shares of Stock subject to this Stock Option is unknown, indeterminable and cannot be predicted with certainty;</w:t>
      </w:r>
    </w:p>
    <w:p>
      <w:pPr>
        <w:spacing w:after="0" w:line="144" w:lineRule="exact"/>
        <w:rPr>
          <w:rFonts w:ascii="Times New Roman" w:cs="Times New Roman" w:eastAsia="Times New Roman" w:hAnsi="Times New Roman"/>
          <w:sz w:val="17"/>
          <w:szCs w:val="17"/>
          <w:color w:val="010000"/>
        </w:rPr>
      </w:pPr>
    </w:p>
    <w:p>
      <w:pPr>
        <w:ind w:left="2020" w:hanging="507"/>
        <w:spacing w:after="0"/>
        <w:tabs>
          <w:tab w:leader="none" w:pos="2020"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the underlying shares of Stock subject to the Stock Option do not increase in value, the Stock Option will have no value;</w:t>
      </w:r>
    </w:p>
    <w:p>
      <w:pPr>
        <w:spacing w:after="0" w:line="144" w:lineRule="exact"/>
        <w:rPr>
          <w:rFonts w:ascii="Times New Roman" w:cs="Times New Roman" w:eastAsia="Times New Roman" w:hAnsi="Times New Roman"/>
          <w:sz w:val="17"/>
          <w:szCs w:val="17"/>
          <w:color w:val="010000"/>
        </w:rPr>
      </w:pPr>
    </w:p>
    <w:p>
      <w:pPr>
        <w:ind w:left="-20" w:firstLine="1533"/>
        <w:spacing w:after="0" w:line="238" w:lineRule="auto"/>
        <w:tabs>
          <w:tab w:leader="none" w:pos="2008"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if Optionee exercises the Stock Option and acquires shares of Stock, the value of such shares of Stock may increase or decrease, even below the Option Exercise Price per Share;</w:t>
      </w:r>
    </w:p>
    <w:p>
      <w:pPr>
        <w:spacing w:after="0" w:line="121" w:lineRule="exact"/>
        <w:rPr>
          <w:rFonts w:ascii="Times New Roman" w:cs="Times New Roman" w:eastAsia="Times New Roman" w:hAnsi="Times New Roman"/>
          <w:sz w:val="17"/>
          <w:szCs w:val="17"/>
          <w:color w:val="010000"/>
        </w:rPr>
      </w:pPr>
    </w:p>
    <w:p>
      <w:pPr>
        <w:jc w:val="both"/>
        <w:ind w:left="-20" w:firstLine="1533"/>
        <w:spacing w:after="0" w:line="228" w:lineRule="auto"/>
        <w:tabs>
          <w:tab w:leader="none" w:pos="2014"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claim or entitlement to compensation or damages shall arise from forfeiture of any portion of this Stock Option resulting from termination of the Optionee’s employment (for any reason whatsoever, whether or not later found to be invalid or in breach of employment laws in the jurisdiction where the Optionee renders service or the terms of the Optionee’s employment agreement, if any);</w:t>
      </w:r>
    </w:p>
    <w:p>
      <w:pPr>
        <w:spacing w:after="0" w:line="121" w:lineRule="exact"/>
        <w:rPr>
          <w:rFonts w:ascii="Times New Roman" w:cs="Times New Roman" w:eastAsia="Times New Roman" w:hAnsi="Times New Roman"/>
          <w:sz w:val="17"/>
          <w:szCs w:val="17"/>
          <w:color w:val="010000"/>
        </w:rPr>
      </w:pPr>
    </w:p>
    <w:p>
      <w:pPr>
        <w:jc w:val="both"/>
        <w:ind w:left="-20" w:firstLine="1533"/>
        <w:spacing w:after="0" w:line="216" w:lineRule="auto"/>
        <w:tabs>
          <w:tab w:leader="none" w:pos="2008" w:val="left"/>
        </w:tabs>
        <w:numPr>
          <w:ilvl w:val="0"/>
          <w:numId w:val="3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for purposes of the Stock Option, the Optionee’s employment will be considered terminated as of the date the Optionee is no longer actively providing services (regardless of the reason for such termination and whether or not later found to be invalid or in breach of employment laws in the jurisdiction where the Optionee renders service or the terms of the Optionee’s employment agreement, if any), and unless otherwise expressly provided in this Agreement or determined by the Company, the Optionee’s right to continue to vest in the Stock Option, if any, will terminate effective as of such date and will not be extended by any notice period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active employment would not include any contractual notice period or any period of “garden leave” or similar period mandated under employment laws in the jurisdiction where Optionee renders service or the terms of the Optionee’s employment agreement, if any); the Administrator shall have the exclusive discretion to determine when the Optionee’s active employment is terminated for purposes of this Stock Option (including whether the Optionee may still be considered to actively be providing services while on a leave of absence);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60"/>
          </w:cols>
          <w:pgMar w:left="320" w:top="1127" w:right="319" w:bottom="1440" w:gutter="0" w:footer="0" w:header="0"/>
        </w:sectPr>
      </w:pPr>
    </w:p>
    <w:bookmarkStart w:id="128" w:name="page129"/>
    <w:bookmarkEnd w:id="128"/>
    <w:p>
      <w:pPr>
        <w:ind w:left="-5" w:firstLine="1533"/>
        <w:spacing w:after="0" w:line="238" w:lineRule="auto"/>
        <w:tabs>
          <w:tab w:leader="none" w:pos="2023" w:val="left"/>
        </w:tabs>
        <w:numPr>
          <w:ilvl w:val="2"/>
          <w:numId w:val="3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unless otherwise agreed with the Company in writing, the Stock Option and the shares of Stock subject to this Stock Option, and the income from and value of the same, are not granted as consideration for, or in connection with, the service the Optionee may provide as a director of an Affiliate;</w:t>
      </w:r>
    </w:p>
    <w:p>
      <w:pPr>
        <w:spacing w:after="0" w:line="121" w:lineRule="exact"/>
        <w:rPr>
          <w:rFonts w:ascii="Times New Roman" w:cs="Times New Roman" w:eastAsia="Times New Roman" w:hAnsi="Times New Roman"/>
          <w:sz w:val="17"/>
          <w:szCs w:val="17"/>
          <w:color w:val="010000"/>
        </w:rPr>
      </w:pPr>
    </w:p>
    <w:p>
      <w:pPr>
        <w:jc w:val="both"/>
        <w:ind w:left="-5" w:firstLine="1533"/>
        <w:spacing w:after="0" w:line="228" w:lineRule="auto"/>
        <w:tabs>
          <w:tab w:leader="none" w:pos="2029" w:val="left"/>
        </w:tabs>
        <w:numPr>
          <w:ilvl w:val="2"/>
          <w:numId w:val="3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unless otherwise provided in the Plan or by the Company in its discretion, the Stock Option and the benefits evidenced by this Agreement do not create any entitlement to have the Stock Option or any such benefits transferred to, or assumed by, another company nor to be exchanged, cashed out or substituted for, in connection with any corporate transaction affecting the shares of Stock; and</w:t>
      </w:r>
    </w:p>
    <w:p>
      <w:pPr>
        <w:spacing w:after="0" w:line="121" w:lineRule="exact"/>
        <w:rPr>
          <w:rFonts w:ascii="Times New Roman" w:cs="Times New Roman" w:eastAsia="Times New Roman" w:hAnsi="Times New Roman"/>
          <w:sz w:val="17"/>
          <w:szCs w:val="17"/>
          <w:color w:val="010000"/>
        </w:rPr>
      </w:pPr>
    </w:p>
    <w:p>
      <w:pPr>
        <w:ind w:left="2035" w:hanging="507"/>
        <w:spacing w:after="0"/>
        <w:tabs>
          <w:tab w:leader="none" w:pos="2035" w:val="left"/>
        </w:tabs>
        <w:numPr>
          <w:ilvl w:val="2"/>
          <w:numId w:val="3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following provisions apply only if the Optionee is providing services outside the United States:</w:t>
      </w:r>
    </w:p>
    <w:p>
      <w:pPr>
        <w:spacing w:after="0" w:line="144" w:lineRule="exact"/>
        <w:rPr>
          <w:rFonts w:ascii="Times New Roman" w:cs="Times New Roman" w:eastAsia="Times New Roman" w:hAnsi="Times New Roman"/>
          <w:sz w:val="17"/>
          <w:szCs w:val="17"/>
          <w:color w:val="010000"/>
        </w:rPr>
      </w:pPr>
    </w:p>
    <w:p>
      <w:pPr>
        <w:ind w:left="1015" w:right="60" w:firstLine="1022"/>
        <w:spacing w:after="0" w:line="238" w:lineRule="auto"/>
        <w:tabs>
          <w:tab w:leader="none" w:pos="2541" w:val="left"/>
        </w:tabs>
        <w:numPr>
          <w:ilvl w:val="3"/>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the Stock Option and the shares of Stock subject to the Stock Option and the income from and value of the same, are not part of normal or expected compensation or salary for any purpose;</w:t>
      </w:r>
    </w:p>
    <w:p>
      <w:pPr>
        <w:spacing w:after="0" w:line="121" w:lineRule="exact"/>
        <w:rPr>
          <w:rFonts w:ascii="Times New Roman" w:cs="Times New Roman" w:eastAsia="Times New Roman" w:hAnsi="Times New Roman"/>
          <w:sz w:val="16"/>
          <w:szCs w:val="16"/>
          <w:color w:val="auto"/>
        </w:rPr>
      </w:pPr>
    </w:p>
    <w:p>
      <w:pPr>
        <w:jc w:val="both"/>
        <w:ind w:left="1015" w:firstLine="1022"/>
        <w:spacing w:after="0" w:line="228" w:lineRule="auto"/>
        <w:tabs>
          <w:tab w:leader="none" w:pos="2542" w:val="left"/>
        </w:tabs>
        <w:numPr>
          <w:ilvl w:val="3"/>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neither the Company, the Employer nor any other Affiliate shall be liable for any foreign exchange rate fluctuation between the Optionee’s local currency and the U.S. Dollar that may affect the value of the Stock Option or of any amounts due to the Optionee pursuant to the settlement of the Stock Option or the subsequent sale of any shares of Stock acquired upon settlement.</w:t>
      </w:r>
    </w:p>
    <w:p>
      <w:pPr>
        <w:spacing w:after="0" w:line="121" w:lineRule="exact"/>
        <w:rPr>
          <w:rFonts w:ascii="Times New Roman" w:cs="Times New Roman" w:eastAsia="Times New Roman" w:hAnsi="Times New Roman"/>
          <w:sz w:val="16"/>
          <w:szCs w:val="16"/>
          <w:color w:val="auto"/>
        </w:rPr>
      </w:pPr>
    </w:p>
    <w:p>
      <w:pPr>
        <w:ind w:left="-5" w:firstLine="514"/>
        <w:spacing w:after="0" w:line="238" w:lineRule="auto"/>
        <w:tabs>
          <w:tab w:leader="none" w:pos="101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This Agreement [and the Executive Agreement] constitute[s] the entire agreement[s] between the parties with respect to this Stock Option and supersede[s] all prior agreements and discussions between the parties concerning such subject matter.</w:t>
      </w:r>
    </w:p>
    <w:p>
      <w:pPr>
        <w:spacing w:after="0" w:line="121" w:lineRule="exact"/>
        <w:rPr>
          <w:rFonts w:ascii="Times New Roman" w:cs="Times New Roman" w:eastAsia="Times New Roman" w:hAnsi="Times New Roman"/>
          <w:sz w:val="17"/>
          <w:szCs w:val="17"/>
          <w:color w:val="auto"/>
        </w:rPr>
      </w:pPr>
    </w:p>
    <w:p>
      <w:pPr>
        <w:jc w:val="both"/>
        <w:ind w:left="-5" w:firstLine="514"/>
        <w:spacing w:after="0" w:line="216" w:lineRule="auto"/>
        <w:tabs>
          <w:tab w:leader="none" w:pos="101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12" w:lineRule="exact"/>
        <w:rPr>
          <w:rFonts w:ascii="Times New Roman" w:cs="Times New Roman" w:eastAsia="Times New Roman" w:hAnsi="Times New Roman"/>
          <w:sz w:val="17"/>
          <w:szCs w:val="17"/>
          <w:color w:val="auto"/>
        </w:rPr>
      </w:pPr>
    </w:p>
    <w:p>
      <w:pPr>
        <w:ind w:left="1015" w:hanging="506"/>
        <w:spacing w:after="0"/>
        <w:tabs>
          <w:tab w:leader="none" w:pos="1015"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by the terms of this Agreement shall be given in writing. It shall be deemed effective upon (i) personal delivery,</w:t>
      </w:r>
    </w:p>
    <w:p>
      <w:pPr>
        <w:jc w:val="both"/>
        <w:ind w:left="-5" w:firstLine="5"/>
        <w:spacing w:after="0" w:line="221" w:lineRule="auto"/>
        <w:tabs>
          <w:tab w:leader="none" w:pos="24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United States Postal Service or comparable non-US postal service, by registered or certified mail, with postage and fees prepaid, (iii) deposit with Federal Express Corporation (or other overnight courier service approved by the Company), with shipping charges prepaid or (iv) the date on which an electronic notification is received. Notice shall be addressed to the Company at its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75"/>
          </w:cols>
          <w:pgMar w:left="305" w:top="112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principal executive office and to the Optionee at the address that he or she most recently provided to the Company in accordance with this Paragraph.</w:t>
      </w:r>
    </w:p>
    <w:p>
      <w:pPr>
        <w:spacing w:after="0" w:line="144" w:lineRule="exact"/>
        <w:rPr>
          <w:sz w:val="20"/>
          <w:szCs w:val="20"/>
          <w:color w:val="auto"/>
        </w:rPr>
      </w:pPr>
    </w:p>
    <w:p>
      <w:pPr>
        <w:ind w:left="1020" w:hanging="506"/>
        <w:spacing w:after="0"/>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 Provisions</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8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Choice of Venue</w:t>
      </w:r>
      <w:r>
        <w:rPr>
          <w:rFonts w:ascii="Times New Roman" w:cs="Times New Roman" w:eastAsia="Times New Roman" w:hAnsi="Times New Roman"/>
          <w:sz w:val="17"/>
          <w:szCs w:val="17"/>
          <w:color w:val="auto"/>
        </w:rPr>
        <w:t>. The Stock Option and the provisions of this Agreement shall be governed by and constructed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 that would result in the application of any law other than the law of the State of California. For purposes of litigating any dispute that arises directly or indirectly from the relationship of the parties evidenced by the Stock Option or this Agreement and/or the Plan, the parties hereby submit to and consent to the exclusive jurisdiction of the State of California and agree that such litigation shall be conducted only in the courts of the County of San Mateo, California, or the United States federal courts for the Northern District of California, and no other courts, where the grant of the Stock Option is made and/or to be performed.</w:t>
      </w:r>
    </w:p>
    <w:p>
      <w:pPr>
        <w:spacing w:after="0" w:line="121" w:lineRule="exact"/>
        <w:rPr>
          <w:sz w:val="20"/>
          <w:szCs w:val="20"/>
          <w:color w:val="auto"/>
        </w:rPr>
      </w:pPr>
    </w:p>
    <w:p>
      <w:pPr>
        <w:jc w:val="both"/>
        <w:ind w:firstLine="1023"/>
        <w:spacing w:after="0" w:line="223" w:lineRule="auto"/>
        <w:tabs>
          <w:tab w:leader="none" w:pos="1525"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receives the Agreement or any other document related to the Plan translated into a language other than English and if the meaning of the translated version is different than the English version, the English version will control.</w:t>
      </w:r>
    </w:p>
    <w:p>
      <w:pPr>
        <w:spacing w:after="0" w:line="122" w:lineRule="exact"/>
        <w:rPr>
          <w:rFonts w:ascii="Times New Roman" w:cs="Times New Roman" w:eastAsia="Times New Roman" w:hAnsi="Times New Roman"/>
          <w:sz w:val="17"/>
          <w:szCs w:val="17"/>
          <w:color w:val="010000"/>
        </w:rPr>
      </w:pPr>
    </w:p>
    <w:p>
      <w:pPr>
        <w:ind w:firstLine="1023"/>
        <w:spacing w:after="0" w:line="238" w:lineRule="auto"/>
        <w:tabs>
          <w:tab w:leader="none" w:pos="1524"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provisions of this Agreement are severable and if any one or more provisions are determined to be illegal or otherwise unenforceable, in whole or in part, the remaining provisions nevertheless shall be binding and enforceable.</w:t>
      </w:r>
    </w:p>
    <w:p>
      <w:pPr>
        <w:spacing w:after="0" w:line="121" w:lineRule="exact"/>
        <w:rPr>
          <w:rFonts w:ascii="Times New Roman" w:cs="Times New Roman" w:eastAsia="Times New Roman" w:hAnsi="Times New Roman"/>
          <w:sz w:val="17"/>
          <w:szCs w:val="17"/>
          <w:color w:val="010000"/>
        </w:rPr>
      </w:pPr>
    </w:p>
    <w:p>
      <w:pPr>
        <w:jc w:val="both"/>
        <w:ind w:firstLine="1023"/>
        <w:spacing w:after="0" w:line="223" w:lineRule="auto"/>
        <w:tabs>
          <w:tab w:leader="none" w:pos="1525"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Appendix</w:t>
      </w:r>
      <w:r>
        <w:rPr>
          <w:rFonts w:ascii="Times New Roman" w:cs="Times New Roman" w:eastAsia="Times New Roman" w:hAnsi="Times New Roman"/>
          <w:sz w:val="17"/>
          <w:szCs w:val="17"/>
          <w:color w:val="auto"/>
        </w:rPr>
        <w:t>. Notwithstanding any provisions in this Option Agreement, this Stock Option shall be subject to any additional terms and conditions set forth in any Appendix to this Agreement for the Optionee’s country. Moreover, if the Optionee relocates to one of the countries included in the Appendix, the additional terms and conditions for such country will apply to the Optionee, to the extent that the Company determines that the application of such terms and conditions is necessary or advisable for legal or administrative reasons. The Appendix constitutes part of this Agreement.</w:t>
      </w:r>
    </w:p>
    <w:p>
      <w:pPr>
        <w:spacing w:after="0" w:line="122" w:lineRule="exact"/>
        <w:rPr>
          <w:rFonts w:ascii="Times New Roman" w:cs="Times New Roman" w:eastAsia="Times New Roman" w:hAnsi="Times New Roman"/>
          <w:sz w:val="17"/>
          <w:szCs w:val="17"/>
          <w:color w:val="010000"/>
        </w:rPr>
      </w:pPr>
    </w:p>
    <w:p>
      <w:pPr>
        <w:jc w:val="both"/>
        <w:ind w:firstLine="1023"/>
        <w:spacing w:after="0" w:line="228" w:lineRule="auto"/>
        <w:tabs>
          <w:tab w:leader="none" w:pos="1524"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other requirements on the Optionee’s participation in the Plan, on this Stock Option and on any shares of Stock acquired under the Plan, to the extent that the Company determines that it is necessary or advisable for legal or administrative reasons, and to require the Optionee to sign any additional agreements or undertakings that may be necessary to accomplish the foregoing.</w:t>
      </w:r>
    </w:p>
    <w:p>
      <w:pPr>
        <w:spacing w:after="0" w:line="121" w:lineRule="exact"/>
        <w:rPr>
          <w:rFonts w:ascii="Times New Roman" w:cs="Times New Roman" w:eastAsia="Times New Roman" w:hAnsi="Times New Roman"/>
          <w:sz w:val="17"/>
          <w:szCs w:val="17"/>
          <w:color w:val="010000"/>
        </w:rPr>
      </w:pPr>
    </w:p>
    <w:p>
      <w:pPr>
        <w:ind w:firstLine="1023"/>
        <w:spacing w:after="0" w:line="238" w:lineRule="auto"/>
        <w:tabs>
          <w:tab w:leader="none" w:pos="1525"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The Optionee acknowledges that a waiver by the Company of breach of any provision of this Agreement shall not operate or be construed as a waiver of any other provision of this Agreement, or of any subsequent breach of this Agreement.</w:t>
      </w:r>
    </w:p>
    <w:p>
      <w:pPr>
        <w:spacing w:after="0" w:line="121" w:lineRule="exact"/>
        <w:rPr>
          <w:rFonts w:ascii="Times New Roman" w:cs="Times New Roman" w:eastAsia="Times New Roman" w:hAnsi="Times New Roman"/>
          <w:sz w:val="17"/>
          <w:szCs w:val="17"/>
          <w:color w:val="010000"/>
        </w:rPr>
      </w:pPr>
    </w:p>
    <w:p>
      <w:pPr>
        <w:jc w:val="both"/>
        <w:ind w:firstLine="1023"/>
        <w:spacing w:after="0" w:line="220" w:lineRule="auto"/>
        <w:tabs>
          <w:tab w:leader="none" w:pos="1528" w:val="left"/>
        </w:tabs>
        <w:numPr>
          <w:ilvl w:val="0"/>
          <w:numId w:val="4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 Advice Regarding Award</w:t>
      </w:r>
      <w:r>
        <w:rPr>
          <w:rFonts w:ascii="Times New Roman" w:cs="Times New Roman" w:eastAsia="Times New Roman" w:hAnsi="Times New Roman"/>
          <w:sz w:val="17"/>
          <w:szCs w:val="17"/>
          <w:color w:val="auto"/>
        </w:rPr>
        <w:t>. The Company is not providing any tax, legal, or financial advice, nor is the Company making any recommendations regarding the Optionee’s participation in the Plan, or his or her acquisition or sale of the shares of Stock subject to this Stock Option. The Optionee is solely responsible for taking all appropriate legal advice, notably concerning U.S. and local country tax and social insurance regulations, when signing this Agreement, or selling the shares of Stock acquired upon settlement of the Stock Option, or more generally when making any decision in relation with this Stock Option, this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30" w:name="page131"/>
    <w:bookmarkEnd w:id="130"/>
    <w:p>
      <w:pPr>
        <w:jc w:val="both"/>
        <w:spacing w:after="0" w:line="228" w:lineRule="auto"/>
        <w:rPr>
          <w:sz w:val="20"/>
          <w:szCs w:val="20"/>
          <w:color w:val="auto"/>
        </w:rPr>
      </w:pPr>
      <w:r>
        <w:rPr>
          <w:rFonts w:ascii="Times New Roman" w:cs="Times New Roman" w:eastAsia="Times New Roman" w:hAnsi="Times New Roman"/>
          <w:sz w:val="17"/>
          <w:szCs w:val="17"/>
          <w:color w:val="auto"/>
        </w:rPr>
        <w:t>Agreement or otherwise under the Plan. The Company does not represent or guarantee that the Optionee may benefit from specific provisions under said regulations and the Optionee shall on his or her own efforts receive proper information in this respect. The Optionee understands and agrees that he or she should consult with his or her personal tax, legal, and financial advisors regarding his or her participation in the Plan before taking any action related to the Plan.</w:t>
      </w:r>
    </w:p>
    <w:p>
      <w:pPr>
        <w:spacing w:after="0" w:line="122" w:lineRule="exact"/>
        <w:rPr>
          <w:sz w:val="20"/>
          <w:szCs w:val="20"/>
          <w:color w:val="auto"/>
        </w:rPr>
      </w:pPr>
    </w:p>
    <w:p>
      <w:pPr>
        <w:jc w:val="both"/>
        <w:ind w:firstLine="1023"/>
        <w:spacing w:after="0" w:line="220" w:lineRule="auto"/>
        <w:tabs>
          <w:tab w:leader="none" w:pos="1524" w:val="left"/>
        </w:tabs>
        <w:numPr>
          <w:ilvl w:val="0"/>
          <w:numId w:val="4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Electronic Delivery of Documents</w:t>
      </w:r>
      <w:r>
        <w:rPr>
          <w:rFonts w:ascii="Times New Roman" w:cs="Times New Roman" w:eastAsia="Times New Roman" w:hAnsi="Times New Roman"/>
          <w:sz w:val="17"/>
          <w:szCs w:val="17"/>
          <w:color w:val="auto"/>
        </w:rPr>
        <w:t>. The Optionee agrees that the Company may decide, in its sole discretion, to deliver by email or other electronic means any documents relating to the Plan or this Stock Option (including, without limitation, a copy of the Plan) and all other documents that the Company is required to deliver to its security holders (including, without limitation, disclosures that may be required by the U.S.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122" w:lineRule="exact"/>
        <w:rPr>
          <w:rFonts w:ascii="Times New Roman" w:cs="Times New Roman" w:eastAsia="Times New Roman" w:hAnsi="Times New Roman"/>
          <w:sz w:val="17"/>
          <w:szCs w:val="17"/>
          <w:color w:val="010000"/>
        </w:rPr>
      </w:pPr>
    </w:p>
    <w:p>
      <w:pPr>
        <w:jc w:val="both"/>
        <w:ind w:firstLine="1023"/>
        <w:spacing w:after="0" w:line="218" w:lineRule="auto"/>
        <w:tabs>
          <w:tab w:leader="none" w:pos="1524" w:val="left"/>
        </w:tabs>
        <w:numPr>
          <w:ilvl w:val="0"/>
          <w:numId w:val="4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Insider-Trading/Market-Abuse Laws</w:t>
      </w:r>
      <w:r>
        <w:rPr>
          <w:rFonts w:ascii="Times New Roman" w:cs="Times New Roman" w:eastAsia="Times New Roman" w:hAnsi="Times New Roman"/>
          <w:sz w:val="17"/>
          <w:szCs w:val="17"/>
          <w:color w:val="auto"/>
        </w:rPr>
        <w:t>. The Optionee acknowledges that, depending on his or her country, he or she may be subject to insider-trading restrictions and/or market-abuse laws, which may affect the Optionee’s ability to purchase or sell shares of Stock acquired under the Plan during such times as the Optionee is considered to have “inside information” regarding the Company (as defined by the laws in the Optionee’s country). Any restrictions under these laws or regulations are separate from and in addition to any restrictions that may be imposed under any applicable Company insider-trading policy. The Optionee is responsible for complying with any applicable restrictions and is advised to speak to his or her personal legal advisor for further details regarding any applicable insider-trading and/or market-abuse laws in the Optionee’s country.</w:t>
      </w:r>
    </w:p>
    <w:p>
      <w:pPr>
        <w:spacing w:after="0" w:line="122" w:lineRule="exact"/>
        <w:rPr>
          <w:rFonts w:ascii="Times New Roman" w:cs="Times New Roman" w:eastAsia="Times New Roman" w:hAnsi="Times New Roman"/>
          <w:sz w:val="17"/>
          <w:szCs w:val="17"/>
          <w:color w:val="010000"/>
        </w:rPr>
      </w:pPr>
    </w:p>
    <w:p>
      <w:pPr>
        <w:jc w:val="both"/>
        <w:ind w:firstLine="1023"/>
        <w:spacing w:after="0" w:line="217" w:lineRule="auto"/>
        <w:tabs>
          <w:tab w:leader="none" w:pos="1518" w:val="left"/>
        </w:tabs>
        <w:numPr>
          <w:ilvl w:val="0"/>
          <w:numId w:val="4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Foreign Asset/Account Reporting Requirements; Exchange Controls</w:t>
      </w:r>
      <w:r>
        <w:rPr>
          <w:rFonts w:ascii="Times New Roman" w:cs="Times New Roman" w:eastAsia="Times New Roman" w:hAnsi="Times New Roman"/>
          <w:sz w:val="17"/>
          <w:szCs w:val="17"/>
          <w:color w:val="auto"/>
        </w:rPr>
        <w:t>. The Optionee acknowledges that his or her country may have certain foreign asset and/or foreign account reporting requirements and exchange controls which may affect his or her ability to acquire or hold shares of Stock acquired under the Plan or cash received from participating in the Plan (including from any dividends paid on shares of Stock acquired under the Plan) in a brokerage or bank account outside his or her country. The Optionee may be required to report such accounts, assets or transactions to the tax or other authorities in his or her country. The Optionee also may be required to repatriate sale proceeds or other funds received as a result of his or her participation in the Plan to his or her country through a designated bank or broker within a certain time after receipt. The Optionee acknowledges that it is his or her responsibility to be compliant with such regulations and is encouraged to consult his or her personal legal advisor for any details.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31" w:name="page132"/>
    <w:bookmarkEnd w:id="131"/>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Guidewire Software, Inc.</w:t>
      </w:r>
    </w:p>
    <w:p>
      <w:pPr>
        <w:spacing w:after="0" w:line="200" w:lineRule="exact"/>
        <w:rPr>
          <w:sz w:val="20"/>
          <w:szCs w:val="20"/>
          <w:color w:val="auto"/>
        </w:rPr>
      </w:pPr>
    </w:p>
    <w:p>
      <w:pPr>
        <w:spacing w:after="0" w:line="28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-4445</wp:posOffset>
            </wp:positionV>
            <wp:extent cx="10795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3480"/>
        <w:spacing w:after="0"/>
        <w:rPr>
          <w:sz w:val="20"/>
          <w:szCs w:val="20"/>
          <w:color w:val="auto"/>
        </w:rPr>
      </w:pPr>
      <w:r>
        <w:rPr>
          <w:rFonts w:ascii="Times New Roman" w:cs="Times New Roman" w:eastAsia="Times New Roman" w:hAnsi="Times New Roman"/>
          <w:sz w:val="17"/>
          <w:szCs w:val="17"/>
          <w:color w:val="auto"/>
        </w:rPr>
        <w:t>Title:</w:t>
      </w:r>
    </w:p>
    <w:p>
      <w:pPr>
        <w:spacing w:after="0" w:line="29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-4445</wp:posOffset>
            </wp:positionV>
            <wp:extent cx="10795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-4445</wp:posOffset>
            </wp:positionV>
            <wp:extent cx="10795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3320"/>
        <w:spacing w:after="0"/>
        <w:rPr>
          <w:sz w:val="20"/>
          <w:szCs w:val="20"/>
          <w:color w:val="auto"/>
        </w:rPr>
      </w:pPr>
      <w:r>
        <w:rPr>
          <w:rFonts w:ascii="Times New Roman" w:cs="Times New Roman" w:eastAsia="Times New Roman" w:hAnsi="Times New Roman"/>
          <w:sz w:val="17"/>
          <w:szCs w:val="17"/>
          <w:color w:val="auto"/>
        </w:rPr>
        <w:t>Optionee’s Signature</w:t>
      </w:r>
    </w:p>
    <w:p>
      <w:pPr>
        <w:spacing w:after="0" w:line="31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205740</wp:posOffset>
            </wp:positionV>
            <wp:extent cx="10795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421005</wp:posOffset>
            </wp:positionV>
            <wp:extent cx="10795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636905</wp:posOffset>
            </wp:positionV>
            <wp:extent cx="10795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0920"/>
          </w:cols>
          <w:pgMar w:left="300" w:top="1440" w:right="679" w:bottom="1440" w:gutter="0" w:footer="0" w:header="0"/>
        </w:sectPr>
      </w:pPr>
    </w:p>
    <w:bookmarkStart w:id="132" w:name="page133"/>
    <w:bookmarkEnd w:id="132"/>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APPENDIX TO</w:t>
      </w:r>
    </w:p>
    <w:p>
      <w:pPr>
        <w:spacing w:after="0" w:line="5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GLOBAL STOCK OPTION AGREEMENT</w:t>
      </w:r>
    </w:p>
    <w:p>
      <w:pPr>
        <w:jc w:val="center"/>
        <w:spacing w:after="0" w:line="208" w:lineRule="auto"/>
        <w:rPr>
          <w:sz w:val="20"/>
          <w:szCs w:val="20"/>
          <w:color w:val="auto"/>
        </w:rPr>
      </w:pPr>
      <w:r>
        <w:rPr>
          <w:rFonts w:ascii="Times New Roman" w:cs="Times New Roman" w:eastAsia="Times New Roman" w:hAnsi="Times New Roman"/>
          <w:sz w:val="17"/>
          <w:szCs w:val="17"/>
          <w:b w:val="1"/>
          <w:bCs w:val="1"/>
          <w:color w:val="auto"/>
        </w:rPr>
        <w:t>UNDER THE</w:t>
      </w:r>
    </w:p>
    <w:p>
      <w:pPr>
        <w:jc w:val="center"/>
        <w:spacing w:after="0"/>
        <w:rPr>
          <w:sz w:val="20"/>
          <w:szCs w:val="20"/>
          <w:color w:val="auto"/>
        </w:rPr>
      </w:pPr>
      <w:r>
        <w:rPr>
          <w:rFonts w:ascii="Times New Roman" w:cs="Times New Roman" w:eastAsia="Times New Roman" w:hAnsi="Times New Roman"/>
          <w:sz w:val="17"/>
          <w:szCs w:val="17"/>
          <w:b w:val="1"/>
          <w:bCs w:val="1"/>
          <w:color w:val="auto"/>
        </w:rPr>
        <w:t>GUIDEWIRE SOFTWARE, INC. 2020 STOCK PLAN</w:t>
      </w:r>
    </w:p>
    <w:p>
      <w:pPr>
        <w:spacing w:after="0" w:line="232"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7"/>
          <w:szCs w:val="17"/>
          <w:color w:val="auto"/>
        </w:rPr>
        <w:t>Certain capitalized terms used but not defined in this Appendix have the meanings set forth in the Global Stock Option Agreement (the “Option Agreement”) or, if not defined therein, the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4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This Appendix, which is part of the Agreement, includes additional terms and conditions that govern the Stock Option and that will apply to the Optionee if he or she resides and/or works in one of the countries listed below. If the Optionee is a citizen or resident of a country other than the one in which the Optionee resides and/or works, is considered a resident of another country for local law purposes or transfers employment and/or residency between countries after the Grant Date, the Company, in its discretion, will determine to what extent terms and conditions contained herein shall be applicable to the Optionee.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8"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This Appendix also includes information regarding securities, exchange control and certain other issues of which the Optionee should be aware with respect to his or her participation in the Plan. The information is based on the securities, exchange control and other laws in effect in the respective countries as of </w:t>
      </w:r>
      <w:r>
        <w:rPr>
          <w:rFonts w:ascii="Times New Roman" w:cs="Times New Roman" w:eastAsia="Times New Roman" w:hAnsi="Times New Roman"/>
          <w:sz w:val="17"/>
          <w:szCs w:val="17"/>
          <w:b w:val="1"/>
          <w:bCs w:val="1"/>
          <w:color w:val="auto"/>
        </w:rPr>
        <w:t>May 2022</w:t>
      </w:r>
      <w:r>
        <w:rPr>
          <w:rFonts w:ascii="Times New Roman" w:cs="Times New Roman" w:eastAsia="Times New Roman" w:hAnsi="Times New Roman"/>
          <w:sz w:val="17"/>
          <w:szCs w:val="17"/>
          <w:color w:val="auto"/>
        </w:rPr>
        <w:t>. Such laws are often complex and change frequently. As a result, the Optionee should not rely on the information in this Appendix as the only source of information relating to the consequences of his or her participation in the Plan because such information may be outdated when the Stock Option become vested, exercised and/or when any shares of Stock acquired upon exercise are sold.</w:t>
      </w:r>
    </w:p>
    <w:p>
      <w:pPr>
        <w:spacing w:after="0" w:line="1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In addition, the information contained herein is general in nature and may not apply to the Optionee’s particular situation. As a result, the Company is not in a position to assure the Optionee of any particular result. The Optionee therefore should to seek appropriate professional advice as to how the relevant laws in his or her country may apply to his or her particular situation.</w:t>
      </w:r>
    </w:p>
    <w:p>
      <w:pPr>
        <w:spacing w:after="0" w:line="1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Finally, if the Optionee is a citizen or resident of a country other than the one in which the Optionee resides and/or works, is considered a resident of another country for local law purposes or transfers employment and/or residency between countries after the Grant Date,, then the notifications contained herein may not apply to him or her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440"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highlight w:val="lightGray"/>
        </w:rPr>
        <w:t>ALL NON-U.S. JURISDICTIONS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Data Privacy Consent</w:t>
      </w:r>
      <w:r>
        <w:rPr>
          <w:rFonts w:ascii="Times New Roman" w:cs="Times New Roman" w:eastAsia="Times New Roman" w:hAnsi="Times New Roman"/>
          <w:sz w:val="17"/>
          <w:szCs w:val="17"/>
          <w:color w:val="auto"/>
        </w:rPr>
        <w:t>. The following provision replaces Paragraph 7 of the Option Agreement:</w:t>
      </w:r>
    </w:p>
    <w:p>
      <w:pPr>
        <w:spacing w:after="0" w:line="24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b w:val="1"/>
          <w:bCs w:val="1"/>
          <w:i w:val="1"/>
          <w:iCs w:val="1"/>
          <w:u w:val="single" w:color="auto"/>
          <w:color w:val="auto"/>
        </w:rPr>
        <w:t>Consent to Personal Data Processing and Transfer</w:t>
      </w:r>
      <w:r>
        <w:rPr>
          <w:rFonts w:ascii="Times New Roman" w:cs="Times New Roman" w:eastAsia="Times New Roman" w:hAnsi="Times New Roman"/>
          <w:sz w:val="17"/>
          <w:szCs w:val="17"/>
          <w:b w:val="1"/>
          <w:bCs w:val="1"/>
          <w:i w:val="1"/>
          <w:iCs w:val="1"/>
          <w:color w:val="auto"/>
        </w:rPr>
        <w:t>. By accepting the Stock Option via the Company’s acceptance procedure, the Optionee is declaring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spacing w:after="0" w:line="119" w:lineRule="exact"/>
        <w:rPr>
          <w:sz w:val="20"/>
          <w:szCs w:val="20"/>
          <w:color w:val="auto"/>
        </w:rPr>
      </w:pPr>
    </w:p>
    <w:p>
      <w:pPr>
        <w:jc w:val="both"/>
        <w:ind w:firstLine="1023"/>
        <w:spacing w:after="0" w:line="224" w:lineRule="auto"/>
        <w:tabs>
          <w:tab w:leader="none" w:pos="158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Declaration of Consent</w:t>
      </w:r>
      <w:r>
        <w:rPr>
          <w:rFonts w:ascii="Times New Roman" w:cs="Times New Roman" w:eastAsia="Times New Roman" w:hAnsi="Times New Roman"/>
          <w:sz w:val="17"/>
          <w:szCs w:val="17"/>
          <w:b w:val="1"/>
          <w:bCs w:val="1"/>
          <w:i w:val="1"/>
          <w:iCs w:val="1"/>
          <w:color w:val="auto"/>
        </w:rPr>
        <w:t>. The Optionee understands that the Optionee must review the following information about the processing of the Optionee’s personal data by or on behalf of the Company and its Subsidiaries and Affiliates as described in this Agreement and any materials related to the Stock Option (the “Personal Data”) and declare his or her consent. As regards the processing of the Optionee’s Personal Data in connection with the Plan and this Agreement, the Optionee understands that the Company is the controller of the Optionee’s Personal Data.</w:t>
      </w:r>
    </w:p>
    <w:p>
      <w:pPr>
        <w:spacing w:after="0" w:line="118" w:lineRule="exact"/>
        <w:rPr>
          <w:rFonts w:ascii="Times New Roman" w:cs="Times New Roman" w:eastAsia="Times New Roman" w:hAnsi="Times New Roman"/>
          <w:sz w:val="17"/>
          <w:szCs w:val="17"/>
          <w:color w:val="auto"/>
        </w:rPr>
      </w:pPr>
    </w:p>
    <w:p>
      <w:pPr>
        <w:jc w:val="both"/>
        <w:ind w:firstLine="1023"/>
        <w:spacing w:after="0" w:line="219" w:lineRule="auto"/>
        <w:tabs>
          <w:tab w:leader="none" w:pos="158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Data Processing and Legal Basis.</w:t>
      </w:r>
      <w:r>
        <w:rPr>
          <w:rFonts w:ascii="Times New Roman" w:cs="Times New Roman" w:eastAsia="Times New Roman" w:hAnsi="Times New Roman"/>
          <w:sz w:val="17"/>
          <w:szCs w:val="17"/>
          <w:b w:val="1"/>
          <w:bCs w:val="1"/>
          <w:i w:val="1"/>
          <w:iCs w:val="1"/>
          <w:color w:val="auto"/>
        </w:rPr>
        <w:t xml:space="preserve"> The Company collects, uses and otherwise processes Personal Data about the Optionee for purposes of allocating shares of Stock and implementing, administering and managing the Plan. The Personal Data processed by the Company includes, without limitation, the Optionee’s name, home address and telephone number, email address, date of birth, social insurance number, passport number or other identification number (e.g., resident registration number), salary, nationality, job title, any shares of stock or directorships held in the Company or its Affiliates, details of all Awards or any other entitlement to shares of stock or equivalent benefits awarded, canceled, exercised, vested, unvested or outstanding in the Optionee’s favor. The legal basis for the processing of the Optionee’s Personal Data, where required, is the Optionee’s consent.</w:t>
      </w:r>
    </w:p>
    <w:p>
      <w:pPr>
        <w:spacing w:after="0" w:line="118" w:lineRule="exact"/>
        <w:rPr>
          <w:rFonts w:ascii="Times New Roman" w:cs="Times New Roman" w:eastAsia="Times New Roman" w:hAnsi="Times New Roman"/>
          <w:sz w:val="17"/>
          <w:szCs w:val="17"/>
          <w:color w:val="auto"/>
        </w:rPr>
      </w:pPr>
    </w:p>
    <w:p>
      <w:pPr>
        <w:jc w:val="both"/>
        <w:ind w:firstLine="1023"/>
        <w:spacing w:after="0" w:line="219" w:lineRule="auto"/>
        <w:tabs>
          <w:tab w:leader="none" w:pos="158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Stock Plan Administration Service Providers.</w:t>
      </w:r>
      <w:r>
        <w:rPr>
          <w:rFonts w:ascii="Times New Roman" w:cs="Times New Roman" w:eastAsia="Times New Roman" w:hAnsi="Times New Roman"/>
          <w:sz w:val="17"/>
          <w:szCs w:val="17"/>
          <w:b w:val="1"/>
          <w:bCs w:val="1"/>
          <w:i w:val="1"/>
          <w:iCs w:val="1"/>
          <w:color w:val="auto"/>
        </w:rPr>
        <w:t xml:space="preserve"> The Optionee understands that the Company transfers the Optionee’s Personal Data, or parts thereof, to (i) E*Trade Corporate Financial Services, Inc. and its affiliated companies (“E*Trade”), an independent service provider based in the United States which assists the Company with the implementation, administration and management of the Plan. In the future, the Company may select different service providers and share the Optionee’s Personal Data with such different service providers that serve the Company in a similar manner. The Company’s service providers will open an account for the Optionee to receive and trade shares of Stock acquired under the Plan and the Optionee will be asked to agree on separate terms and data processing practices with the service provider, which is a condition of the Optionee’s ability to participate in the Plan.</w:t>
      </w:r>
    </w:p>
    <w:p>
      <w:pPr>
        <w:spacing w:after="0" w:line="118"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8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International Data Transfers.</w:t>
      </w:r>
      <w:r>
        <w:rPr>
          <w:rFonts w:ascii="Times New Roman" w:cs="Times New Roman" w:eastAsia="Times New Roman" w:hAnsi="Times New Roman"/>
          <w:sz w:val="17"/>
          <w:szCs w:val="17"/>
          <w:b w:val="1"/>
          <w:bCs w:val="1"/>
          <w:i w:val="1"/>
          <w:iCs w:val="1"/>
          <w:color w:val="auto"/>
        </w:rPr>
        <w:t xml:space="preserve"> The Company and, as of the date hereof, any third parties assisting in the implementation, administration and management of the Plan, such as E*Trade, are based in the United States. If the Optionee is located outside the United States, the Optionee’s country may have enacted data privacy laws that are different from the laws of the United States. The Company’s legal basis for the transfer of the Optionee’s Personal Data is the Optionee’s consent.</w:t>
      </w:r>
    </w:p>
    <w:p>
      <w:pPr>
        <w:spacing w:after="0" w:line="118" w:lineRule="exact"/>
        <w:rPr>
          <w:rFonts w:ascii="Times New Roman" w:cs="Times New Roman" w:eastAsia="Times New Roman" w:hAnsi="Times New Roman"/>
          <w:sz w:val="17"/>
          <w:szCs w:val="17"/>
          <w:color w:val="auto"/>
        </w:rPr>
      </w:pPr>
    </w:p>
    <w:p>
      <w:pPr>
        <w:ind w:firstLine="1023"/>
        <w:spacing w:after="0" w:line="242" w:lineRule="auto"/>
        <w:tabs>
          <w:tab w:leader="none" w:pos="158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Data Retention.</w:t>
      </w:r>
      <w:r>
        <w:rPr>
          <w:rFonts w:ascii="Times New Roman" w:cs="Times New Roman" w:eastAsia="Times New Roman" w:hAnsi="Times New Roman"/>
          <w:sz w:val="17"/>
          <w:szCs w:val="17"/>
          <w:b w:val="1"/>
          <w:bCs w:val="1"/>
          <w:i w:val="1"/>
          <w:iCs w:val="1"/>
          <w:color w:val="auto"/>
        </w:rPr>
        <w:t xml:space="preserve"> The Company will process the Optionee’s Personal Data only as long as is necessary to implement, administer and manage the Optionee’s participation in the Plan, or to comply with legal or regulatory obligations, including under tax, exchange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313" w:right="319" w:bottom="1440" w:gutter="0" w:footer="0" w:header="0"/>
        </w:sectPr>
      </w:pPr>
    </w:p>
    <w:bookmarkStart w:id="134" w:name="page135"/>
    <w:bookmarkEnd w:id="134"/>
    <w:p>
      <w:pPr>
        <w:jc w:val="both"/>
        <w:spacing w:after="0" w:line="224" w:lineRule="auto"/>
        <w:rPr>
          <w:sz w:val="20"/>
          <w:szCs w:val="20"/>
          <w:color w:val="auto"/>
        </w:rPr>
      </w:pPr>
      <w:r>
        <w:rPr>
          <w:rFonts w:ascii="Times New Roman" w:cs="Times New Roman" w:eastAsia="Times New Roman" w:hAnsi="Times New Roman"/>
          <w:sz w:val="17"/>
          <w:szCs w:val="17"/>
          <w:b w:val="1"/>
          <w:bCs w:val="1"/>
          <w:i w:val="1"/>
          <w:iCs w:val="1"/>
          <w:color w:val="auto"/>
        </w:rPr>
        <w:t>control, labor and securities laws. This period may extend beyond Optionee’s end of Service Relationship. In the latter case, the Optionee understands and acknowledges that the Company’s legal basis for the processing of the Optionee’s Personal Data would be compliance with the relevant laws or regulations. When the Company no longer needs the Optionee’s Personal Data for any of the above purposes, the Optionee understands the Company will remove it from its systems.</w:t>
      </w:r>
    </w:p>
    <w:p>
      <w:pPr>
        <w:spacing w:after="0" w:line="119" w:lineRule="exact"/>
        <w:rPr>
          <w:sz w:val="20"/>
          <w:szCs w:val="20"/>
          <w:color w:val="auto"/>
        </w:rPr>
      </w:pPr>
    </w:p>
    <w:p>
      <w:pPr>
        <w:jc w:val="both"/>
        <w:ind w:firstLine="1023"/>
        <w:spacing w:after="0" w:line="219" w:lineRule="auto"/>
        <w:tabs>
          <w:tab w:leader="none" w:pos="159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Voluntariness and Consequences of Denial/Withdrawal of Consent</w:t>
      </w:r>
      <w:r>
        <w:rPr>
          <w:rFonts w:ascii="Times New Roman" w:cs="Times New Roman" w:eastAsia="Times New Roman" w:hAnsi="Times New Roman"/>
          <w:sz w:val="17"/>
          <w:szCs w:val="17"/>
          <w:b w:val="1"/>
          <w:bCs w:val="1"/>
          <w:i w:val="1"/>
          <w:iCs w:val="1"/>
          <w:color w:val="auto"/>
        </w:rPr>
        <w:t>. The Optionee understands that any participation in the Plan and his or her consent are purely voluntary. The Optionee may deny or later withdraw his or her consent at any time, with future effect and for any or no reason. If the Optionee denies or later withdraws his or her consent, the Company can no longer offer participation in the Plan or grant equity awards to the Optionee or administer or maintain such awards, and the Optionee will no longer be eligible to participate in the Plan. The Optionee further understands that denial or withdrawal of his or her consent would not affect his or her status or salary as an employee or his or her career and that the Optionee would merely forfeit the opportunities associated with the Plan.</w:t>
      </w:r>
    </w:p>
    <w:p>
      <w:pPr>
        <w:spacing w:after="0" w:line="118" w:lineRule="exact"/>
        <w:rPr>
          <w:rFonts w:ascii="Times New Roman" w:cs="Times New Roman" w:eastAsia="Times New Roman" w:hAnsi="Times New Roman"/>
          <w:sz w:val="17"/>
          <w:szCs w:val="17"/>
          <w:color w:val="auto"/>
        </w:rPr>
      </w:pPr>
    </w:p>
    <w:p>
      <w:pPr>
        <w:jc w:val="both"/>
        <w:ind w:firstLine="1023"/>
        <w:spacing w:after="0" w:line="214" w:lineRule="auto"/>
        <w:tabs>
          <w:tab w:leader="none" w:pos="158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Data Subject Rights</w:t>
      </w:r>
      <w:r>
        <w:rPr>
          <w:rFonts w:ascii="Times New Roman" w:cs="Times New Roman" w:eastAsia="Times New Roman" w:hAnsi="Times New Roman"/>
          <w:sz w:val="17"/>
          <w:szCs w:val="17"/>
          <w:b w:val="1"/>
          <w:bCs w:val="1"/>
          <w:i w:val="1"/>
          <w:iCs w:val="1"/>
          <w:color w:val="auto"/>
        </w:rPr>
        <w:t>. The data subject rights regarding the processing of personal data vary depending on the applicable law and that, depending on where the Optionee is based and subject to the conditions set out in the applicable law, the Optionee may have, without limitation, the rights to (i) inquire whether and what kind of Personal Data the Company holds about the Optionee and how it is processed, and to access or request copies of such Personal Data, (ii) request the correction or supplementation of Personal Data about the Optionee that is inaccurate, incomplete or out- of-date in light of the purposes underlying the processing, (iii) obtain the erasure of Personal Data no longer necessary for the purposes underlying the processing, (iv) request the Company to restrict the processing of the Optionee’s Personal Data in certain situations where the Optionee feels its processing is inappropriate, (v) object, in certain circumstances, to the processing of Personal Data for legitimate interests, and to (vi) request portability of the Optionee’s Personal Data that the Optionee has actively or passively provided to the Company (which does not include data derived or inferred from the collected data), where the processing of such Personal Data is based on consent or the Optionee’s employment and is carried out by automated means. In case of concerns, the Optionee may also have the right to lodge a complaint with the competent local data protection authority. Further, to receive clarification of, or to exercise any of, the Optionee’s rights the Optionee should contact the Optionee’s local human resources representative.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AUSTRALIA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Securities Law Information. </w:t>
      </w:r>
      <w:r>
        <w:rPr>
          <w:rFonts w:ascii="Times New Roman" w:cs="Times New Roman" w:eastAsia="Times New Roman" w:hAnsi="Times New Roman"/>
          <w:sz w:val="17"/>
          <w:szCs w:val="17"/>
          <w:color w:val="auto"/>
        </w:rPr>
        <w:t>If Optionee offers any shares of Stock for sale to a person or entity resident in Australia, the offer may be subject to disclosure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requirements under Australian law (in addition to any requirements under the Plan and this Agreement). </w:t>
      </w:r>
      <w:r>
        <w:rPr>
          <w:rFonts w:ascii="Times New Roman" w:cs="Times New Roman" w:eastAsia="Times New Roman" w:hAnsi="Times New Roman"/>
          <w:sz w:val="17"/>
          <w:szCs w:val="17"/>
          <w:i w:val="1"/>
          <w:iCs w:val="1"/>
          <w:color w:val="auto"/>
        </w:rPr>
        <w:t>Optionee should consult his or her personal legal advisor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prior to making any such offer to ensure compliance with the applicable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Tax Consideration. </w:t>
      </w:r>
      <w:r>
        <w:rPr>
          <w:rFonts w:ascii="Times New Roman" w:cs="Times New Roman" w:eastAsia="Times New Roman" w:hAnsi="Times New Roman"/>
          <w:sz w:val="17"/>
          <w:szCs w:val="17"/>
          <w:color w:val="auto"/>
        </w:rPr>
        <w:t>The Plan is a plan to which Subdivision 83A-C of the Income Tax Assessment Act 1997 (Cth) applies (subject to the conditions of the Act).</w:t>
      </w:r>
    </w:p>
    <w:p>
      <w:pPr>
        <w:spacing w:after="0" w:line="14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Exchange Control Information. </w:t>
      </w:r>
      <w:r>
        <w:rPr>
          <w:rFonts w:ascii="Times New Roman" w:cs="Times New Roman" w:eastAsia="Times New Roman" w:hAnsi="Times New Roman"/>
          <w:sz w:val="17"/>
          <w:szCs w:val="17"/>
          <w:color w:val="auto"/>
        </w:rPr>
        <w:t>Exchange control reporting is required for cash transactions exceeding a certain threshold and international fund transfers.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Australian bank assisting with the transaction may file the report on the Optionee's behalf. If there is no Australian bank involved in the transfer, the Optionee will be required to file the report. The Optionee should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2"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color w:val="auto"/>
        </w:rPr>
        <w:t>consult with his or her personal advisor to ensure proper compliance with applicable reporting requirements in Australia.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CANADA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4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Non-Qualified Securities. </w:t>
      </w:r>
      <w:r>
        <w:rPr>
          <w:rFonts w:ascii="Times New Roman" w:cs="Times New Roman" w:eastAsia="Times New Roman" w:hAnsi="Times New Roman"/>
          <w:sz w:val="17"/>
          <w:szCs w:val="17"/>
          <w:color w:val="auto"/>
        </w:rPr>
        <w:t>All or a portion of the shares of Common Stock subject to the Option may be "non-qualified securities" within the meaning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Tax Act </w:t>
      </w:r>
      <w:r>
        <w:rPr>
          <w:rFonts w:ascii="Times New Roman" w:cs="Times New Roman" w:eastAsia="Times New Roman" w:hAnsi="Times New Roman"/>
          <w:sz w:val="17"/>
          <w:szCs w:val="17"/>
          <w:color w:val="auto"/>
        </w:rPr>
        <w:t>(Canada). The Company will provide the Optionee with additional information and/or appropriate notification regarding the characterization of the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Option for Canadian income tax purposes as may be required by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and the regulations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Manner of Exercise</w:t>
      </w:r>
      <w:r>
        <w:rPr>
          <w:rFonts w:ascii="Times New Roman" w:cs="Times New Roman" w:eastAsia="Times New Roman" w:hAnsi="Times New Roman"/>
          <w:sz w:val="17"/>
          <w:szCs w:val="17"/>
          <w:color w:val="auto"/>
        </w:rPr>
        <w:t>. The following provision supplements Paragraph 2 of the Option Agreement:</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Notwithstanding anything in the Plan to the contrary, the Optionee is prohibited from surrendering shares of Stock the Optionee already owns or attesting to the ownership of shares of Stock to pay the Option Exercise Price per Share or any Tax-Related Items in connection with the Stock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Termination of Employment. </w:t>
      </w:r>
      <w:r>
        <w:rPr>
          <w:rFonts w:ascii="Times New Roman" w:cs="Times New Roman" w:eastAsia="Times New Roman" w:hAnsi="Times New Roman"/>
          <w:sz w:val="17"/>
          <w:szCs w:val="17"/>
          <w:color w:val="auto"/>
        </w:rPr>
        <w:t>The following provision replaces Paragraph 7(l) of the Option Agreement:</w:t>
      </w:r>
    </w:p>
    <w:p>
      <w:pPr>
        <w:spacing w:after="0" w:line="14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 purposes of the Stock Option, unless otherwise provided for in the Option Agreement, the Optionee’s Service Relationship will be considered terminated as of the date that is the earliest of (a) the date the Optionee's employment is terminated; (b) the date the Optionee receives notice of termination of employment; or (b) the date the Optionee is no longer providing services to the Company or any Affiliate (in all cases regardless of the reason for such termination and whether or not later found to be invalid or in breach of employment laws in the jurisdiction where the Optionee renders service or the terms of the Optionee’s employment agreement, if any). Unless otherwise expressly provided in this Agreement or determined by the Company, the Optionee’s right to continue to vest in the Stock Option, if any, will terminate effective as of such date and will not be extended any period during which notice, pay in lieu of notice or related payments or damages are provided or required to be provided under local law. The Administrator shall have the exclusive discretion to determine when the Optionee’s employment is terminated for purposes of this Stock Option (including whether the Optionee may still be considered providing services while on a leave of absence).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foregoing, if applicable employment standards legislation explicitly requires</w:t>
      </w:r>
    </w:p>
    <w:p>
      <w:pPr>
        <w:jc w:val="both"/>
        <w:spacing w:after="0" w:line="221" w:lineRule="auto"/>
        <w:rPr>
          <w:sz w:val="20"/>
          <w:szCs w:val="20"/>
          <w:color w:val="auto"/>
        </w:rPr>
      </w:pPr>
      <w:r>
        <w:rPr>
          <w:rFonts w:ascii="Times New Roman" w:cs="Times New Roman" w:eastAsia="Times New Roman" w:hAnsi="Times New Roman"/>
          <w:sz w:val="17"/>
          <w:szCs w:val="17"/>
          <w:color w:val="auto"/>
        </w:rPr>
        <w:t>continued entitlement to vesting during a statutory notice period, the Optionee’s right to vest in the Stock Option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following provisions apply to the Stock Option if the Optionee is a resident of Quebec</w:t>
      </w:r>
      <w:r>
        <w:rPr>
          <w:rFonts w:ascii="Times New Roman" w:cs="Times New Roman" w:eastAsia="Times New Roman" w:hAnsi="Times New Roman"/>
          <w:sz w:val="17"/>
          <w:szCs w:val="17"/>
          <w:b w:val="1"/>
          <w:bCs w:val="1"/>
          <w:color w:val="auto"/>
        </w:rPr>
        <w:t>:</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Language Consent. </w:t>
      </w:r>
      <w:r>
        <w:rPr>
          <w:rFonts w:ascii="Times New Roman" w:cs="Times New Roman" w:eastAsia="Times New Roman" w:hAnsi="Times New Roman"/>
          <w:sz w:val="17"/>
          <w:szCs w:val="17"/>
          <w:color w:val="auto"/>
        </w:rPr>
        <w:t>The parties acknowledge that it is their express wish that the Agreement, as well as all documents, notices and legal proceedings entered into,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given, or instituted pursuant hereto or relating directly or indirectly hereto, be drawn up in English.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36" w:name="page137"/>
    <w:bookmarkEnd w:id="136"/>
    <w:p>
      <w:pPr>
        <w:jc w:val="both"/>
        <w:spacing w:after="0" w:line="242" w:lineRule="auto"/>
        <w:rPr>
          <w:sz w:val="20"/>
          <w:szCs w:val="20"/>
          <w:color w:val="auto"/>
        </w:rPr>
      </w:pPr>
      <w:r>
        <w:rPr>
          <w:rFonts w:ascii="Times New Roman" w:cs="Times New Roman" w:eastAsia="Times New Roman" w:hAnsi="Times New Roman"/>
          <w:sz w:val="17"/>
          <w:szCs w:val="17"/>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Personal Data Authorization. </w:t>
      </w:r>
      <w:r>
        <w:rPr>
          <w:rFonts w:ascii="Times New Roman" w:cs="Times New Roman" w:eastAsia="Times New Roman" w:hAnsi="Times New Roman"/>
          <w:sz w:val="17"/>
          <w:szCs w:val="17"/>
          <w:color w:val="auto"/>
        </w:rPr>
        <w:t>The following provision supplements the Data Privacy Consent, set forth above in this Appendix:</w:t>
      </w:r>
    </w:p>
    <w:p>
      <w:pPr>
        <w:spacing w:after="0" w:line="14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the Employer and its other Affiliates to disclose and discuss with their advisors the Optionee’s participation in the Plan. The Optionee also authorizes the Company, the Employer and its other Affiliates to record such information and to keep it in his or her employment file. If the Optionee is resident in Quebec, the Optionee acknowledges and agrees that his or her personal information, including sensitive personal information, may be transferred or disclosed outside of the province of Quebec, including to the United States. The Optionee acknowledges and authorizes the Company and other parties involved in the administration of the Plan to use technology for profiling purposes and to make automated decisions that may have an impact on the Optionee or the administration of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Securities Law Information. </w:t>
      </w:r>
      <w:r>
        <w:rPr>
          <w:rFonts w:ascii="Times New Roman" w:cs="Times New Roman" w:eastAsia="Times New Roman" w:hAnsi="Times New Roman"/>
          <w:sz w:val="17"/>
          <w:szCs w:val="17"/>
          <w:color w:val="auto"/>
        </w:rPr>
        <w:t>The Optionee is permitted to sell shares of Stock acquired through the Plan through the designated broker appointed under the Plan,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provided the resale of shares of Stock acquired under the Plan takes place outside of Canada through the facilities of a stock exchange on which the shares of Stock are listed. The shares of Stock are currently listed on the New York Stock Exchange.</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b w:val="1"/>
          <w:bCs w:val="1"/>
          <w:color w:val="auto"/>
        </w:rPr>
        <w:t xml:space="preserve">Foreign Account/Asset Reporting Information. </w:t>
      </w:r>
      <w:r>
        <w:rPr>
          <w:rFonts w:ascii="Times New Roman" w:cs="Times New Roman" w:eastAsia="Times New Roman" w:hAnsi="Times New Roman"/>
          <w:sz w:val="17"/>
          <w:szCs w:val="17"/>
          <w:color w:val="auto"/>
        </w:rPr>
        <w:t>If the Optionee is a Canadian resident, the Optionee is required to report annually on Form T1135 (Foreign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Verification Statement) the foreign specified property (including shares of Stock acquired under the Plan) he or she holds if the total cost of such foreign specified property exceeds C$100,000 at any time during the year. Unvested Stock Options also must be reported (generally at nil cost) on Form T1135 if the C$100,000 threshold is exceeded due to other foreign property the Optionee holds. If shares of Stock are acquired, their cost generally is the adjusted cost base (“ACB”) of the shares of Stock. The ACB would normally equal the fair market value of the shares of Stock at vesting, but if the Optionee owns other shares, this ACB may have to be averaged with the ACB of the other shares. The Form T1135 must be filed at the same time the Optionee files his or her annual tax return. The Optionee is advised to consult with a personal advisor to ensure he or she complies with the applicable reporting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FRANCE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Language Consent</w:t>
      </w:r>
      <w:r>
        <w:rPr>
          <w:rFonts w:ascii="Times New Roman" w:cs="Times New Roman" w:eastAsia="Times New Roman" w:hAnsi="Times New Roman"/>
          <w:sz w:val="17"/>
          <w:szCs w:val="17"/>
          <w:color w:val="auto"/>
        </w:rPr>
        <w:t>. In accepting this Stock Option, the Optionee confirms having read and understood the Plan and the Agreement which were provided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English language. The Optionee accepts the terms of those documents accordingly.</w:t>
      </w:r>
    </w:p>
    <w:p>
      <w:pPr>
        <w:spacing w:after="0" w:line="1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Consentement Relatif à la Langue Utilisée. </w:t>
      </w:r>
      <w:r>
        <w:rPr>
          <w:rFonts w:ascii="Times New Roman" w:cs="Times New Roman" w:eastAsia="Times New Roman" w:hAnsi="Times New Roman"/>
          <w:sz w:val="17"/>
          <w:szCs w:val="17"/>
          <w:i w:val="1"/>
          <w:iCs w:val="1"/>
          <w:color w:val="auto"/>
        </w:rPr>
        <w:t>En acceptant l’attribution, le Bénéficiaire de l’Option confirme avoir lu et compris le Plan et le Contrat, qui ont été</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communiqués en langue anglaise. le Bénéficiaire de l’Option accepte les termes de ces documents en connaissance de cause.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3"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Nature of Grant. </w:t>
      </w:r>
      <w:r>
        <w:rPr>
          <w:rFonts w:ascii="Times New Roman" w:cs="Times New Roman" w:eastAsia="Times New Roman" w:hAnsi="Times New Roman"/>
          <w:sz w:val="17"/>
          <w:szCs w:val="17"/>
          <w:color w:val="auto"/>
        </w:rPr>
        <w:t>This Stock Option is not intended to qualify for special tax and social security treatment applicable to stock options granted under Section L. 225-177 to L. 225-186-1 of the French Commercial Code, as amended.</w:t>
      </w:r>
    </w:p>
    <w:p>
      <w:pPr>
        <w:spacing w:after="0" w:line="13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Foreign Asset/Account Reporting Information. </w:t>
      </w:r>
      <w:r>
        <w:rPr>
          <w:rFonts w:ascii="Times New Roman" w:cs="Times New Roman" w:eastAsia="Times New Roman" w:hAnsi="Times New Roman"/>
          <w:sz w:val="17"/>
          <w:szCs w:val="17"/>
          <w:color w:val="auto"/>
        </w:rPr>
        <w:t>If the Optionee is a French resident, the Optionee must declare all of the Optionee’s foreign bank and brokerage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in which he or she holds cash or securities, including the accounts that were opened and/or closed during the tax year, on an annual basis on a special form N° 3916, together with the Optionee’s income tax return</w:t>
      </w:r>
    </w:p>
    <w:p>
      <w:pPr>
        <w:spacing w:after="0" w:line="1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Exchange Control Information. </w:t>
      </w:r>
      <w:r>
        <w:rPr>
          <w:rFonts w:ascii="Times New Roman" w:cs="Times New Roman" w:eastAsia="Times New Roman" w:hAnsi="Times New Roman"/>
          <w:sz w:val="17"/>
          <w:szCs w:val="17"/>
          <w:color w:val="auto"/>
        </w:rPr>
        <w:t>The Optionee must report the value of any cash or securities that the Optionee brings into France or sends out of France without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use of a financial institution to the French Customs and Excise Authorities when the value of such cash or securities reaches or exceeds the threshold amount.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GERMANY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Exchange Control Information. </w:t>
      </w:r>
      <w:r>
        <w:rPr>
          <w:rFonts w:ascii="Times New Roman" w:cs="Times New Roman" w:eastAsia="Times New Roman" w:hAnsi="Times New Roman"/>
          <w:sz w:val="17"/>
          <w:szCs w:val="17"/>
          <w:color w:val="auto"/>
        </w:rPr>
        <w:t xml:space="preserve">Cross-border payments in excess of €12,500 must be reported monthly to the German Federal Bank. If the Optionee receives cross-border payments in excess of €12,500 in connection with the sale of securities (including shares of Stock acquired under the Plan) or the receipt of dividends paid on such shares of Stock, the Optionee must report by the fifth day of the month following the month in which the payment was received. The report must be filed electronically. The form of report can be accessed via the German Federal Bank’s website at </w:t>
      </w:r>
      <w:r>
        <w:rPr>
          <w:rFonts w:ascii="Times New Roman" w:cs="Times New Roman" w:eastAsia="Times New Roman" w:hAnsi="Times New Roman"/>
          <w:sz w:val="17"/>
          <w:szCs w:val="17"/>
          <w:u w:val="single" w:color="auto"/>
          <w:color w:val="0000FF"/>
        </w:rPr>
        <w:t>www.bundesbank.de</w:t>
      </w:r>
      <w:r>
        <w:rPr>
          <w:rFonts w:ascii="Times New Roman" w:cs="Times New Roman" w:eastAsia="Times New Roman" w:hAnsi="Times New Roman"/>
          <w:sz w:val="17"/>
          <w:szCs w:val="17"/>
          <w:color w:val="auto"/>
        </w:rPr>
        <w:t xml:space="preserve"> and is available in both German and English. The Optionee is advised to consult a personal legal advisor to ensure compliance with applicable reporting obligations.</w:t>
      </w:r>
    </w:p>
    <w:p>
      <w:pPr>
        <w:spacing w:after="0" w:line="11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Foreign Asset/Account Reporting Information. </w:t>
      </w:r>
      <w:r>
        <w:rPr>
          <w:rFonts w:ascii="Times New Roman" w:cs="Times New Roman" w:eastAsia="Times New Roman" w:hAnsi="Times New Roman"/>
          <w:sz w:val="17"/>
          <w:szCs w:val="17"/>
          <w:color w:val="auto"/>
        </w:rPr>
        <w:t>If the acquisition of shares of Stock under the Plan leads to a “qualified participation” at any point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calendar year, Optionee understands that Optionee will need to report the acquisition when Optionee files his or her tax return for the relevant year. A qualified participation is attained only if (a) the value of the shares of Stock acquired exceeds €150,000 and the Optionee holds 1% or more of the total shares of Stock, or (b) the Optionee holds shares of Stock exceeding 10% of the Company’s total Stock. Optionee should contact his or her personal advisor for further information regarding whether Optionee's acquisition of Stock under the Plan will result in a qualified participation.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IRELAND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country-specific provisions.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INDIA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Manner of Exercise</w:t>
      </w:r>
      <w:r>
        <w:rPr>
          <w:rFonts w:ascii="Times New Roman" w:cs="Times New Roman" w:eastAsia="Times New Roman" w:hAnsi="Times New Roman"/>
          <w:sz w:val="17"/>
          <w:szCs w:val="17"/>
          <w:color w:val="auto"/>
        </w:rPr>
        <w:t>. The following provision supplements Paragraph 2 of the Option Agreement:</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Due to legal considerations in India, the Optionee will not be permitted to pay the Exercise Price per Share by a broker-assisted cashless exercise in which the Optionee irrevocably instruct 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3" w:right="319" w:bottom="1440" w:gutter="0" w:footer="0" w:header="0"/>
        </w:sectPr>
      </w:pPr>
    </w:p>
    <w:bookmarkStart w:id="138" w:name="page139"/>
    <w:bookmarkEnd w:id="138"/>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broker to sell </w:t>
      </w:r>
      <w:r>
        <w:rPr>
          <w:rFonts w:ascii="Times New Roman" w:cs="Times New Roman" w:eastAsia="Times New Roman" w:hAnsi="Times New Roman"/>
          <w:sz w:val="17"/>
          <w:szCs w:val="17"/>
          <w:u w:val="single" w:color="auto"/>
          <w:color w:val="auto"/>
        </w:rPr>
        <w:t>a portion</w:t>
      </w:r>
      <w:r>
        <w:rPr>
          <w:rFonts w:ascii="Times New Roman" w:cs="Times New Roman" w:eastAsia="Times New Roman" w:hAnsi="Times New Roman"/>
          <w:sz w:val="17"/>
          <w:szCs w:val="17"/>
          <w:color w:val="auto"/>
        </w:rPr>
        <w:t xml:space="preserve"> of the shares of Stock for which the Stock Option is being exercised and deliver the proceeds of the sale to the Company in payment of the Exercise Price per Share of such shares of Stock and, if applicable, in payment of Tax-Related Items. The Optionee may, however, pay the Exercise Price per Share by a broker-assisted cashless exercise in which the Optionee irrevocably instructs a broker to sell </w:t>
      </w:r>
      <w:r>
        <w:rPr>
          <w:rFonts w:ascii="Times New Roman" w:cs="Times New Roman" w:eastAsia="Times New Roman" w:hAnsi="Times New Roman"/>
          <w:sz w:val="17"/>
          <w:szCs w:val="17"/>
          <w:u w:val="single" w:color="auto"/>
          <w:color w:val="auto"/>
        </w:rPr>
        <w:t>all</w:t>
      </w:r>
      <w:r>
        <w:rPr>
          <w:rFonts w:ascii="Times New Roman" w:cs="Times New Roman" w:eastAsia="Times New Roman" w:hAnsi="Times New Roman"/>
          <w:sz w:val="17"/>
          <w:szCs w:val="17"/>
          <w:color w:val="auto"/>
        </w:rPr>
        <w:t xml:space="preserve"> of the shares of Stock for which the Stock Option is being exercised and deliver the proceeds of the sale to the Company in payment of the Exercise Price per Share of such shares of Stock and, if applicable, in payment of Tax-Related Items. The Company reserves the right to allow additional methods of payment depending on the development of local law.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b w:val="1"/>
          <w:bCs w:val="1"/>
          <w:color w:val="auto"/>
        </w:rPr>
        <w:t>Exchange Control Information</w:t>
      </w:r>
      <w:r>
        <w:rPr>
          <w:rFonts w:ascii="Times New Roman" w:cs="Times New Roman" w:eastAsia="Times New Roman" w:hAnsi="Times New Roman"/>
          <w:sz w:val="17"/>
          <w:szCs w:val="17"/>
          <w:color w:val="auto"/>
        </w:rPr>
        <w:t>. Exchange control laws and regulations in India require that all proceeds resulting from the sale of shares of Stock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dividends received in relation to the shares of Stock be repatriated to India within such time as prescribed under applicable Indian exchange control laws, as may be amended from time to time. Indian residents must obtain a foreign inward remittance certificate (“FIRC”) from the bank into which foreign currency is deposited and retain the FIRC as evidence of repatriation of funds in the event that the Reserve Bank of India or the Service Recipient requests proof of repatriation.</w:t>
      </w:r>
    </w:p>
    <w:p>
      <w:pPr>
        <w:spacing w:after="0" w:line="11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Foreign Asset/Account Reporting Information</w:t>
      </w:r>
      <w:r>
        <w:rPr>
          <w:rFonts w:ascii="Times New Roman" w:cs="Times New Roman" w:eastAsia="Times New Roman" w:hAnsi="Times New Roman"/>
          <w:sz w:val="17"/>
          <w:szCs w:val="17"/>
          <w:color w:val="auto"/>
        </w:rPr>
        <w:t>. Foreign bank accounts and any foreign financial assets (including shares of Stock held outside India) must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reported in the annual Indian personal tax return. It is the Optionee’s responsibility to comply with this reporting obligation and the Optionee should consult with his or her personal advisor in this regard.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POLAND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b w:val="1"/>
          <w:bCs w:val="1"/>
          <w:color w:val="auto"/>
        </w:rPr>
        <w:t xml:space="preserve">Exchange Control Information. </w:t>
      </w:r>
      <w:r>
        <w:rPr>
          <w:rFonts w:ascii="Times New Roman" w:cs="Times New Roman" w:eastAsia="Times New Roman" w:hAnsi="Times New Roman"/>
          <w:sz w:val="17"/>
          <w:szCs w:val="17"/>
          <w:color w:val="auto"/>
        </w:rPr>
        <w:t>If the Optionee holds foreign securities (including shares of Stock) and maintains accounts abroad, the Optionee may be required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file certain reports with the National Bank of Poland on the transactions and balances of the securities and cash deposited in such accounts if the value of such transactions or balances exceeds PLN 7,000,000 in the aggregate. If required, the Optionee must file reports on the transactions and balances of the accounts on a quarterly basis on special forms available on the website of the National Bank of Poland.</w:t>
      </w:r>
    </w:p>
    <w:p>
      <w:pPr>
        <w:spacing w:after="0" w:line="1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Further, if the Optionee transfers funds in excess of €15,000 into Poland in connection with the sale of shares of Stock under the Plan, the funds must be transferred via a bank account held at a bank in Poland. The Optionee is required to maintain all documents related to foreign exchange transactions for a period of five years, in case of a request for their production from the Bank of Poland.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SPAIN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b w:val="1"/>
          <w:bCs w:val="1"/>
          <w:color w:val="auto"/>
        </w:rPr>
        <w:t>No Entitlement for Claims or Compensation</w:t>
      </w:r>
      <w:r>
        <w:rPr>
          <w:rFonts w:ascii="Times New Roman" w:cs="Times New Roman" w:eastAsia="Times New Roman" w:hAnsi="Times New Roman"/>
          <w:sz w:val="17"/>
          <w:szCs w:val="17"/>
          <w:color w:val="auto"/>
        </w:rPr>
        <w:t>. By accepting the Stock Option, the Optionee acknowledges that he or she consents to participation in the Plan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received a copy of the Plan. The Optionee understands that the Company has unilaterally, gratuitously and in its sole discretion decided to grant Stock Options under the Plan to individuals who may be employees of the Employer, the Company or its other Affiliates throughout the world. The decision is a limited decision that is entered into upon the express assumption and condition that any Stock Option will not economically or otherwise bind the Employer, the Company or its other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39" w:name="page140"/>
    <w:bookmarkEnd w:id="139"/>
    <w:p>
      <w:pPr>
        <w:jc w:val="both"/>
        <w:spacing w:after="0" w:line="218" w:lineRule="auto"/>
        <w:rPr>
          <w:sz w:val="20"/>
          <w:szCs w:val="20"/>
          <w:color w:val="auto"/>
        </w:rPr>
      </w:pPr>
      <w:r>
        <w:rPr>
          <w:rFonts w:ascii="Times New Roman" w:cs="Times New Roman" w:eastAsia="Times New Roman" w:hAnsi="Times New Roman"/>
          <w:sz w:val="17"/>
          <w:szCs w:val="17"/>
          <w:color w:val="auto"/>
        </w:rPr>
        <w:t>Affiliates on an ongoing basis. Consequently, the Optionee understands that the Stock Options are granted on the assumption and condition that the Sock Option and the shares of Stock acquired upon settlement shall not become a part of any employment contract (either with the Employer, the Company or any of its other Affiliates) and shall not be considered a mandatory benefit, salary for any purposes (including severance compensation) or any other right whatsoever. In addition, the Optionee understands that grant of Stock Option would not be made to the Optionee but for the assumptions and conditions referred to above; thus, the Optionee acknowledges and freely accepts that should any or all of the assumptions be mistaken or should any of the conditions not be met for any reason, then any grant of Stock Options shall be null and void.</w:t>
      </w:r>
    </w:p>
    <w:p>
      <w:pPr>
        <w:spacing w:after="0" w:line="12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Further, the vesting of the Stock Options is expressly conditioned on the Optionee’s continued employment, such that if the Optionee’s status as an employee terminates for any reason whatsoever, the Stock Options may, subject to the terms of the Option Agreement, cease vesting immediately, in whole or in part, effective on the date of the Optionee ceases to be an employee. This will be the case, for example, unless otherwise provided for in the Option Agreement, even if (a) the Optionee is considered to be unfairly dismissed without good cause; (b) the Optionee is dismissed for disciplinary or objective reasons or due to a collective dismissal; (c) the Optionee ceases to be an employee due to a change of work location, duties or any other employment or contractual condition; (d) the Optionee ceases to be an employee due to a unilateral breach of contract by the Employer, the Company or its other Affiliates; or (e) the Optionee ceases to be an employee for any other reason whatsoever. Consequently, once the Optionee ceases to be an employee any of the above reasons, the Optionee may automatically lose any rights to Stock Options that were not vested on the date of the Optionee’s termination of employment, as described in the Plan and the Agreement.</w:t>
      </w:r>
    </w:p>
    <w:p>
      <w:pPr>
        <w:spacing w:after="0" w:line="120" w:lineRule="exact"/>
        <w:rPr>
          <w:sz w:val="20"/>
          <w:szCs w:val="20"/>
          <w:color w:val="auto"/>
        </w:rPr>
      </w:pPr>
    </w:p>
    <w:p>
      <w:pPr>
        <w:ind w:right="1080"/>
        <w:spacing w:after="0" w:line="414" w:lineRule="auto"/>
        <w:rPr>
          <w:sz w:val="20"/>
          <w:szCs w:val="20"/>
          <w:color w:val="auto"/>
        </w:rPr>
      </w:pPr>
      <w:r>
        <w:rPr>
          <w:rFonts w:ascii="Times New Roman" w:cs="Times New Roman" w:eastAsia="Times New Roman" w:hAnsi="Times New Roman"/>
          <w:sz w:val="17"/>
          <w:szCs w:val="17"/>
          <w:color w:val="auto"/>
        </w:rPr>
        <w:t xml:space="preserve">The Optionee acknowledges that he or she has read and specifically accepts the conditions referred to in Paragraphs 3 and 7 of the Option Agreement. </w:t>
      </w:r>
      <w:r>
        <w:rPr>
          <w:rFonts w:ascii="Times New Roman" w:cs="Times New Roman" w:eastAsia="Times New Roman" w:hAnsi="Times New Roman"/>
          <w:sz w:val="17"/>
          <w:szCs w:val="17"/>
          <w:b w:val="1"/>
          <w:bCs w:val="1"/>
          <w:i w:val="1"/>
          <w:iCs w:val="1"/>
          <w:color w:val="auto"/>
        </w:rPr>
        <w:t>Notifications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b w:val="1"/>
          <w:bCs w:val="1"/>
          <w:color w:val="auto"/>
        </w:rPr>
        <w:t>Securities Law Information</w:t>
      </w:r>
      <w:r>
        <w:rPr>
          <w:rFonts w:ascii="Times New Roman" w:cs="Times New Roman" w:eastAsia="Times New Roman" w:hAnsi="Times New Roman"/>
          <w:sz w:val="17"/>
          <w:szCs w:val="17"/>
          <w:color w:val="auto"/>
        </w:rPr>
        <w:t>. No “offer of securities to the public,” as defined under Spanish law, has taken place or will take place in the Spanish territory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connection with the grant of the Stock Option. The Agreement has not been nor will it be registered with the </w:t>
      </w:r>
      <w:r>
        <w:rPr>
          <w:rFonts w:ascii="Times New Roman" w:cs="Times New Roman" w:eastAsia="Times New Roman" w:hAnsi="Times New Roman"/>
          <w:sz w:val="17"/>
          <w:szCs w:val="17"/>
          <w:i w:val="1"/>
          <w:iCs w:val="1"/>
          <w:color w:val="auto"/>
        </w:rPr>
        <w:t>Comisión Nacional del Mercado de Valores</w:t>
      </w:r>
      <w:r>
        <w:rPr>
          <w:rFonts w:ascii="Times New Roman" w:cs="Times New Roman" w:eastAsia="Times New Roman" w:hAnsi="Times New Roman"/>
          <w:sz w:val="17"/>
          <w:szCs w:val="17"/>
          <w:color w:val="auto"/>
        </w:rPr>
        <w:t>, and does not constitute a public offering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SWITZERLAND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Notifications</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b w:val="1"/>
          <w:bCs w:val="1"/>
          <w:color w:val="auto"/>
        </w:rPr>
        <w:t>Securities Law Notification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Option Agreement, this Appendix and any other materials relating to the Stock Option (a) do not constitute a prospectus according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articles 35 et seq. of the Swiss Federal Act on Financial Services (“FinSA”), (b) may not be publicly distributed or otherwise made publicly available in Switzerland to any person other than an employee of the Company, or (c) has not been and will not be filed with, approved or supervised by any Swiss reviewing body according to article 51 FinSA or any Swiss regulatory authority, including the Swiss Financial Market Supervisory Authority (FINMA).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highlight w:val="lightGray"/>
        </w:rPr>
        <w:t>UNITED KINGDOM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6" w:right="319" w:bottom="1440" w:gutter="0" w:footer="0" w:header="0"/>
        </w:sectPr>
      </w:pPr>
    </w:p>
    <w:bookmarkStart w:id="140" w:name="page141"/>
    <w:bookmarkEnd w:id="140"/>
    <w:p>
      <w:pPr>
        <w:jc w:val="both"/>
        <w:spacing w:after="0" w:line="216" w:lineRule="auto"/>
        <w:rPr>
          <w:sz w:val="20"/>
          <w:szCs w:val="20"/>
          <w:color w:val="auto"/>
        </w:rPr>
      </w:pPr>
      <w:r>
        <w:rPr>
          <w:rFonts w:ascii="Times New Roman" w:cs="Times New Roman" w:eastAsia="Times New Roman" w:hAnsi="Times New Roman"/>
          <w:sz w:val="17"/>
          <w:szCs w:val="17"/>
          <w:b w:val="1"/>
          <w:bCs w:val="1"/>
          <w:color w:val="auto"/>
        </w:rPr>
        <w:t xml:space="preserve">Joint Election for Transfer of Liability for Employer National Insurance Contributions. </w:t>
      </w:r>
      <w:r>
        <w:rPr>
          <w:rFonts w:ascii="Times New Roman" w:cs="Times New Roman" w:eastAsia="Times New Roman" w:hAnsi="Times New Roman"/>
          <w:sz w:val="17"/>
          <w:szCs w:val="17"/>
          <w:color w:val="auto"/>
        </w:rPr>
        <w:t>As a condition of participation in the Plan and settlement of any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upon vesting, the Optionee hereby irrevocably agrees to accept any liability for secondary Class 1 National Insurance contributions and, to the extent permissible, the employer portion of the Health and Social Care Levy (the “Employer NICs”) that may be payable by the Company or the Employer (and any successor to the Company and/or the Employer) in connection with the Stock Options and any event giving rise to Tax-Related Items. Without prejudice to the foregoing, the Optionee agrees to execute a joint election with the Company and/or the Employer in such form as the Company may determine (the “Joint Election”), and any other required consent or election requested by the Company. The Optionee further agrees to execute such other joint elections as may be required between the Optionee and any successor to the Company or the Employer. The Optionee further agrees that the Company and the Employer (and any successor to the Company and/or the Employer) may collect the Employer NICs from the Optionee by any of the means set forth in Paragraph 6 of the Option Agreement.</w:t>
      </w:r>
    </w:p>
    <w:p>
      <w:pPr>
        <w:spacing w:after="0" w:line="1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If the Optionee does not enter into a Joint Election prior to exercise of the Stock Option, the Stock Option shall not be settled unless and until he or she enters into a Joint Election, and no shares of Stock will be issued to the Optionee under the Plan, without any liability to the Company, the Employer, or any other Affiliate.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Tax Withholding. </w:t>
      </w:r>
      <w:r>
        <w:rPr>
          <w:rFonts w:ascii="Times New Roman" w:cs="Times New Roman" w:eastAsia="Times New Roman" w:hAnsi="Times New Roman"/>
          <w:sz w:val="17"/>
          <w:szCs w:val="17"/>
          <w:color w:val="auto"/>
        </w:rPr>
        <w:t>The following provision supplements Paragraph 6 of the Option Agreement:</w:t>
      </w:r>
    </w:p>
    <w:p>
      <w:pPr>
        <w:spacing w:after="0" w:line="14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Without limitation to Paragraph 6 of the Option Agreement, the Optionee agrees that he or she is liable for all Tax-Related Items, including, to the extent permissible, the Employer’s portion of the Health and Social Care levy, and hereby covenants to pay all such Tax-Related Items as and when requested by the Company, the Employer or by HM Revenue &amp; Customs ("HMRC") (or any other tax authority or any other relevant authority). The Optionee also agrees to indemnify and keep indemnified the Company and the Employer (and any successor to the Company and/or the Employer) against any Tax-Related Items that they are required to pay or withhold on or have paid or will pay to HMRC (or any other tax authority or any other relevant authority) on the Optionee’s behalf. </w:t>
      </w: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or the purposes of the Option Agreement, Tax-Related Items include (without limitation) employment income tax, employee National Insurance contributions and the employee portion of the Health and Social Care levy.</w:t>
      </w:r>
    </w:p>
    <w:p>
      <w:pPr>
        <w:spacing w:after="0" w:line="12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Notwithstanding the foregoing, if the Optionee is an executive officer or director (within the meaning of Section 13(k) of the Exchange Act), the Optionee acknowledges that may not be able to indemnify the Company or the Employer for the amount of any income tax not collected from or paid by the Optionee, as it may be considered a loan. In such case, if the amount of any income tax due is not collected from or paid by the Optionee within ninety (90) days of the end of the U.K. tax year in which an event giving rise to the indemnification described above occurs, the amount of any uncollected income tax may constitute an additional benefit to the Optionee on which additional income tax and National Insurance contributions (“</w:t>
      </w:r>
      <w:r>
        <w:rPr>
          <w:rFonts w:ascii="Times New Roman" w:cs="Times New Roman" w:eastAsia="Times New Roman" w:hAnsi="Times New Roman"/>
          <w:sz w:val="17"/>
          <w:szCs w:val="17"/>
          <w:u w:val="single" w:color="auto"/>
          <w:color w:val="auto"/>
        </w:rPr>
        <w:t>NICs</w:t>
      </w:r>
      <w:r>
        <w:rPr>
          <w:rFonts w:ascii="Times New Roman" w:cs="Times New Roman" w:eastAsia="Times New Roman" w:hAnsi="Times New Roman"/>
          <w:sz w:val="17"/>
          <w:szCs w:val="17"/>
          <w:color w:val="auto"/>
        </w:rPr>
        <w:t>”) may be payable. The Optionee will be responsible for reporting and paying any income tax due on this additional benefit directly to HMRC under the self-assessment regime and for paying the Company and/or the Employer (and any successor to the Company and/or the Employer) the value of any employee NICs due on this additional benefit, which the Company and/or the Employer may recover at any time thereafter by any of the means referred to in Paragraph 6 of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3"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NICs JOINT ELECTION FOR UK PARTICIPANTS FOR THE GUIDEWIRE SOFTWARE, INC. 2020 STOCK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“Election”)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Note on the Election to Transfer Employer’s NICs</w:t>
      </w:r>
    </w:p>
    <w:p>
      <w:pPr>
        <w:spacing w:after="0" w:line="1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As a condition of your participation in the Guidewire Software, Inc. 2020 Stock Plan, you are required to enter into the Election to transfer to you any liability for employer National Insurance contributions (“Employer NICs”) that may arise in connection with your participation in the Plan.</w:t>
      </w:r>
    </w:p>
    <w:p>
      <w:pPr>
        <w:spacing w:after="0" w:line="14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By accepting your stock option award (the “Award”) (whether by signing the applicable award or by clicking on the “ACCEPT” box as part of the Company’s online acceptance procedures) or by separately accepting the Election (whether in hard copy or by clicking on the “ACCEPT” box), you indicate your acceptance to transfer Employer’s NICs and to be bound by the terms of the Election. You should read this important note and the Election in their entirety before accepting the applicable award agreement and the Election. Please print and keep a copy of the Election for your records.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entering into the Election:</w:t>
      </w:r>
    </w:p>
    <w:p>
      <w:pPr>
        <w:spacing w:after="0" w:line="165" w:lineRule="exact"/>
        <w:rPr>
          <w:sz w:val="20"/>
          <w:szCs w:val="20"/>
          <w:color w:val="auto"/>
        </w:rPr>
      </w:pPr>
    </w:p>
    <w:p>
      <w:pPr>
        <w:ind w:left="500" w:hanging="240"/>
        <w:spacing w:after="0"/>
        <w:tabs>
          <w:tab w:leader="none" w:pos="5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agree that any Employer’s NICs liability that may arise in connection with your participation in the Plan will be transferred to you;</w:t>
      </w:r>
    </w:p>
    <w:p>
      <w:pPr>
        <w:spacing w:after="0" w:line="186" w:lineRule="exact"/>
        <w:rPr>
          <w:rFonts w:ascii="Times New Roman" w:cs="Times New Roman" w:eastAsia="Times New Roman" w:hAnsi="Times New Roman"/>
          <w:sz w:val="17"/>
          <w:szCs w:val="17"/>
          <w:color w:val="auto"/>
        </w:rPr>
      </w:pPr>
    </w:p>
    <w:p>
      <w:pPr>
        <w:ind w:left="520" w:hanging="260"/>
        <w:spacing w:after="0" w:line="238" w:lineRule="auto"/>
        <w:tabs>
          <w:tab w:leader="none" w:pos="5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authorise your employer to recover an amount sufficient to cover this liability by such methods as set forth in Paragraph 6 of the Option Agreement including, but not limited to, deductions from your salary or other payments due or the sale of sufficient shares acquired pursuant to your Awards; and</w:t>
      </w:r>
    </w:p>
    <w:p>
      <w:pPr>
        <w:spacing w:after="0" w:line="164" w:lineRule="exact"/>
        <w:rPr>
          <w:rFonts w:ascii="Times New Roman" w:cs="Times New Roman" w:eastAsia="Times New Roman" w:hAnsi="Times New Roman"/>
          <w:sz w:val="17"/>
          <w:szCs w:val="17"/>
          <w:color w:val="auto"/>
        </w:rPr>
      </w:pPr>
    </w:p>
    <w:p>
      <w:pPr>
        <w:jc w:val="both"/>
        <w:ind w:left="520" w:hanging="260"/>
        <w:spacing w:after="0" w:line="228" w:lineRule="auto"/>
        <w:tabs>
          <w:tab w:leader="none" w:pos="51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understand that by providing your signature or acceptance and thereby enrolling into the Plan, you are agreeing to be bound by the terms of the Joint Election.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and keep a copy of the Election for your records.</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3"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7"/>
          <w:szCs w:val="17"/>
          <w:b w:val="1"/>
          <w:bCs w:val="1"/>
          <w:color w:val="auto"/>
        </w:rPr>
        <w:t>Joint Election for Transfer of Liability for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Employer National Insurance Contributions to Employee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Election To Transfer the Employer’s National Insurance Liability to the Employee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Election is between:</w:t>
      </w:r>
    </w:p>
    <w:p>
      <w:pPr>
        <w:spacing w:after="0" w:line="161" w:lineRule="exact"/>
        <w:rPr>
          <w:sz w:val="20"/>
          <w:szCs w:val="20"/>
          <w:color w:val="auto"/>
        </w:rPr>
      </w:pPr>
    </w:p>
    <w:p>
      <w:pPr>
        <w:jc w:val="both"/>
        <w:ind w:left="520" w:hanging="515"/>
        <w:spacing w:after="0" w:line="230" w:lineRule="auto"/>
        <w:tabs>
          <w:tab w:leader="none" w:pos="5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 who has obtained authorised access to this Election (the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who is employed by one of the employing companies listed in the attached schedule (the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and who is eligible to receive stock options and/or restricted stock units (the “</w:t>
      </w: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17"/>
          <w:szCs w:val="17"/>
          <w:color w:val="auto"/>
        </w:rPr>
        <w:t>”) pursuant to the Guidewire Software, Inc. 2020 Stock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and</w:t>
      </w:r>
    </w:p>
    <w:p>
      <w:pPr>
        <w:spacing w:after="0" w:line="142" w:lineRule="exact"/>
        <w:rPr>
          <w:rFonts w:ascii="Times New Roman" w:cs="Times New Roman" w:eastAsia="Times New Roman" w:hAnsi="Times New Roman"/>
          <w:sz w:val="17"/>
          <w:szCs w:val="17"/>
          <w:color w:val="auto"/>
        </w:rPr>
      </w:pPr>
    </w:p>
    <w:p>
      <w:pPr>
        <w:ind w:left="520" w:hanging="515"/>
        <w:spacing w:after="0" w:line="238" w:lineRule="auto"/>
        <w:tabs>
          <w:tab w:leader="none" w:pos="5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Guidewire Software, Inc., a Delaware corporation, with registered offices at 2850 S. Delaware Street, Suite 100, San Mateo, CA 94403, U.S.A.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may grant Awards under the Plan and is entering into this Election on behalf of the Employer.</w:t>
      </w:r>
    </w:p>
    <w:p>
      <w:pPr>
        <w:spacing w:after="0" w:line="139" w:lineRule="exact"/>
        <w:rPr>
          <w:sz w:val="20"/>
          <w:szCs w:val="20"/>
          <w:color w:val="auto"/>
        </w:rPr>
      </w:pPr>
    </w:p>
    <w:p>
      <w:pPr>
        <w:ind w:left="520" w:hanging="515"/>
        <w:spacing w:after="0"/>
        <w:tabs>
          <w:tab w:leader="none" w:pos="5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16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under the Plan up to the termination date of the Plan.</w:t>
      </w:r>
    </w:p>
    <w:p>
      <w:pPr>
        <w:spacing w:after="0" w:line="16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161" w:lineRule="exact"/>
        <w:rPr>
          <w:sz w:val="20"/>
          <w:szCs w:val="20"/>
          <w:color w:val="auto"/>
        </w:rPr>
      </w:pPr>
    </w:p>
    <w:p>
      <w:pPr>
        <w:ind w:left="760" w:hanging="246"/>
        <w:spacing w:after="0"/>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Chargeable Event</w:t>
      </w:r>
      <w:r>
        <w:rPr>
          <w:rFonts w:ascii="Times New Roman" w:cs="Times New Roman" w:eastAsia="Times New Roman" w:hAnsi="Times New Roman"/>
          <w:sz w:val="17"/>
          <w:szCs w:val="17"/>
          <w:color w:val="auto"/>
        </w:rPr>
        <w:t>” means any event giving rise to Relevant Employment Income.</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ITEPA</w:t>
      </w:r>
      <w:r>
        <w:rPr>
          <w:rFonts w:ascii="Times New Roman" w:cs="Times New Roman" w:eastAsia="Times New Roman" w:hAnsi="Times New Roman"/>
          <w:sz w:val="17"/>
          <w:szCs w:val="17"/>
          <w:color w:val="auto"/>
        </w:rPr>
        <w:t>” means the Income Tax (Earnings and Pensions) Act 2003.</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Employment Income</w:t>
      </w:r>
      <w:r>
        <w:rPr>
          <w:rFonts w:ascii="Times New Roman" w:cs="Times New Roman" w:eastAsia="Times New Roman" w:hAnsi="Times New Roman"/>
          <w:sz w:val="17"/>
          <w:szCs w:val="17"/>
          <w:color w:val="auto"/>
        </w:rPr>
        <w:t>” from Awards on which Employer's National Insurance Contributions becomes due is defined as:</w:t>
      </w:r>
    </w:p>
    <w:p>
      <w:pPr>
        <w:spacing w:after="0" w:line="169" w:lineRule="exact"/>
        <w:rPr>
          <w:rFonts w:ascii="Times New Roman" w:cs="Times New Roman" w:eastAsia="Times New Roman" w:hAnsi="Times New Roman"/>
          <w:sz w:val="17"/>
          <w:szCs w:val="17"/>
          <w:color w:val="auto"/>
        </w:rPr>
      </w:pPr>
    </w:p>
    <w:p>
      <w:pPr>
        <w:ind w:left="1160" w:hanging="264"/>
        <w:spacing w:after="0" w:line="237" w:lineRule="auto"/>
        <w:tabs>
          <w:tab w:leader="none" w:pos="1153" w:val="left"/>
        </w:tabs>
        <w:numPr>
          <w:ilvl w:val="1"/>
          <w:numId w:val="50"/>
        </w:numPr>
        <w:rPr>
          <w:rFonts w:ascii="Calibri" w:cs="Calibri" w:eastAsia="Calibri" w:hAnsi="Calibri"/>
          <w:sz w:val="17"/>
          <w:szCs w:val="17"/>
          <w:color w:val="auto"/>
        </w:rPr>
      </w:pPr>
      <w:r>
        <w:rPr>
          <w:rFonts w:ascii="Times New Roman" w:cs="Times New Roman" w:eastAsia="Times New Roman" w:hAnsi="Times New Roman"/>
          <w:sz w:val="17"/>
          <w:szCs w:val="17"/>
          <w:color w:val="auto"/>
        </w:rPr>
        <w:t>an amount that counts as employment income of the earner under section 426 ITEPA (restricted securities: charge on certain post-acquisition events);</w:t>
      </w:r>
    </w:p>
    <w:p>
      <w:pPr>
        <w:spacing w:after="0" w:line="143" w:lineRule="exact"/>
        <w:rPr>
          <w:rFonts w:ascii="Calibri" w:cs="Calibri" w:eastAsia="Calibri" w:hAnsi="Calibri"/>
          <w:sz w:val="17"/>
          <w:szCs w:val="17"/>
          <w:color w:val="auto"/>
        </w:rPr>
      </w:pPr>
    </w:p>
    <w:p>
      <w:pPr>
        <w:ind w:left="1160" w:hanging="264"/>
        <w:spacing w:after="0" w:line="237" w:lineRule="auto"/>
        <w:tabs>
          <w:tab w:leader="none" w:pos="1150" w:val="left"/>
        </w:tabs>
        <w:numPr>
          <w:ilvl w:val="1"/>
          <w:numId w:val="50"/>
        </w:numPr>
        <w:rPr>
          <w:rFonts w:ascii="Calibri" w:cs="Calibri" w:eastAsia="Calibri" w:hAnsi="Calibri"/>
          <w:sz w:val="17"/>
          <w:szCs w:val="17"/>
          <w:color w:val="auto"/>
        </w:rPr>
      </w:pPr>
      <w:r>
        <w:rPr>
          <w:rFonts w:ascii="Times New Roman" w:cs="Times New Roman" w:eastAsia="Times New Roman" w:hAnsi="Times New Roman"/>
          <w:sz w:val="17"/>
          <w:szCs w:val="17"/>
          <w:color w:val="auto"/>
        </w:rPr>
        <w:t>an amount that counts as employment income of the earner under section 438 of ITEPA (convertible securities: charge on certain post-acquisition events); or</w:t>
      </w:r>
    </w:p>
    <w:p>
      <w:pPr>
        <w:spacing w:after="0" w:line="143" w:lineRule="exact"/>
        <w:rPr>
          <w:rFonts w:ascii="Calibri" w:cs="Calibri" w:eastAsia="Calibri" w:hAnsi="Calibri"/>
          <w:sz w:val="17"/>
          <w:szCs w:val="17"/>
          <w:color w:val="auto"/>
        </w:rPr>
      </w:pPr>
    </w:p>
    <w:p>
      <w:pPr>
        <w:ind w:left="1160" w:right="340" w:hanging="264"/>
        <w:spacing w:after="0" w:line="435" w:lineRule="auto"/>
        <w:tabs>
          <w:tab w:leader="none" w:pos="1157" w:val="left"/>
        </w:tabs>
        <w:numPr>
          <w:ilvl w:val="1"/>
          <w:numId w:val="50"/>
        </w:numPr>
        <w:rPr>
          <w:rFonts w:ascii="Calibri" w:cs="Calibri" w:eastAsia="Calibri" w:hAnsi="Calibri"/>
          <w:sz w:val="17"/>
          <w:szCs w:val="17"/>
          <w:color w:val="auto"/>
        </w:rPr>
      </w:pPr>
      <w:r>
        <w:rPr>
          <w:rFonts w:ascii="Times New Roman" w:cs="Times New Roman" w:eastAsia="Times New Roman" w:hAnsi="Times New Roman"/>
          <w:sz w:val="17"/>
          <w:szCs w:val="17"/>
          <w:color w:val="auto"/>
        </w:rPr>
        <w:t>any gain that is treated as remuneration derived from the earner's employment by virtue of section 4(4)(a) SSCBA, including without limitation: (A)the acquisition of securities pursuant to the Awards (within the meaning of section 477(3)(a) of ITEPA);</w:t>
      </w:r>
    </w:p>
    <w:p>
      <w:pPr>
        <w:spacing w:after="0" w:line="1"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Times New Roman" w:cs="Times New Roman" w:eastAsia="Times New Roman" w:hAnsi="Times New Roman"/>
          <w:sz w:val="17"/>
          <w:szCs w:val="17"/>
          <w:color w:val="auto"/>
        </w:rPr>
        <w:t>(B)the assignment (if applicable) or release of the Awards in return for consideration (within the meaning of section 477(3)(b) of ITEPA);</w:t>
      </w:r>
    </w:p>
    <w:p>
      <w:pPr>
        <w:spacing w:after="0" w:line="165" w:lineRule="exact"/>
        <w:rPr>
          <w:rFonts w:ascii="Calibri" w:cs="Calibri" w:eastAsia="Calibri" w:hAnsi="Calibri"/>
          <w:sz w:val="17"/>
          <w:szCs w:val="17"/>
          <w:color w:val="auto"/>
        </w:rPr>
      </w:pPr>
    </w:p>
    <w:p>
      <w:pPr>
        <w:ind w:left="1400" w:hanging="255"/>
        <w:spacing w:after="0" w:line="238" w:lineRule="auto"/>
        <w:rPr>
          <w:rFonts w:ascii="Calibri" w:cs="Calibri" w:eastAsia="Calibri" w:hAnsi="Calibri"/>
          <w:sz w:val="17"/>
          <w:szCs w:val="17"/>
          <w:color w:val="auto"/>
        </w:rPr>
      </w:pPr>
      <w:r>
        <w:rPr>
          <w:rFonts w:ascii="Times New Roman" w:cs="Times New Roman" w:eastAsia="Times New Roman" w:hAnsi="Times New Roman"/>
          <w:sz w:val="17"/>
          <w:szCs w:val="17"/>
          <w:color w:val="auto"/>
        </w:rPr>
        <w:t>(C)the receipt of a benefit in connection with the Awards, other than a benefit within (i) or (ii) above (within the meaning of section 477(3)(c) of ITEPA).</w:t>
      </w:r>
    </w:p>
    <w:p>
      <w:pPr>
        <w:spacing w:after="0" w:line="142" w:lineRule="exact"/>
        <w:rPr>
          <w:rFonts w:ascii="Calibri" w:cs="Calibri" w:eastAsia="Calibri" w:hAnsi="Calibri"/>
          <w:sz w:val="17"/>
          <w:szCs w:val="17"/>
          <w:color w:val="auto"/>
        </w:rPr>
      </w:pPr>
    </w:p>
    <w:p>
      <w:pPr>
        <w:ind w:left="760" w:hanging="246"/>
        <w:spacing w:after="0"/>
        <w:tabs>
          <w:tab w:leader="none" w:pos="7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“SSCBA” means the Social Security Contributions and Benefits Act 1992.</w:t>
      </w:r>
    </w:p>
    <w:p>
      <w:pPr>
        <w:spacing w:after="0" w:line="165" w:lineRule="exact"/>
        <w:rPr>
          <w:sz w:val="20"/>
          <w:szCs w:val="20"/>
          <w:color w:val="auto"/>
        </w:rPr>
      </w:pPr>
    </w:p>
    <w:p>
      <w:pPr>
        <w:ind w:left="520" w:hanging="508"/>
        <w:spacing w:after="0" w:line="238" w:lineRule="auto"/>
        <w:tabs>
          <w:tab w:leader="none" w:pos="5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This Election relates to the Employer’s secondary Class 1 National Insurance Contributions (the “Employer’s Liability”) which may arise in respect of Relevant</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3" w:right="319" w:bottom="1440" w:gutter="0" w:footer="0" w:header="0"/>
        </w:sectPr>
      </w:pPr>
    </w:p>
    <w:bookmarkStart w:id="143" w:name="page144"/>
    <w:bookmarkEnd w:id="143"/>
    <w:p>
      <w:pPr>
        <w:ind w:left="520"/>
        <w:spacing w:after="0"/>
        <w:rPr>
          <w:sz w:val="20"/>
          <w:szCs w:val="20"/>
          <w:color w:val="auto"/>
        </w:rPr>
      </w:pPr>
      <w:r>
        <w:rPr>
          <w:rFonts w:ascii="Times New Roman" w:cs="Times New Roman" w:eastAsia="Times New Roman" w:hAnsi="Times New Roman"/>
          <w:sz w:val="17"/>
          <w:szCs w:val="17"/>
          <w:color w:val="auto"/>
        </w:rPr>
        <w:t>Employment Income in respect of the Awards pursuant to section 4(4)(a) and/or paragraph 3B(1A) of Schedule 1 of the SSCBA.</w:t>
      </w:r>
    </w:p>
    <w:p>
      <w:pPr>
        <w:spacing w:after="0" w:line="165" w:lineRule="exact"/>
        <w:rPr>
          <w:sz w:val="20"/>
          <w:szCs w:val="20"/>
          <w:color w:val="auto"/>
        </w:rPr>
      </w:pPr>
    </w:p>
    <w:p>
      <w:pPr>
        <w:ind w:left="520" w:hanging="508"/>
        <w:spacing w:after="0" w:line="238" w:lineRule="auto"/>
        <w:tabs>
          <w:tab w:leader="none" w:pos="50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7"/>
          <w:szCs w:val="17"/>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43" w:lineRule="exact"/>
        <w:rPr>
          <w:sz w:val="20"/>
          <w:szCs w:val="20"/>
          <w:color w:val="auto"/>
        </w:rPr>
      </w:pPr>
    </w:p>
    <w:p>
      <w:pPr>
        <w:ind w:left="520" w:hanging="508"/>
        <w:spacing w:after="0" w:line="238" w:lineRule="auto"/>
        <w:tabs>
          <w:tab w:leader="none" w:pos="500" w:val="left"/>
        </w:tabs>
        <w:rPr>
          <w:sz w:val="20"/>
          <w:szCs w:val="20"/>
          <w:color w:val="auto"/>
        </w:rPr>
      </w:pPr>
      <w:r>
        <w:rPr>
          <w:rFonts w:ascii="Times New Roman" w:cs="Times New Roman" w:eastAsia="Times New Roman" w:hAnsi="Times New Roman"/>
          <w:sz w:val="17"/>
          <w:szCs w:val="17"/>
          <w:color w:val="auto"/>
        </w:rPr>
        <w:t>1.5</w:t>
      </w:r>
      <w:r>
        <w:rPr>
          <w:sz w:val="20"/>
          <w:szCs w:val="20"/>
          <w:color w:val="auto"/>
        </w:rPr>
        <w:tab/>
      </w:r>
      <w:r>
        <w:rPr>
          <w:rFonts w:ascii="Times New Roman" w:cs="Times New Roman" w:eastAsia="Times New Roman" w:hAnsi="Times New Roman"/>
          <w:sz w:val="17"/>
          <w:szCs w:val="17"/>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39" w:lineRule="exact"/>
        <w:rPr>
          <w:sz w:val="20"/>
          <w:szCs w:val="20"/>
          <w:color w:val="auto"/>
        </w:rPr>
      </w:pPr>
    </w:p>
    <w:p>
      <w:pPr>
        <w:ind w:left="520" w:hanging="515"/>
        <w:spacing w:after="0"/>
        <w:tabs>
          <w:tab w:leader="none" w:pos="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Election</w:t>
      </w:r>
    </w:p>
    <w:p>
      <w:pPr>
        <w:spacing w:after="0" w:line="169" w:lineRule="exact"/>
        <w:rPr>
          <w:rFonts w:ascii="Times New Roman" w:cs="Times New Roman" w:eastAsia="Times New Roman" w:hAnsi="Times New Roman"/>
          <w:sz w:val="17"/>
          <w:szCs w:val="17"/>
          <w:color w:val="auto"/>
        </w:rPr>
      </w:pPr>
    </w:p>
    <w:p>
      <w:pPr>
        <w:jc w:val="both"/>
        <w:ind w:left="520"/>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and the Company jointly elect that the entire liability of the Employer to pay the Employer’s Liability that arises on any Relevant Employment Income is hereby transferred to the Employee. The Employee understands that, by signing or electronically accepting this Election (including by electronic signature process) or by accepting the Awards (including by electronic signature or acceptance process if made available by the Company), as applicable, he or she will become personally liable for the Employer’s Liability covered by this Election. This Election is made in accordance with paragraph 3B(1) of Schedule 1 of the SSCBA.</w:t>
      </w:r>
    </w:p>
    <w:p>
      <w:pPr>
        <w:spacing w:after="0" w:line="139"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 of the Employer’s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The Employee hereby authorises the Company and/or the Employer to collect the Employer’s Liability in respect of any Relevant Employment Income from the</w:t>
      </w:r>
    </w:p>
    <w:p>
      <w:pPr>
        <w:ind w:left="520"/>
        <w:spacing w:after="0"/>
        <w:rPr>
          <w:sz w:val="20"/>
          <w:szCs w:val="20"/>
          <w:color w:val="auto"/>
        </w:rPr>
      </w:pPr>
      <w:r>
        <w:rPr>
          <w:rFonts w:ascii="Times New Roman" w:cs="Times New Roman" w:eastAsia="Times New Roman" w:hAnsi="Times New Roman"/>
          <w:sz w:val="17"/>
          <w:szCs w:val="17"/>
          <w:color w:val="auto"/>
        </w:rPr>
        <w:t>Employee at any time after the Chargeable Event:</w:t>
      </w:r>
    </w:p>
    <w:p>
      <w:pPr>
        <w:spacing w:after="0" w:line="147" w:lineRule="exact"/>
        <w:rPr>
          <w:sz w:val="20"/>
          <w:szCs w:val="20"/>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deduction from salary or any other payment payable to the Employee at any time on or after the date of the Chargeable Event; and/or</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from the Employee by payment in cash or cleared funds; and/or</w:t>
      </w:r>
    </w:p>
    <w:p>
      <w:pPr>
        <w:spacing w:after="0" w:line="165" w:lineRule="exact"/>
        <w:rPr>
          <w:rFonts w:ascii="Times New Roman" w:cs="Times New Roman" w:eastAsia="Times New Roman" w:hAnsi="Times New Roman"/>
          <w:sz w:val="17"/>
          <w:szCs w:val="17"/>
          <w:color w:val="auto"/>
        </w:rPr>
      </w:pPr>
    </w:p>
    <w:p>
      <w:pPr>
        <w:jc w:val="both"/>
        <w:ind w:left="760" w:hanging="246"/>
        <w:spacing w:after="0" w:line="228" w:lineRule="auto"/>
        <w:tabs>
          <w:tab w:leader="none" w:pos="75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arranging, on behalf of the Employee, for the sale of some of the securities which the Employee is entitled to receive in respect of the Awards, the proceeds from which must be delivered to the Employer in sufficient time for payment to be made to HM Revenue &amp; Customs (“HMRC”) by the due date; and/or</w:t>
      </w:r>
    </w:p>
    <w:p>
      <w:pPr>
        <w:spacing w:after="0" w:line="143"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other means specified in the applicable Award agreement entered into between the Employee and the Company.</w:t>
      </w:r>
    </w:p>
    <w:p>
      <w:pPr>
        <w:spacing w:after="0" w:line="165" w:lineRule="exact"/>
        <w:rPr>
          <w:sz w:val="20"/>
          <w:szCs w:val="20"/>
          <w:color w:val="auto"/>
        </w:rPr>
      </w:pPr>
    </w:p>
    <w:p>
      <w:pPr>
        <w:jc w:val="both"/>
        <w:ind w:left="400" w:hanging="508"/>
        <w:spacing w:after="0" w:line="238" w:lineRule="auto"/>
        <w:tabs>
          <w:tab w:leader="none" w:pos="380" w:val="left"/>
        </w:tabs>
        <w:rPr>
          <w:sz w:val="20"/>
          <w:szCs w:val="20"/>
          <w:color w:val="auto"/>
        </w:rPr>
      </w:pPr>
      <w:r>
        <w:rPr>
          <w:rFonts w:ascii="Times New Roman" w:cs="Times New Roman" w:eastAsia="Times New Roman" w:hAnsi="Times New Roman"/>
          <w:sz w:val="17"/>
          <w:szCs w:val="17"/>
          <w:color w:val="auto"/>
        </w:rPr>
        <w:t>3.2</w:t>
        <w:tab/>
        <w:t>The Company hereby reserves for itself and the Employer the right to withhold the transfer of any securities to the Employee in respect of the Awards until full payment of the Employer’s Liability is received.</w:t>
      </w:r>
    </w:p>
    <w:p>
      <w:pPr>
        <w:spacing w:after="0" w:line="143" w:lineRule="exact"/>
        <w:rPr>
          <w:sz w:val="20"/>
          <w:szCs w:val="20"/>
          <w:color w:val="auto"/>
        </w:rPr>
      </w:pPr>
    </w:p>
    <w:p>
      <w:pPr>
        <w:jc w:val="both"/>
        <w:ind w:left="520" w:hanging="508"/>
        <w:spacing w:after="0" w:line="228" w:lineRule="auto"/>
        <w:rPr>
          <w:sz w:val="20"/>
          <w:szCs w:val="20"/>
          <w:color w:val="auto"/>
        </w:rPr>
      </w:pPr>
      <w:r>
        <w:rPr>
          <w:rFonts w:ascii="Times New Roman" w:cs="Times New Roman" w:eastAsia="Times New Roman" w:hAnsi="Times New Roman"/>
          <w:sz w:val="17"/>
          <w:szCs w:val="17"/>
          <w:color w:val="auto"/>
        </w:rPr>
        <w:t>3.3 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39" w:lineRule="exact"/>
        <w:rPr>
          <w:sz w:val="20"/>
          <w:szCs w:val="20"/>
          <w:color w:val="auto"/>
        </w:rPr>
      </w:pPr>
    </w:p>
    <w:p>
      <w:pPr>
        <w:ind w:left="520" w:hanging="515"/>
        <w:spacing w:after="0"/>
        <w:tabs>
          <w:tab w:leader="none" w:pos="5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Duration of Election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6" w:right="319" w:bottom="1440" w:gutter="0" w:footer="0" w:header="0"/>
        </w:sectPr>
      </w:pPr>
    </w:p>
    <w:bookmarkStart w:id="144" w:name="page145"/>
    <w:bookmarkEnd w:id="144"/>
    <w:p>
      <w:pPr>
        <w:jc w:val="both"/>
        <w:ind w:left="380" w:hanging="508"/>
        <w:spacing w:after="0" w:line="238" w:lineRule="auto"/>
        <w:tabs>
          <w:tab w:leader="none" w:pos="360" w:val="left"/>
        </w:tabs>
        <w:rPr>
          <w:sz w:val="20"/>
          <w:szCs w:val="20"/>
          <w:color w:val="auto"/>
        </w:rPr>
      </w:pPr>
      <w:r>
        <w:rPr>
          <w:rFonts w:ascii="Times New Roman" w:cs="Times New Roman" w:eastAsia="Times New Roman" w:hAnsi="Times New Roman"/>
          <w:sz w:val="17"/>
          <w:szCs w:val="17"/>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43" w:lineRule="exact"/>
        <w:rPr>
          <w:sz w:val="20"/>
          <w:szCs w:val="20"/>
          <w:color w:val="auto"/>
        </w:rPr>
      </w:pPr>
    </w:p>
    <w:p>
      <w:pPr>
        <w:jc w:val="both"/>
        <w:ind w:left="460" w:hanging="508"/>
        <w:spacing w:after="0" w:line="228" w:lineRule="auto"/>
        <w:tabs>
          <w:tab w:leader="none" w:pos="440" w:val="left"/>
        </w:tabs>
        <w:rPr>
          <w:sz w:val="20"/>
          <w:szCs w:val="20"/>
          <w:color w:val="auto"/>
        </w:rPr>
      </w:pPr>
      <w:r>
        <w:rPr>
          <w:rFonts w:ascii="Times New Roman" w:cs="Times New Roman" w:eastAsia="Times New Roman" w:hAnsi="Times New Roman"/>
          <w:sz w:val="17"/>
          <w:szCs w:val="17"/>
          <w:color w:val="auto"/>
        </w:rPr>
        <w:t>4.2</w:t>
        <w:tab/>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165" w:lineRule="exact"/>
        <w:rPr>
          <w:sz w:val="20"/>
          <w:szCs w:val="20"/>
          <w:color w:val="auto"/>
        </w:rPr>
      </w:pPr>
    </w:p>
    <w:p>
      <w:pPr>
        <w:ind w:left="760" w:hanging="246"/>
        <w:spacing w:after="0"/>
        <w:tabs>
          <w:tab w:leader="none" w:pos="7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Employee and the Company agree in writing that it should cease to have effect;</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Company serves written notice on the Employee terminating its effect;</w:t>
      </w:r>
    </w:p>
    <w:p>
      <w:pPr>
        <w:spacing w:after="0" w:line="165"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HMRC withdraws approval of this Election; or</w:t>
      </w:r>
    </w:p>
    <w:p>
      <w:pPr>
        <w:spacing w:after="0" w:line="165" w:lineRule="exact"/>
        <w:rPr>
          <w:rFonts w:ascii="Times New Roman" w:cs="Times New Roman" w:eastAsia="Times New Roman" w:hAnsi="Times New Roman"/>
          <w:sz w:val="17"/>
          <w:szCs w:val="17"/>
          <w:color w:val="auto"/>
        </w:rPr>
      </w:pPr>
    </w:p>
    <w:p>
      <w:pPr>
        <w:ind w:left="760" w:hanging="246"/>
        <w:spacing w:after="0" w:line="238" w:lineRule="auto"/>
        <w:tabs>
          <w:tab w:leader="none" w:pos="75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1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Acceptance by the Employee</w:t>
      </w:r>
    </w:p>
    <w:p>
      <w:pPr>
        <w:spacing w:after="0" w:line="16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7"/>
          <w:szCs w:val="17"/>
          <w:b w:val="1"/>
          <w:bCs w:val="1"/>
          <w:color w:val="auto"/>
        </w:rPr>
        <w:t>The Employee acknowledges that, by electronically accepting or signing this Election (including by electronic signature process) or by accepting the Awards (including by electronic signature process if made available by the Company), the Employee agrees to be bound by the terms of this Election.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rPr>
          <w:sz w:val="20"/>
          <w:szCs w:val="20"/>
          <w:color w:val="auto"/>
        </w:rPr>
      </w:pPr>
      <w:r>
        <w:rPr>
          <w:rFonts w:ascii="Times New Roman" w:cs="Times New Roman" w:eastAsia="Times New Roman" w:hAnsi="Times New Roman"/>
          <w:sz w:val="17"/>
          <w:szCs w:val="17"/>
          <w:color w:val="auto"/>
        </w:rPr>
        <w:t>Signature (Employee) Date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Acceptance by the Company</w:t>
      </w:r>
    </w:p>
    <w:p>
      <w:pPr>
        <w:spacing w:after="0" w:line="165" w:lineRule="exact"/>
        <w:rPr>
          <w:sz w:val="20"/>
          <w:szCs w:val="20"/>
          <w:color w:val="auto"/>
        </w:rPr>
      </w:pPr>
    </w:p>
    <w:p>
      <w:pPr>
        <w:ind w:right="740"/>
        <w:spacing w:after="0" w:line="242" w:lineRule="auto"/>
        <w:rPr>
          <w:sz w:val="20"/>
          <w:szCs w:val="20"/>
          <w:color w:val="auto"/>
        </w:rPr>
      </w:pPr>
      <w:r>
        <w:rPr>
          <w:rFonts w:ascii="Times New Roman" w:cs="Times New Roman" w:eastAsia="Times New Roman" w:hAnsi="Times New Roman"/>
          <w:sz w:val="17"/>
          <w:szCs w:val="17"/>
          <w:b w:val="1"/>
          <w:bCs w:val="1"/>
          <w:color w:val="auto"/>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Signature for and on</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____________________</w:t>
            </w:r>
          </w:p>
        </w:tc>
        <w:tc>
          <w:tcPr>
            <w:tcW w:w="0" w:type="dxa"/>
            <w:vAlign w:val="bottom"/>
          </w:tcPr>
          <w:p>
            <w:pPr>
              <w:spacing w:after="0"/>
              <w:rPr>
                <w:sz w:val="1"/>
                <w:szCs w:val="1"/>
                <w:color w:val="auto"/>
              </w:rPr>
            </w:pPr>
          </w:p>
        </w:tc>
      </w:tr>
      <w:tr>
        <w:trPr>
          <w:trHeight w:val="219"/>
        </w:trPr>
        <w:tc>
          <w:tcPr>
            <w:tcW w:w="1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behalf of the Company</w:t>
            </w:r>
          </w:p>
        </w:tc>
        <w:tc>
          <w:tcPr>
            <w:tcW w:w="1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Position</w:t>
            </w:r>
          </w:p>
        </w:tc>
        <w:tc>
          <w:tcPr>
            <w:tcW w:w="2980" w:type="dxa"/>
            <w:vAlign w:val="bottom"/>
            <w:gridSpan w:val="2"/>
          </w:tcPr>
          <w:p>
            <w:pPr>
              <w:jc w:val="right"/>
              <w:ind w:right="915"/>
              <w:spacing w:after="0"/>
              <w:rPr>
                <w:sz w:val="20"/>
                <w:szCs w:val="20"/>
                <w:color w:val="auto"/>
              </w:rPr>
            </w:pPr>
            <w:r>
              <w:rPr>
                <w:rFonts w:ascii="Times New Roman" w:cs="Times New Roman" w:eastAsia="Times New Roman" w:hAnsi="Times New Roman"/>
                <w:sz w:val="17"/>
                <w:szCs w:val="17"/>
                <w:color w:val="auto"/>
              </w:rPr>
              <w:t>____________________</w:t>
            </w:r>
          </w:p>
        </w:tc>
        <w:tc>
          <w:tcPr>
            <w:tcW w:w="0" w:type="dxa"/>
            <w:vAlign w:val="bottom"/>
          </w:tcPr>
          <w:p>
            <w:pPr>
              <w:spacing w:after="0"/>
              <w:rPr>
                <w:sz w:val="1"/>
                <w:szCs w:val="1"/>
                <w:color w:val="auto"/>
              </w:rPr>
            </w:pPr>
          </w:p>
        </w:tc>
      </w:tr>
      <w:tr>
        <w:trPr>
          <w:trHeight w:val="361"/>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980" w:type="dxa"/>
            <w:vAlign w:val="bottom"/>
            <w:gridSpan w:val="2"/>
          </w:tcPr>
          <w:p>
            <w:pPr>
              <w:jc w:val="right"/>
              <w:ind w:right="1155"/>
              <w:spacing w:after="0"/>
              <w:rPr>
                <w:sz w:val="20"/>
                <w:szCs w:val="20"/>
                <w:color w:val="auto"/>
              </w:rPr>
            </w:pPr>
            <w:r>
              <w:rPr>
                <w:rFonts w:ascii="Times New Roman" w:cs="Times New Roman" w:eastAsia="Times New Roman" w:hAnsi="Times New Roman"/>
                <w:sz w:val="17"/>
                <w:szCs w:val="17"/>
                <w:color w:val="auto"/>
              </w:rPr>
              <w:t>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280"/>
          </w:cols>
          <w:pgMar w:left="300" w:top="1127" w:right="319"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734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Schedule of Employer Companies</w:t>
            </w:r>
          </w:p>
        </w:tc>
      </w:tr>
      <w:tr>
        <w:trPr>
          <w:trHeight w:val="361"/>
        </w:trPr>
        <w:tc>
          <w:tcPr>
            <w:tcW w:w="1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employing companies to which this Election relates include:</w:t>
            </w:r>
          </w:p>
        </w:tc>
      </w:tr>
      <w:tr>
        <w:trPr>
          <w:trHeight w:val="194"/>
        </w:trPr>
        <w:tc>
          <w:tcPr>
            <w:tcW w:w="396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tcPr>
          <w:p>
            <w:pPr>
              <w:spacing w:after="0"/>
              <w:rPr>
                <w:sz w:val="16"/>
                <w:szCs w:val="16"/>
                <w:color w:val="auto"/>
              </w:rPr>
            </w:pPr>
          </w:p>
        </w:tc>
      </w:tr>
      <w:tr>
        <w:trPr>
          <w:trHeight w:val="203"/>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Name</w:t>
            </w:r>
          </w:p>
        </w:tc>
        <w:tc>
          <w:tcPr>
            <w:tcW w:w="7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Guidewire Software (UK) Ltd</w:t>
            </w:r>
            <w:r>
              <w:rPr>
                <w:rFonts w:ascii="Times New Roman" w:cs="Times New Roman" w:eastAsia="Times New Roman" w:hAnsi="Times New Roman"/>
                <w:sz w:val="17"/>
                <w:szCs w:val="17"/>
                <w:color w:val="auto"/>
              </w:rPr>
              <w:t>.</w:t>
            </w:r>
          </w:p>
        </w:tc>
      </w:tr>
      <w:tr>
        <w:trPr>
          <w:trHeight w:val="150"/>
        </w:trPr>
        <w:tc>
          <w:tcPr>
            <w:tcW w:w="3960" w:type="dxa"/>
            <w:vAlign w:val="bottom"/>
            <w:tcBorders>
              <w:left w:val="single" w:sz="8" w:color="auto"/>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color w:val="auto"/>
              </w:rPr>
              <w:t>Registered Office:</w:t>
            </w:r>
          </w:p>
        </w:tc>
        <w:tc>
          <w:tcPr>
            <w:tcW w:w="7340" w:type="dxa"/>
            <w:vAlign w:val="bottom"/>
            <w:tcBorders>
              <w:right w:val="single" w:sz="8" w:color="auto"/>
            </w:tcBorders>
          </w:tcPr>
          <w:p>
            <w:pPr>
              <w:ind w:left="40"/>
              <w:spacing w:after="0" w:line="150" w:lineRule="exact"/>
              <w:rPr>
                <w:sz w:val="20"/>
                <w:szCs w:val="20"/>
                <w:color w:val="auto"/>
              </w:rPr>
            </w:pPr>
            <w:r>
              <w:rPr>
                <w:rFonts w:ascii="Times New Roman" w:cs="Times New Roman" w:eastAsia="Times New Roman" w:hAnsi="Times New Roman"/>
                <w:sz w:val="17"/>
                <w:szCs w:val="17"/>
                <w:color w:val="auto"/>
              </w:rPr>
              <w:t>4th Floor, 9 Cloak Lane</w:t>
            </w:r>
          </w:p>
        </w:tc>
      </w:tr>
      <w:tr>
        <w:trPr>
          <w:trHeight w:val="221"/>
        </w:trPr>
        <w:tc>
          <w:tcPr>
            <w:tcW w:w="3960" w:type="dxa"/>
            <w:vAlign w:val="bottom"/>
            <w:tcBorders>
              <w:left w:val="single" w:sz="8" w:color="auto"/>
              <w:bottom w:val="single" w:sz="8" w:color="auto"/>
              <w:right w:val="single" w:sz="8" w:color="auto"/>
            </w:tcBorders>
          </w:tcPr>
          <w:p>
            <w:pPr>
              <w:spacing w:after="0"/>
              <w:rPr>
                <w:sz w:val="19"/>
                <w:szCs w:val="19"/>
                <w:color w:val="auto"/>
              </w:rPr>
            </w:pPr>
          </w:p>
        </w:tc>
        <w:tc>
          <w:tcPr>
            <w:tcW w:w="7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London EC4R 2RU, U.K.</w:t>
            </w:r>
          </w:p>
        </w:tc>
      </w:tr>
      <w:tr>
        <w:trPr>
          <w:trHeight w:val="204"/>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Company Registration Number:</w:t>
            </w:r>
          </w:p>
        </w:tc>
        <w:tc>
          <w:tcPr>
            <w:tcW w:w="7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05427894</w:t>
            </w:r>
          </w:p>
        </w:tc>
      </w:tr>
      <w:tr>
        <w:trPr>
          <w:trHeight w:val="203"/>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Corporation Tax Reference:</w:t>
            </w:r>
          </w:p>
        </w:tc>
        <w:tc>
          <w:tcPr>
            <w:tcW w:w="7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18293 29999</w:t>
            </w:r>
          </w:p>
        </w:tc>
      </w:tr>
      <w:tr>
        <w:trPr>
          <w:trHeight w:val="203"/>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PAYE Reference:</w:t>
            </w:r>
          </w:p>
        </w:tc>
        <w:tc>
          <w:tcPr>
            <w:tcW w:w="73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951 / BZ75816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ACTIVE/103046236.5</w:t>
      </w:r>
    </w:p>
    <w:p>
      <w:pPr>
        <w:sectPr>
          <w:pgSz w:w="11900" w:h="16838" w:orient="portrait"/>
          <w:cols w:equalWidth="0" w:num="1">
            <w:col w:w="11300"/>
          </w:cols>
          <w:pgMar w:left="300" w:top="1123" w:right="2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72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r>
      <w:tr>
        <w:trPr>
          <w:trHeight w:val="20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Country or Jurisdiction</w:t>
            </w:r>
          </w:p>
        </w:tc>
      </w:tr>
      <w:tr>
        <w:trPr>
          <w:trHeight w:val="16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Pty Ltd.</w:t>
            </w:r>
          </w:p>
        </w:tc>
        <w:tc>
          <w:tcPr>
            <w:tcW w:w="2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Australia</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Servicios de Software Services do Brazil Ltda</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Canada ULC</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(Beijing) Co. Ltd.</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China</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Denmark ApS</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Denmark</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France S.A.S</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France</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GmbH</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Solutions India Private Limited</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(Ireland) Limited.</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Ireland</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(Italy) S.r.l.</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Italy</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Japan K.K.</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Japan</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(Malaysia) Sdn. BHD</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Malaysia</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Poland Sp. z o.o.</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Poland</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Spain, S.L.</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(Switzerland) GmbH</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Switzerland</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Software (UK) Limited</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Cyence LLC</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(Delaware)</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EagleEye Analytics, LLC</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(Delaware)</w:t>
            </w:r>
          </w:p>
        </w:tc>
      </w:tr>
      <w:tr>
        <w:trPr>
          <w:trHeight w:val="18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HazardHub LLC</w:t>
            </w:r>
          </w:p>
        </w:tc>
        <w:tc>
          <w:tcPr>
            <w:tcW w:w="2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(Delaware)</w:t>
            </w:r>
          </w:p>
        </w:tc>
      </w:tr>
      <w:tr>
        <w:trPr>
          <w:trHeight w:val="184"/>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Guidewire International Holdings, Inc.</w:t>
            </w:r>
          </w:p>
        </w:tc>
        <w:tc>
          <w:tcPr>
            <w:tcW w:w="2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States (Delaware)</w:t>
            </w:r>
          </w:p>
        </w:tc>
      </w:tr>
    </w:tbl>
    <w:p>
      <w:pPr>
        <w:sectPr>
          <w:pgSz w:w="11900" w:h="16838" w:orient="portrait"/>
          <w:cols w:equalWidth="0" w:num="1">
            <w:col w:w="11260"/>
          </w:cols>
          <w:pgMar w:left="320" w:top="729" w:right="3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333-253968, 333-230132, 333-223478, 333-216530, 333-209906, 333-202541, 333-194290, 333-187004, and 333-179799) on Form S-8, and in the registration statements (Nos. 333-223487, 333-221298, 333-191856, and 333-191834) on Form S-3 of Guidewire Software, Inc. of our report dated September 26, 2022, with respect to the consolidated financial statements of Guidewire Software, Inc. and the effectiveness of internal control over financial reporting</w:t>
      </w:r>
      <w:r>
        <w:rPr>
          <w:rFonts w:ascii="Times New Roman" w:cs="Times New Roman" w:eastAsia="Times New Roman" w:hAnsi="Times New Roman"/>
          <w:sz w:val="14"/>
          <w:szCs w:val="14"/>
          <w:i w:val="1"/>
          <w:iCs w:val="1"/>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26, 2022</w:t>
      </w:r>
    </w:p>
    <w:p>
      <w:pPr>
        <w:sectPr>
          <w:pgSz w:w="11900" w:h="16838" w:orient="portrait"/>
          <w:cols w:equalWidth="0" w:num="1">
            <w:col w:w="11280"/>
          </w:cols>
          <w:pgMar w:left="300" w:top="897"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3"/>
          <w:szCs w:val="13"/>
          <w:b w:val="1"/>
          <w:bCs w:val="1"/>
          <w:color w:val="auto"/>
        </w:rPr>
        <w:t>CERTIFICATION PURSUANT TO RULE 13a-14(a) OR 15d-14(a) OF</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SARBANES-OXLEY ACT OF 2002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Mike Rosenbaum, certify that:</w:t>
      </w:r>
    </w:p>
    <w:p>
      <w:pPr>
        <w:spacing w:after="0" w:line="27" w:lineRule="exact"/>
        <w:rPr>
          <w:sz w:val="20"/>
          <w:szCs w:val="20"/>
          <w:color w:val="auto"/>
        </w:rPr>
      </w:pPr>
    </w:p>
    <w:p>
      <w:pPr>
        <w:ind w:left="520" w:hanging="260"/>
        <w:spacing w:after="0"/>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Guidewire Software, Inc.;</w:t>
      </w:r>
    </w:p>
    <w:p>
      <w:pPr>
        <w:spacing w:after="0" w:line="52" w:lineRule="exact"/>
        <w:rPr>
          <w:rFonts w:ascii="Times New Roman" w:cs="Times New Roman" w:eastAsia="Times New Roman" w:hAnsi="Times New Roman"/>
          <w:sz w:val="13"/>
          <w:szCs w:val="13"/>
          <w:color w:val="auto"/>
        </w:rPr>
      </w:pPr>
    </w:p>
    <w:p>
      <w:pPr>
        <w:ind w:left="520" w:right="40" w:hanging="260"/>
        <w:spacing w:after="0" w:line="264" w:lineRule="auto"/>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3"/>
          <w:szCs w:val="13"/>
          <w:color w:val="auto"/>
        </w:rPr>
      </w:pPr>
    </w:p>
    <w:p>
      <w:pPr>
        <w:ind w:left="520" w:right="140" w:hanging="260"/>
        <w:spacing w:after="0" w:line="264" w:lineRule="auto"/>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3"/>
          <w:szCs w:val="13"/>
          <w:color w:val="auto"/>
        </w:rPr>
      </w:pPr>
    </w:p>
    <w:p>
      <w:pPr>
        <w:ind w:left="520" w:right="80" w:hanging="260"/>
        <w:spacing w:after="0" w:line="281" w:lineRule="auto"/>
        <w:tabs>
          <w:tab w:leader="none" w:pos="5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20" w:right="80" w:hanging="251"/>
        <w:spacing w:after="0" w:line="264" w:lineRule="auto"/>
        <w:tabs>
          <w:tab w:leader="none" w:pos="1013"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3"/>
          <w:szCs w:val="13"/>
          <w:color w:val="auto"/>
        </w:rPr>
      </w:pPr>
    </w:p>
    <w:p>
      <w:pPr>
        <w:ind w:left="1020" w:right="300" w:hanging="251"/>
        <w:spacing w:after="0" w:line="264" w:lineRule="auto"/>
        <w:tabs>
          <w:tab w:leader="none" w:pos="1020"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3"/>
          <w:szCs w:val="13"/>
          <w:color w:val="auto"/>
        </w:rPr>
      </w:pPr>
    </w:p>
    <w:p>
      <w:pPr>
        <w:ind w:left="1020" w:right="80" w:hanging="251"/>
        <w:spacing w:after="0" w:line="264" w:lineRule="auto"/>
        <w:tabs>
          <w:tab w:leader="none" w:pos="1013"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3"/>
          <w:szCs w:val="13"/>
          <w:color w:val="auto"/>
        </w:rPr>
      </w:pPr>
    </w:p>
    <w:p>
      <w:pPr>
        <w:ind w:left="1020" w:right="140" w:hanging="251"/>
        <w:spacing w:after="0" w:line="281" w:lineRule="auto"/>
        <w:tabs>
          <w:tab w:leader="none" w:pos="1020"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20" w:hanging="260"/>
        <w:spacing w:after="0" w:line="281" w:lineRule="auto"/>
        <w:tabs>
          <w:tab w:leader="none" w:pos="552"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20" w:hanging="251"/>
        <w:spacing w:after="0" w:line="264" w:lineRule="auto"/>
        <w:tabs>
          <w:tab w:leader="none" w:pos="1013"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September 26,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12700</wp:posOffset>
            </wp:positionV>
            <wp:extent cx="31597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Mike Rosenbaum</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(Principal Executive Officer)</w:t>
      </w:r>
    </w:p>
    <w:p>
      <w:pPr>
        <w:sectPr>
          <w:pgSz w:w="11900" w:h="16838" w:orient="portrait"/>
          <w:cols w:equalWidth="0" w:num="1">
            <w:col w:w="11280"/>
          </w:cols>
          <w:pgMar w:left="300" w:top="731"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3"/>
          <w:szCs w:val="13"/>
          <w:b w:val="1"/>
          <w:bCs w:val="1"/>
          <w:color w:val="auto"/>
        </w:rPr>
        <w:t>CERTIFICATION PURSUANT TO RULE 13a-14(a) OR 15d-14(a) OF</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 SECTION 302 OF</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SARBANES-OXLEY ACT OF 2002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Jeff Cooper, certify that:</w:t>
      </w:r>
    </w:p>
    <w:p>
      <w:pPr>
        <w:spacing w:after="0" w:line="27" w:lineRule="exact"/>
        <w:rPr>
          <w:sz w:val="20"/>
          <w:szCs w:val="20"/>
          <w:color w:val="auto"/>
        </w:rPr>
      </w:pPr>
    </w:p>
    <w:p>
      <w:pPr>
        <w:ind w:left="520" w:hanging="260"/>
        <w:spacing w:after="0"/>
        <w:tabs>
          <w:tab w:leader="none" w:pos="5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Guidewire Software, Inc.;</w:t>
      </w:r>
    </w:p>
    <w:p>
      <w:pPr>
        <w:spacing w:after="0" w:line="52" w:lineRule="exact"/>
        <w:rPr>
          <w:rFonts w:ascii="Times New Roman" w:cs="Times New Roman" w:eastAsia="Times New Roman" w:hAnsi="Times New Roman"/>
          <w:sz w:val="13"/>
          <w:szCs w:val="13"/>
          <w:color w:val="auto"/>
        </w:rPr>
      </w:pPr>
    </w:p>
    <w:p>
      <w:pPr>
        <w:ind w:left="520" w:right="40" w:hanging="260"/>
        <w:spacing w:after="0" w:line="264" w:lineRule="auto"/>
        <w:tabs>
          <w:tab w:leader="none" w:pos="5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3"/>
          <w:szCs w:val="13"/>
          <w:color w:val="auto"/>
        </w:rPr>
      </w:pPr>
    </w:p>
    <w:p>
      <w:pPr>
        <w:ind w:left="520" w:right="140" w:hanging="260"/>
        <w:spacing w:after="0" w:line="264" w:lineRule="auto"/>
        <w:tabs>
          <w:tab w:leader="none" w:pos="5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3"/>
          <w:szCs w:val="13"/>
          <w:color w:val="auto"/>
        </w:rPr>
      </w:pPr>
    </w:p>
    <w:p>
      <w:pPr>
        <w:ind w:left="520" w:right="80" w:hanging="260"/>
        <w:spacing w:after="0" w:line="281" w:lineRule="auto"/>
        <w:tabs>
          <w:tab w:leader="none" w:pos="5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020" w:right="80" w:hanging="251"/>
        <w:spacing w:after="0" w:line="264" w:lineRule="auto"/>
        <w:tabs>
          <w:tab w:leader="none" w:pos="1013"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3"/>
          <w:szCs w:val="13"/>
          <w:color w:val="auto"/>
        </w:rPr>
      </w:pPr>
    </w:p>
    <w:p>
      <w:pPr>
        <w:ind w:left="1020" w:right="300" w:hanging="251"/>
        <w:spacing w:after="0" w:line="264" w:lineRule="auto"/>
        <w:tabs>
          <w:tab w:leader="none" w:pos="102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3"/>
          <w:szCs w:val="13"/>
          <w:color w:val="auto"/>
        </w:rPr>
      </w:pPr>
    </w:p>
    <w:p>
      <w:pPr>
        <w:ind w:left="1020" w:right="80" w:hanging="251"/>
        <w:spacing w:after="0" w:line="264" w:lineRule="auto"/>
        <w:tabs>
          <w:tab w:leader="none" w:pos="1013"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3"/>
          <w:szCs w:val="13"/>
          <w:color w:val="auto"/>
        </w:rPr>
      </w:pPr>
    </w:p>
    <w:p>
      <w:pPr>
        <w:ind w:left="1020" w:right="140" w:hanging="251"/>
        <w:spacing w:after="0" w:line="281" w:lineRule="auto"/>
        <w:tabs>
          <w:tab w:leader="none" w:pos="102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20" w:right="20" w:hanging="260"/>
        <w:spacing w:after="0" w:line="281" w:lineRule="auto"/>
        <w:tabs>
          <w:tab w:leader="none" w:pos="552"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20" w:hanging="251"/>
        <w:spacing w:after="0" w:line="264" w:lineRule="auto"/>
        <w:tabs>
          <w:tab w:leader="none" w:pos="1013"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September 26,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12700</wp:posOffset>
            </wp:positionV>
            <wp:extent cx="31597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Jeff Cooper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(Principal Financial and Accounting Officer)</w:t>
      </w:r>
    </w:p>
    <w:p>
      <w:pPr>
        <w:sectPr>
          <w:pgSz w:w="11900" w:h="16838" w:orient="portrait"/>
          <w:cols w:equalWidth="0" w:num="1">
            <w:col w:w="11280"/>
          </w:cols>
          <w:pgMar w:left="300" w:top="731"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2"/>
          <w:szCs w:val="12"/>
          <w:b w:val="1"/>
          <w:bCs w:val="1"/>
          <w:color w:val="auto"/>
        </w:rPr>
        <w:t>xhibit 32.1</w:t>
      </w:r>
    </w:p>
    <w:p>
      <w:pPr>
        <w:spacing w:after="0" w:line="7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 AND CHIEF FINANCIAL OFFICER</w:t>
      </w:r>
    </w:p>
    <w:p>
      <w:pPr>
        <w:spacing w:after="0" w:line="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67" w:lineRule="exact"/>
        <w:rPr>
          <w:sz w:val="20"/>
          <w:szCs w:val="20"/>
          <w:color w:val="auto"/>
        </w:rPr>
      </w:pPr>
    </w:p>
    <w:p>
      <w:pPr>
        <w:ind w:right="260" w:firstLine="127"/>
        <w:spacing w:after="0" w:line="252" w:lineRule="auto"/>
        <w:rPr>
          <w:sz w:val="20"/>
          <w:szCs w:val="20"/>
          <w:color w:val="auto"/>
        </w:rPr>
      </w:pPr>
      <w:r>
        <w:rPr>
          <w:rFonts w:ascii="Times New Roman" w:cs="Times New Roman" w:eastAsia="Times New Roman" w:hAnsi="Times New Roman"/>
          <w:sz w:val="13"/>
          <w:szCs w:val="13"/>
          <w:color w:val="auto"/>
        </w:rPr>
        <w:t>In connection with the Annual Report on Form 10-K of Guidewire Software, Inc. for the year ended July 31, 2022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3"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September 26,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12700</wp:posOffset>
            </wp:positionV>
            <wp:extent cx="31597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Mike Rosenbaum</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(Principal Executive Officer)</w:t>
      </w:r>
    </w:p>
    <w:p>
      <w:pPr>
        <w:spacing w:after="0" w:line="275" w:lineRule="exact"/>
        <w:rPr>
          <w:sz w:val="20"/>
          <w:szCs w:val="20"/>
          <w:color w:val="auto"/>
        </w:rPr>
      </w:pPr>
    </w:p>
    <w:p>
      <w:pPr>
        <w:ind w:firstLine="159"/>
        <w:spacing w:after="0" w:line="252" w:lineRule="auto"/>
        <w:rPr>
          <w:sz w:val="20"/>
          <w:szCs w:val="20"/>
          <w:color w:val="auto"/>
        </w:rPr>
      </w:pPr>
      <w:r>
        <w:rPr>
          <w:rFonts w:ascii="Times New Roman" w:cs="Times New Roman" w:eastAsia="Times New Roman" w:hAnsi="Times New Roman"/>
          <w:sz w:val="13"/>
          <w:szCs w:val="13"/>
          <w:color w:val="auto"/>
        </w:rPr>
        <w:t>In connection with the Annual Report on Form 10-K of Guidewire Software, Inc. for the year ended July 31, 2022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9" w:lineRule="exact"/>
        <w:rPr>
          <w:sz w:val="20"/>
          <w:szCs w:val="20"/>
          <w:color w:val="auto"/>
        </w:rPr>
      </w:pPr>
    </w:p>
    <w:p>
      <w:pPr>
        <w:ind w:left="40"/>
        <w:spacing w:after="0"/>
        <w:tabs>
          <w:tab w:leader="none" w:pos="620" w:val="left"/>
          <w:tab w:leader="none" w:pos="5820" w:val="left"/>
          <w:tab w:leader="none" w:pos="628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September 26, 2022</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12700</wp:posOffset>
            </wp:positionV>
            <wp:extent cx="31597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3159760" cy="6985"/>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Jeff Cooper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color w:val="auto"/>
        </w:rPr>
        <w:t>(Principal Financial and Accounting Officer)</w:t>
      </w:r>
    </w:p>
    <w:sectPr>
      <w:pgSz w:w="11900" w:h="16838" w:orient="portrait"/>
      <w:cols w:equalWidth="0" w:num="1">
        <w:col w:w="11280"/>
      </w:cols>
      <w:pgMar w:left="300" w:top="8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lowerRoman"/>
      <w:start w:val="1"/>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0"/>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2"/>
      <w:numFmt w:val="bullet"/>
      <w:start w:val="1"/>
    </w:lvl>
  </w:abstractNum>
  <w:abstractNum w:abstractNumId="29">
    <w:nsid w:val="2A487CB0"/>
    <w:multiLevelType w:val="hybridMultilevel"/>
    <w:lvl w:ilvl="0">
      <w:lvlJc w:val="left"/>
      <w:lvlText w:val="%1."/>
      <w:numFmt w:val="decimal"/>
      <w:start w:val="2"/>
    </w:lvl>
    <w:lvl w:ilvl="1">
      <w:lvlJc w:val="left"/>
      <w:lvlText w:val="(%2)"/>
      <w:numFmt w:val="lowerLetter"/>
      <w:start w:val="1"/>
    </w:lvl>
  </w:abstractNum>
  <w:abstractNum w:abstractNumId="30">
    <w:nsid w:val="1D4ED43B"/>
    <w:multiLevelType w:val="hybridMultilevel"/>
    <w:lvl w:ilvl="0">
      <w:lvlJc w:val="left"/>
      <w:lvlText w:val="3"/>
      <w:numFmt w:val="bullet"/>
      <w:start w:val="1"/>
    </w:lvl>
  </w:abstractNum>
  <w:abstractNum w:abstractNumId="31">
    <w:nsid w:val="725A06FB"/>
    <w:multiLevelType w:val="hybridMultilevel"/>
    <w:lvl w:ilvl="0">
      <w:lvlJc w:val="left"/>
      <w:lvlText w:val="%1"/>
      <w:numFmt w:val="decimal"/>
      <w:start w:val="1"/>
    </w:lvl>
    <w:lvl w:ilvl="1">
      <w:lvlJc w:val="left"/>
      <w:lvlText w:val="(%2)"/>
      <w:numFmt w:val="lowerLetter"/>
      <w:start w:val="2"/>
    </w:lvl>
  </w:abstractNum>
  <w:abstractNum w:abstractNumId="32">
    <w:nsid w:val="2CD89A32"/>
    <w:multiLevelType w:val="hybridMultilevel"/>
    <w:lvl w:ilvl="0">
      <w:lvlJc w:val="left"/>
      <w:lvlText w:val="%1."/>
      <w:numFmt w:val="decimal"/>
      <w:start w:val="3"/>
    </w:lvl>
    <w:lvl w:ilvl="1">
      <w:lvlJc w:val="left"/>
      <w:lvlText w:val="(%2)"/>
      <w:numFmt w:val="lowerLetter"/>
      <w:start w:val="4"/>
    </w:lvl>
  </w:abstractNum>
  <w:abstractNum w:abstractNumId="33">
    <w:nsid w:val="57E4CCAF"/>
    <w:multiLevelType w:val="hybridMultilevel"/>
    <w:lvl w:ilvl="0">
      <w:lvlJc w:val="left"/>
      <w:lvlText w:val="(%1)"/>
      <w:numFmt w:val="lowerLetter"/>
      <w:start w:val="7"/>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decimal"/>
      <w:start w:val="7"/>
    </w:lvl>
    <w:lvl w:ilvl="1">
      <w:lvlJc w:val="left"/>
      <w:lvlText w:val="(%2)"/>
      <w:numFmt w:val="lowerLetter"/>
      <w:start w:val="1"/>
    </w:lvl>
  </w:abstractNum>
  <w:abstractNum w:abstractNumId="37">
    <w:nsid w:val="6DE91B18"/>
    <w:multiLevelType w:val="hybridMultilevel"/>
    <w:lvl w:ilvl="0">
      <w:lvlJc w:val="left"/>
      <w:lvlText w:val="(%1)"/>
      <w:numFmt w:val="lowerLetter"/>
      <w:start w:val="2"/>
    </w:lvl>
  </w:abstractNum>
  <w:abstractNum w:abstractNumId="38">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lvl w:ilvl="3">
      <w:lvlJc w:val="left"/>
      <w:lvlText w:val="(%4)"/>
      <w:numFmt w:val="lowerRoman"/>
      <w:start w:val="1"/>
    </w:lvl>
  </w:abstractNum>
  <w:abstractNum w:abstractNumId="39">
    <w:nsid w:val="7644A45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40">
    <w:nsid w:val="32FFF90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1">
    <w:nsid w:val="684A481A"/>
    <w:multiLevelType w:val="hybridMultilevel"/>
    <w:lvl w:ilvl="0">
      <w:lvlJc w:val="left"/>
      <w:lvlText w:val="%1."/>
      <w:numFmt w:val="decimal"/>
      <w:start w:val="11"/>
    </w:lvl>
    <w:lvl w:ilvl="1">
      <w:lvlJc w:val="left"/>
      <w:lvlText w:val="(%2)"/>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7"/>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6"/>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upperLetter"/>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Letter"/>
      <w:start w:val="1"/>
    </w:lvl>
    <w:lvl w:ilvl="1">
      <w:lvlJc w:val="left"/>
      <w:lvlText w:val="(%2)"/>
      <w:numFmt w:val="lowerRoman"/>
      <w:start w:val="1"/>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4"/>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46" Type="http://schemas.openxmlformats.org/officeDocument/2006/relationships/hyperlink" Target="https://www.sec.gov/Archives/edgar/data/0001528396/000152839622000021/gwre-1312022x10xqex31resta.htm" TargetMode="External"/><Relationship Id="rId147" Type="http://schemas.openxmlformats.org/officeDocument/2006/relationships/hyperlink" Target="https://www.sec.gov/Archives/edgar/data/1528396/000152839620000045/amendedandrestatedbyla.htm" TargetMode="External"/><Relationship Id="rId148" Type="http://schemas.openxmlformats.org/officeDocument/2006/relationships/hyperlink" Target="http://www.sec.gov/Archives/edgar/data/1528396/000119312512006627/d219721dex41.htm" TargetMode="External"/><Relationship Id="rId149" Type="http://schemas.openxmlformats.org/officeDocument/2006/relationships/hyperlink" Target="http://www.sec.gov/Archives/edgar/data/1528396/000119312518080863/d548361dex41.htm" TargetMode="External"/><Relationship Id="rId150" Type="http://schemas.openxmlformats.org/officeDocument/2006/relationships/hyperlink" Target="http://www.sec.gov/Archives/edgar/data/1528396/000119312518080863/d548361dex42.htm" TargetMode="External"/><Relationship Id="rId151" Type="http://schemas.openxmlformats.org/officeDocument/2006/relationships/hyperlink" Target="http://www.sec.gov/Archives/edgar/data/1528396/000119312518080863/d548361dex43.htm" TargetMode="External"/><Relationship Id="rId152" Type="http://schemas.openxmlformats.org/officeDocument/2006/relationships/hyperlink" Target="http://www.sec.gov/Archives/edgar/data/1528396/000119312511339725/d219721dex105.htm" TargetMode="External"/><Relationship Id="rId153" Type="http://schemas.openxmlformats.org/officeDocument/2006/relationships/hyperlink" Target="http://www.sec.gov/Archives/edgar/data/1528396/000152839615000028/gwreex109formofpsuagreement.htm" TargetMode="External"/><Relationship Id="rId154" Type="http://schemas.openxmlformats.org/officeDocument/2006/relationships/hyperlink" Target="https://www.sec.gov/Archives/edgar/data/1528396/000152839620000012/a105-formnogpsu.htm" TargetMode="External"/><Relationship Id="rId155" Type="http://schemas.openxmlformats.org/officeDocument/2006/relationships/hyperlink" Target="https://www.sec.gov/Archives/edgar/data/1528396/000152839620000012/a102-formofrestricteds.htm" TargetMode="External"/><Relationship Id="rId156" Type="http://schemas.openxmlformats.org/officeDocument/2006/relationships/hyperlink" Target="https://www.sec.gov/Archives/edgar/data/1528396/000152839620000012/a101-formofrestricteds.htm" TargetMode="External"/><Relationship Id="rId157" Type="http://schemas.openxmlformats.org/officeDocument/2006/relationships/hyperlink" Target="http://www.sec.gov/Archives/edgar/data/1528396/000152839620000012/a103-formofrestricteds.htm" TargetMode="External"/><Relationship Id="rId158" Type="http://schemas.openxmlformats.org/officeDocument/2006/relationships/hyperlink" Target="https://www.sec.gov/Archives/edgar/data/1528396/000152839620000012/a104-formltip.htm" TargetMode="External"/><Relationship Id="rId159" Type="http://schemas.openxmlformats.org/officeDocument/2006/relationships/hyperlink" Target="http://www.sec.gov/Archives/edgar/data/1528396/000152839621000019/exhibit101-guidewire2020st.htm" TargetMode="External"/><Relationship Id="rId160" Type="http://schemas.openxmlformats.org/officeDocument/2006/relationships/hyperlink" Target="http://www.sec.gov/Archives/edgar/data/1528396/000119312511339725/d219721dex1012.htm" TargetMode="External"/><Relationship Id="rId161" Type="http://schemas.openxmlformats.org/officeDocument/2006/relationships/hyperlink" Target="https://www.sec.gov/Archives/edgar/data/1528396/000152839620000012/a106-guidewireformofex.htm" TargetMode="External"/><Relationship Id="rId162" Type="http://schemas.openxmlformats.org/officeDocument/2006/relationships/hyperlink" Target="https://www.sec.gov/Archives/edgar/data/1528396/000119312519213000/d759177dex101.htm" TargetMode="External"/><Relationship Id="rId165" Type="http://schemas.openxmlformats.org/officeDocument/2006/relationships/hyperlink" Target="https://www.sec.gov/Archives/edgar/data/1528396/000152839620000070/gwre-ex101rosenbaumexe.htm" TargetMode="External"/><Relationship Id="rId166" Type="http://schemas.openxmlformats.org/officeDocument/2006/relationships/hyperlink" Target="https://www.sec.gov/Archives/edgar/data/0001528396/000152839622000053/gwreex101executiveagreem.htm" TargetMode="External"/><Relationship Id="rId167" Type="http://schemas.openxmlformats.org/officeDocument/2006/relationships/hyperlink" Target="http://www.sec.gov/Archives/edgar/data/1528396/000119312511285002/d219721dex101.htm" TargetMode="External"/><Relationship Id="rId168" Type="http://schemas.openxmlformats.org/officeDocument/2006/relationships/hyperlink" Target="http://www.sec.gov/Archives/edgar/data/1528396/000119312518080863/d548361dex101.htm" TargetMode="External"/><Relationship Id="rId169" Type="http://schemas.openxmlformats.org/officeDocument/2006/relationships/hyperlink" Target="http://www.sec.gov/Archives/edgar/data/1528396/000152839618000037/hqleasebaymeadows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2022-09-26T15:42:58Z</dcterms:created>
  <dcterms:modified xsi:type="dcterms:W3CDTF">2022-09-26T15:42:58Z</dcterms:modified>
</cp:coreProperties>
</file>