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 </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spacing w:lineRule="auto" w:line="288" w:before="0" w:after="0"/>
        <w:rPr/>
      </w:pPr>
      <w:r>
        <w:rPr>
          <w:color w:val="000000"/>
        </w:rPr>
        <w:t xml:space="preserve">☒ </w:t>
      </w:r>
      <w:r>
        <w:rPr>
          <w:rFonts w:ascii="Times New Roman;sans-serif" w:hAnsi="Times New Roman;sans-serif"/>
          <w:b/>
          <w:color w:val="000000"/>
          <w:sz w:val="20"/>
        </w:rPr>
        <w:t>ANNUAL REPORT PURSUANT TO SECTION 13 OR 15(d) OF THE SECURITIES EXCHANGE ACT OF 1934</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July 31, 2021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spacing w:lineRule="auto" w:line="288" w:before="0" w:after="0"/>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001-35394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 </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Guidewire Software, Inc.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 </w:t>
      </w:r>
    </w:p>
    <w:tbl>
      <w:tblPr>
        <w:tblW w:w="4195" w:type="dxa"/>
        <w:jc w:val="left"/>
        <w:tblInd w:w="0" w:type="dxa"/>
        <w:tblCellMar>
          <w:top w:w="28" w:type="dxa"/>
          <w:left w:w="28" w:type="dxa"/>
          <w:bottom w:w="28" w:type="dxa"/>
          <w:right w:w="28" w:type="dxa"/>
        </w:tblCellMar>
      </w:tblPr>
      <w:tblGrid>
        <w:gridCol w:w="863"/>
        <w:gridCol w:w="756"/>
        <w:gridCol w:w="765"/>
        <w:gridCol w:w="109"/>
        <w:gridCol w:w="109"/>
        <w:gridCol w:w="109"/>
        <w:gridCol w:w="432"/>
        <w:gridCol w:w="432"/>
        <w:gridCol w:w="620"/>
      </w:tblGrid>
      <w:tr>
        <w:trPr/>
        <w:tc>
          <w:tcPr>
            <w:tcW w:w="863"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36-4468504</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2850 S. Delaware St., Suite 400, San Mateo, California, 94403 </w:t>
      </w:r>
    </w:p>
    <w:p>
      <w:pPr>
        <w:pStyle w:val="TextBody"/>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(650) 357-9100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226" w:type="dxa"/>
        <w:jc w:val="center"/>
        <w:tblInd w:w="0" w:type="dxa"/>
        <w:tblCellMar>
          <w:top w:w="28" w:type="dxa"/>
          <w:left w:w="28" w:type="dxa"/>
          <w:bottom w:w="28" w:type="dxa"/>
          <w:right w:w="28" w:type="dxa"/>
        </w:tblCellMar>
      </w:tblPr>
      <w:tblGrid>
        <w:gridCol w:w="928"/>
        <w:gridCol w:w="813"/>
        <w:gridCol w:w="823"/>
        <w:gridCol w:w="109"/>
        <w:gridCol w:w="109"/>
        <w:gridCol w:w="109"/>
        <w:gridCol w:w="524"/>
        <w:gridCol w:w="524"/>
        <w:gridCol w:w="526"/>
        <w:gridCol w:w="109"/>
        <w:gridCol w:w="109"/>
        <w:gridCol w:w="109"/>
        <w:gridCol w:w="1005"/>
        <w:gridCol w:w="1005"/>
        <w:gridCol w:w="1424"/>
      </w:tblGrid>
      <w:tr>
        <w:trPr/>
        <w:tc>
          <w:tcPr>
            <w:tcW w:w="928"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 </w:t>
      </w:r>
    </w:p>
    <w:p>
      <w:pPr>
        <w:pStyle w:val="TextBody"/>
        <w:spacing w:lineRule="auto" w:line="288" w:before="0" w:after="0"/>
        <w:ind w:left="0" w:right="0" w:firstLine="360"/>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ind w:left="0" w:right="0" w:firstLine="360"/>
        <w:rPr/>
      </w:pPr>
      <w:r>
        <w:rPr>
          <w:rFonts w:ascii="Times New Roman;sans-serif" w:hAnsi="Times New Roman;sans-serif"/>
          <w:b w:val="false"/>
          <w:color w:val="000000"/>
          <w:sz w:val="16"/>
        </w:rPr>
        <w:t>Indicate by check mark whether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ind w:left="0" w:right="0" w:firstLine="360"/>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ind w:left="0" w:right="0" w:firstLine="360"/>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ind w:left="0" w:right="0" w:firstLine="36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5418" w:type="dxa"/>
        <w:jc w:val="left"/>
        <w:tblInd w:w="0" w:type="dxa"/>
        <w:tblCellMar>
          <w:top w:w="28" w:type="dxa"/>
          <w:left w:w="28" w:type="dxa"/>
          <w:bottom w:w="28" w:type="dxa"/>
          <w:right w:w="28" w:type="dxa"/>
        </w:tblCellMar>
      </w:tblPr>
      <w:tblGrid>
        <w:gridCol w:w="603"/>
        <w:gridCol w:w="530"/>
        <w:gridCol w:w="532"/>
        <w:gridCol w:w="109"/>
        <w:gridCol w:w="109"/>
        <w:gridCol w:w="109"/>
        <w:gridCol w:w="125"/>
        <w:gridCol w:w="125"/>
        <w:gridCol w:w="126"/>
        <w:gridCol w:w="109"/>
        <w:gridCol w:w="109"/>
        <w:gridCol w:w="109"/>
        <w:gridCol w:w="673"/>
        <w:gridCol w:w="673"/>
        <w:gridCol w:w="678"/>
        <w:gridCol w:w="109"/>
        <w:gridCol w:w="109"/>
        <w:gridCol w:w="109"/>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ind w:left="0" w:right="0" w:firstLine="360"/>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47" w:before="60" w:after="283"/>
        <w:ind w:left="0" w:right="0" w:firstLine="360"/>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spacing w:lineRule="auto" w:line="247" w:before="60" w:after="283"/>
        <w:ind w:left="0" w:right="0" w:firstLine="36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w:t>
      </w:r>
    </w:p>
    <w:p>
      <w:pPr>
        <w:pStyle w:val="TextBody"/>
        <w:spacing w:lineRule="auto" w:line="288" w:before="0" w:after="0"/>
        <w:rPr/>
      </w:pP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ind w:left="0" w:right="0" w:firstLine="360"/>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common stock held by non-affiliates of the registrant, computed by reference to the closing price at which the common stock was sold on January 31, 2021, the last business day of the registrant’s most recently completed second fiscal quarter, as reported on the New York Stock Exchange, was approximately $6.1 billion.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 any other purpose.</w:t>
      </w:r>
    </w:p>
    <w:p>
      <w:pPr>
        <w:pStyle w:val="TextBody"/>
        <w:spacing w:lineRule="auto" w:line="288" w:before="60" w:after="283"/>
        <w:ind w:left="0" w:right="0" w:firstLine="360"/>
        <w:rPr>
          <w:rFonts w:ascii="Times New Roman;sans-serif" w:hAnsi="Times New Roman;sans-serif"/>
          <w:b w:val="false"/>
          <w:color w:val="000000"/>
          <w:sz w:val="16"/>
        </w:rPr>
      </w:pPr>
      <w:r>
        <w:rPr>
          <w:rFonts w:ascii="Times New Roman;sans-serif" w:hAnsi="Times New Roman;sans-serif"/>
          <w:b w:val="false"/>
          <w:color w:val="000000"/>
          <w:sz w:val="16"/>
        </w:rPr>
        <w:t>On August 31, 2021, the registrant had 83,076,348 shares of common stock outstanding.</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spacing w:lineRule="auto" w:line="288" w:before="60" w:after="283"/>
        <w:ind w:left="0" w:right="0" w:firstLine="360"/>
        <w:rPr>
          <w:rFonts w:ascii="Times New Roman;sans-serif" w:hAnsi="Times New Roman;sans-serif"/>
          <w:b w:val="false"/>
          <w:color w:val="000000"/>
          <w:sz w:val="16"/>
        </w:rPr>
      </w:pPr>
      <w:r>
        <w:rPr>
          <w:rFonts w:ascii="Times New Roman;sans-serif" w:hAnsi="Times New Roman;sans-serif"/>
          <w:b w:val="false"/>
          <w:color w:val="000000"/>
          <w:sz w:val="16"/>
        </w:rPr>
        <w:t xml:space="preserve">Portions of the registrant’s definitive Proxy Statement relating to its 2021 Annual Meeting of Stockholders are incorporated by reference into Part III of this report where indicated. Such Proxy Statement will be filed with the U.S. Securities and Exchange Commission within 120 days after the end of the fiscal year to which this report relates.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93"/>
        <w:gridCol w:w="258"/>
        <w:gridCol w:w="260"/>
        <w:gridCol w:w="3003"/>
        <w:gridCol w:w="2999"/>
        <w:gridCol w:w="3018"/>
        <w:gridCol w:w="109"/>
        <w:gridCol w:w="109"/>
        <w:gridCol w:w="156"/>
      </w:tblGrid>
      <w:tr>
        <w:trPr/>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003" w:type="dxa"/>
            <w:tcBorders/>
            <w:shd w:fill="auto" w:val="clear"/>
            <w:vAlign w:val="center"/>
          </w:tcPr>
          <w:p>
            <w:pPr>
              <w:pStyle w:val="TableContents"/>
              <w:spacing w:before="0" w:after="283"/>
              <w:rPr>
                <w:sz w:val="4"/>
                <w:szCs w:val="4"/>
              </w:rPr>
            </w:pPr>
            <w:r>
              <w:rPr>
                <w:sz w:val="4"/>
                <w:szCs w:val="4"/>
              </w:rPr>
            </w:r>
          </w:p>
        </w:tc>
        <w:tc>
          <w:tcPr>
            <w:tcW w:w="2999" w:type="dxa"/>
            <w:tcBorders/>
            <w:shd w:fill="auto" w:val="clear"/>
            <w:vAlign w:val="center"/>
          </w:tcPr>
          <w:p>
            <w:pPr>
              <w:pStyle w:val="TableContents"/>
              <w:spacing w:before="0" w:after="283"/>
              <w:rPr>
                <w:sz w:val="4"/>
                <w:szCs w:val="4"/>
              </w:rPr>
            </w:pPr>
            <w:r>
              <w:rPr>
                <w:sz w:val="4"/>
                <w:szCs w:val="4"/>
              </w:rPr>
            </w:r>
          </w:p>
        </w:tc>
        <w:tc>
          <w:tcPr>
            <w:tcW w:w="30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f9b1b0ea548470ab2e3cd5bd5a07a5c_13">
              <w:r>
                <w:rPr>
                  <w:rStyle w:val="InternetLink"/>
                  <w:rFonts w:ascii="Times New Roman;sans-serif" w:hAnsi="Times New Roman;sans-serif"/>
                  <w:b/>
                  <w:color w:val="0000FF"/>
                  <w:sz w:val="20"/>
                  <w:u w:val="single"/>
                </w:rPr>
                <w:t>Part I</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6">
              <w:r>
                <w:rPr>
                  <w:rStyle w:val="InternetLink"/>
                  <w:rFonts w:ascii="Times New Roman;sans-serif" w:hAnsi="Times New Roman;sans-serif"/>
                  <w:b w:val="false"/>
                  <w:color w:val="0000FF"/>
                  <w:sz w:val="20"/>
                  <w:u w:val="single"/>
                </w:rPr>
                <w:t>Business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6">
              <w:r>
                <w:rPr>
                  <w:rStyle w:val="InternetLink"/>
                  <w:rFonts w:ascii="Times New Roman;sans-serif" w:hAnsi="Times New Roman;sans-serif"/>
                  <w:b w:val="false"/>
                  <w:color w:val="0000FF"/>
                  <w:sz w:val="20"/>
                  <w:u w:val="single"/>
                </w:rPr>
                <w:t>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9">
              <w:r>
                <w:rPr>
                  <w:rStyle w:val="InternetLink"/>
                  <w:rFonts w:ascii="Times New Roman;sans-serif" w:hAnsi="Times New Roman;sans-serif"/>
                  <w:b w:val="false"/>
                  <w:color w:val="0000FF"/>
                  <w:sz w:val="20"/>
                  <w:u w:val="single"/>
                </w:rPr>
                <w:t>Risk Factors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9">
              <w:r>
                <w:rPr>
                  <w:rStyle w:val="InternetLink"/>
                  <w:rFonts w:ascii="Times New Roman;sans-serif" w:hAnsi="Times New Roman;sans-serif"/>
                  <w:b w:val="false"/>
                  <w:color w:val="0033CC"/>
                  <w:sz w:val="20"/>
                  <w:u w:val="single"/>
                </w:rPr>
                <w:t>10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22">
              <w:r>
                <w:rPr>
                  <w:rStyle w:val="InternetLink"/>
                  <w:rFonts w:ascii="Times New Roman;sans-serif" w:hAnsi="Times New Roman;sans-serif"/>
                  <w:b w:val="false"/>
                  <w:color w:val="0000FF"/>
                  <w:sz w:val="20"/>
                  <w:u w:val="single"/>
                </w:rPr>
                <w:t>Unresolved Staff Comments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22">
              <w:r>
                <w:rPr>
                  <w:rStyle w:val="InternetLink"/>
                  <w:rFonts w:ascii="Times New Roman;sans-serif" w:hAnsi="Times New Roman;sans-serif"/>
                  <w:b w:val="false"/>
                  <w:color w:val="0033CC"/>
                  <w:sz w:val="20"/>
                  <w:u w:val="single"/>
                </w:rPr>
                <w:t>34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25">
              <w:r>
                <w:rPr>
                  <w:rStyle w:val="InternetLink"/>
                  <w:rFonts w:ascii="Times New Roman;sans-serif" w:hAnsi="Times New Roman;sans-serif"/>
                  <w:b w:val="false"/>
                  <w:color w:val="0000FF"/>
                  <w:sz w:val="20"/>
                  <w:u w:val="single"/>
                </w:rPr>
                <w:t>Properties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25">
              <w:r>
                <w:rPr>
                  <w:rStyle w:val="InternetLink"/>
                  <w:rFonts w:ascii="Times New Roman;sans-serif" w:hAnsi="Times New Roman;sans-serif"/>
                  <w:b w:val="false"/>
                  <w:color w:val="0033CC"/>
                  <w:sz w:val="20"/>
                  <w:u w:val="single"/>
                </w:rPr>
                <w:t>34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28">
              <w:r>
                <w:rPr>
                  <w:rStyle w:val="InternetLink"/>
                  <w:rFonts w:ascii="Times New Roman;sans-serif" w:hAnsi="Times New Roman;sans-serif"/>
                  <w:b w:val="false"/>
                  <w:color w:val="0000FF"/>
                  <w:sz w:val="20"/>
                  <w:u w:val="single"/>
                </w:rPr>
                <w:t>Legal Proceedings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28">
              <w:r>
                <w:rPr>
                  <w:rStyle w:val="InternetLink"/>
                  <w:rFonts w:ascii="Times New Roman;sans-serif" w:hAnsi="Times New Roman;sans-serif"/>
                  <w:b w:val="false"/>
                  <w:color w:val="0033CC"/>
                  <w:sz w:val="20"/>
                  <w:u w:val="single"/>
                </w:rPr>
                <w:t>34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31">
              <w:r>
                <w:rPr>
                  <w:rStyle w:val="InternetLink"/>
                  <w:rFonts w:ascii="Times New Roman;sans-serif" w:hAnsi="Times New Roman;sans-serif"/>
                  <w:b w:val="false"/>
                  <w:color w:val="0000FF"/>
                  <w:sz w:val="20"/>
                  <w:u w:val="single"/>
                </w:rPr>
                <w:t>Mine Safety Disclosures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31">
              <w:r>
                <w:rPr>
                  <w:rStyle w:val="InternetLink"/>
                  <w:rFonts w:ascii="Times New Roman;sans-serif" w:hAnsi="Times New Roman;sans-serif"/>
                  <w:b w:val="false"/>
                  <w:color w:val="0033CC"/>
                  <w:sz w:val="20"/>
                  <w:u w:val="single"/>
                </w:rPr>
                <w:t>34</w:t>
              </w:r>
            </w:hyperlink>
          </w:p>
        </w:tc>
      </w:tr>
      <w:tr>
        <w:trPr/>
        <w:tc>
          <w:tcPr>
            <w:tcW w:w="1020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f9b1b0ea548470ab2e3cd5bd5a07a5c_34">
              <w:r>
                <w:rPr>
                  <w:rStyle w:val="InternetLink"/>
                  <w:rFonts w:ascii="Times New Roman;sans-serif" w:hAnsi="Times New Roman;sans-serif"/>
                  <w:b/>
                  <w:color w:val="0000FF"/>
                  <w:sz w:val="20"/>
                  <w:u w:val="single"/>
                </w:rPr>
                <w:t>Part II</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37">
              <w:r>
                <w:rPr>
                  <w:rStyle w:val="InternetLink"/>
                  <w:rFonts w:ascii="Times New Roman;sans-serif" w:hAnsi="Times New Roman;sans-serif"/>
                  <w:b w:val="false"/>
                  <w:color w:val="0033CC"/>
                  <w:sz w:val="20"/>
                  <w:u w:val="single"/>
                </w:rPr>
                <w:t>35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40">
              <w:r>
                <w:rPr>
                  <w:rStyle w:val="InternetLink"/>
                  <w:rFonts w:ascii="Times New Roman;sans-serif" w:hAnsi="Times New Roman;sans-serif"/>
                  <w:b w:val="false"/>
                  <w:color w:val="0000FF"/>
                  <w:sz w:val="20"/>
                  <w:u w:val="single"/>
                </w:rPr>
                <w:t>37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43">
              <w:r>
                <w:rPr>
                  <w:rStyle w:val="InternetLink"/>
                  <w:rFonts w:ascii="Times New Roman;sans-serif" w:hAnsi="Times New Roman;sans-serif"/>
                  <w:b w:val="false"/>
                  <w:color w:val="0033CC"/>
                  <w:sz w:val="20"/>
                  <w:u w:val="single"/>
                </w:rPr>
                <w:t>37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67">
              <w:r>
                <w:rPr>
                  <w:rStyle w:val="InternetLink"/>
                  <w:rFonts w:ascii="Times New Roman;sans-serif" w:hAnsi="Times New Roman;sans-serif"/>
                  <w:b w:val="false"/>
                  <w:color w:val="0000FF"/>
                  <w:sz w:val="20"/>
                  <w:u w:val="single"/>
                </w:rPr>
                <w:t>Quantitative and Qualitative Disclosures About Market Risk</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67">
              <w:r>
                <w:rPr>
                  <w:rStyle w:val="InternetLink"/>
                  <w:rFonts w:ascii="Times New Roman;sans-serif" w:hAnsi="Times New Roman;sans-serif"/>
                  <w:b w:val="false"/>
                  <w:color w:val="0033CC"/>
                  <w:sz w:val="20"/>
                  <w:u w:val="single"/>
                </w:rPr>
                <w:t>55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70">
              <w:r>
                <w:rPr>
                  <w:rStyle w:val="InternetLink"/>
                  <w:rFonts w:ascii="Times New Roman;sans-serif" w:hAnsi="Times New Roman;sans-serif"/>
                  <w:b w:val="false"/>
                  <w:color w:val="0000FF"/>
                  <w:sz w:val="20"/>
                  <w:u w:val="single"/>
                </w:rPr>
                <w:t>Financial Statements and Supplementary Data</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70">
              <w:r>
                <w:rPr>
                  <w:rStyle w:val="InternetLink"/>
                  <w:rFonts w:ascii="Times New Roman;sans-serif" w:hAnsi="Times New Roman;sans-serif"/>
                  <w:b w:val="false"/>
                  <w:color w:val="0033CC"/>
                  <w:sz w:val="20"/>
                  <w:u w:val="single"/>
                </w:rPr>
                <w:t>57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36">
              <w:r>
                <w:rPr>
                  <w:rStyle w:val="InternetLink"/>
                  <w:rFonts w:ascii="Times New Roman;sans-serif" w:hAnsi="Times New Roman;sans-serif"/>
                  <w:b w:val="false"/>
                  <w:color w:val="0000FF"/>
                  <w:sz w:val="20"/>
                  <w:u w:val="single"/>
                </w:rPr>
                <w:t>Changes in and Disagreements with Accountants on Accounting and Financial Disclosures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36">
              <w:r>
                <w:rPr>
                  <w:rStyle w:val="InternetLink"/>
                  <w:rFonts w:ascii="Times New Roman;sans-serif" w:hAnsi="Times New Roman;sans-serif"/>
                  <w:b w:val="false"/>
                  <w:color w:val="0033CC"/>
                  <w:sz w:val="20"/>
                  <w:u w:val="single"/>
                </w:rPr>
                <w:t>96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39">
              <w:r>
                <w:rPr>
                  <w:rStyle w:val="InternetLink"/>
                  <w:rFonts w:ascii="Times New Roman;sans-serif" w:hAnsi="Times New Roman;sans-serif"/>
                  <w:b w:val="false"/>
                  <w:color w:val="0000FF"/>
                  <w:sz w:val="20"/>
                  <w:u w:val="single"/>
                </w:rPr>
                <w:t>Controls and Procedures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39">
              <w:r>
                <w:rPr>
                  <w:rStyle w:val="InternetLink"/>
                  <w:rFonts w:ascii="Times New Roman;sans-serif" w:hAnsi="Times New Roman;sans-serif"/>
                  <w:b w:val="false"/>
                  <w:color w:val="0033CC"/>
                  <w:sz w:val="20"/>
                  <w:u w:val="single"/>
                </w:rPr>
                <w:t>96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42">
              <w:r>
                <w:rPr>
                  <w:rStyle w:val="InternetLink"/>
                  <w:rFonts w:ascii="Times New Roman;sans-serif" w:hAnsi="Times New Roman;sans-serif"/>
                  <w:b w:val="false"/>
                  <w:color w:val="0000FF"/>
                  <w:sz w:val="20"/>
                  <w:u w:val="single"/>
                </w:rPr>
                <w:t>Other Information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42">
              <w:r>
                <w:rPr>
                  <w:rStyle w:val="InternetLink"/>
                  <w:rFonts w:ascii="Times New Roman;sans-serif" w:hAnsi="Times New Roman;sans-serif"/>
                  <w:b w:val="false"/>
                  <w:color w:val="0033CC"/>
                  <w:sz w:val="20"/>
                  <w:u w:val="single"/>
                </w:rPr>
                <w:t>97</w:t>
              </w:r>
            </w:hyperlink>
          </w:p>
        </w:tc>
      </w:tr>
      <w:tr>
        <w:trPr/>
        <w:tc>
          <w:tcPr>
            <w:tcW w:w="1020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f9b1b0ea548470ab2e3cd5bd5a07a5c_145">
              <w:r>
                <w:rPr>
                  <w:rStyle w:val="InternetLink"/>
                  <w:rFonts w:ascii="Times New Roman;sans-serif" w:hAnsi="Times New Roman;sans-serif"/>
                  <w:b/>
                  <w:color w:val="0000FF"/>
                  <w:sz w:val="20"/>
                  <w:u w:val="single"/>
                </w:rPr>
                <w:t>Part III</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48">
              <w:r>
                <w:rPr>
                  <w:rStyle w:val="InternetLink"/>
                  <w:rFonts w:ascii="Times New Roman;sans-serif" w:hAnsi="Times New Roman;sans-serif"/>
                  <w:b w:val="false"/>
                  <w:color w:val="0000FF"/>
                  <w:sz w:val="20"/>
                  <w:u w:val="single"/>
                </w:rPr>
                <w:t>Directors, Executive Officers and Corporate Governance</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48">
              <w:r>
                <w:rPr>
                  <w:rStyle w:val="InternetLink"/>
                  <w:rFonts w:ascii="Times New Roman;sans-serif" w:hAnsi="Times New Roman;sans-serif"/>
                  <w:b w:val="false"/>
                  <w:color w:val="0033CC"/>
                  <w:sz w:val="20"/>
                  <w:u w:val="single"/>
                </w:rPr>
                <w:t>98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51">
              <w:r>
                <w:rPr>
                  <w:rStyle w:val="InternetLink"/>
                  <w:rFonts w:ascii="Times New Roman;sans-serif" w:hAnsi="Times New Roman;sans-serif"/>
                  <w:b w:val="false"/>
                  <w:color w:val="0000FF"/>
                  <w:sz w:val="20"/>
                  <w:u w:val="single"/>
                </w:rPr>
                <w:t>Executive Compensation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51">
              <w:r>
                <w:rPr>
                  <w:rStyle w:val="InternetLink"/>
                  <w:rFonts w:ascii="Times New Roman;sans-serif" w:hAnsi="Times New Roman;sans-serif"/>
                  <w:b w:val="false"/>
                  <w:color w:val="0033CC"/>
                  <w:sz w:val="20"/>
                  <w:u w:val="single"/>
                </w:rPr>
                <w:t>98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5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54">
              <w:r>
                <w:rPr>
                  <w:rStyle w:val="InternetLink"/>
                  <w:rFonts w:ascii="Times New Roman;sans-serif" w:hAnsi="Times New Roman;sans-serif"/>
                  <w:b w:val="false"/>
                  <w:color w:val="0033CC"/>
                  <w:sz w:val="20"/>
                  <w:u w:val="single"/>
                </w:rPr>
                <w:t>98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5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57">
              <w:r>
                <w:rPr>
                  <w:rStyle w:val="InternetLink"/>
                  <w:rFonts w:ascii="Times New Roman;sans-serif" w:hAnsi="Times New Roman;sans-serif"/>
                  <w:b w:val="false"/>
                  <w:color w:val="0033CC"/>
                  <w:sz w:val="20"/>
                  <w:u w:val="single"/>
                </w:rPr>
                <w:t>98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60">
              <w:r>
                <w:rPr>
                  <w:rStyle w:val="InternetLink"/>
                  <w:rFonts w:ascii="Times New Roman;sans-serif" w:hAnsi="Times New Roman;sans-serif"/>
                  <w:b w:val="false"/>
                  <w:color w:val="0000FF"/>
                  <w:sz w:val="20"/>
                  <w:u w:val="single"/>
                </w:rPr>
                <w:t>Principal Accountant Fees and Services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60">
              <w:r>
                <w:rPr>
                  <w:rStyle w:val="InternetLink"/>
                  <w:rFonts w:ascii="Times New Roman;sans-serif" w:hAnsi="Times New Roman;sans-serif"/>
                  <w:b w:val="false"/>
                  <w:color w:val="0033CC"/>
                  <w:sz w:val="20"/>
                  <w:u w:val="single"/>
                </w:rPr>
                <w:t>98</w:t>
              </w:r>
            </w:hyperlink>
          </w:p>
        </w:tc>
      </w:tr>
      <w:tr>
        <w:trPr/>
        <w:tc>
          <w:tcPr>
            <w:tcW w:w="1020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f9b1b0ea548470ab2e3cd5bd5a07a5c_163">
              <w:r>
                <w:rPr>
                  <w:rStyle w:val="InternetLink"/>
                  <w:rFonts w:ascii="Times New Roman;sans-serif" w:hAnsi="Times New Roman;sans-serif"/>
                  <w:b/>
                  <w:color w:val="0000FF"/>
                  <w:sz w:val="20"/>
                  <w:u w:val="single"/>
                </w:rPr>
                <w:t>Part IV</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166">
              <w:r>
                <w:rPr>
                  <w:rStyle w:val="InternetLink"/>
                  <w:rFonts w:ascii="Times New Roman;sans-serif" w:hAnsi="Times New Roman;sans-serif"/>
                  <w:b w:val="false"/>
                  <w:color w:val="0000FF"/>
                  <w:sz w:val="20"/>
                  <w:u w:val="single"/>
                </w:rPr>
                <w:t>Exhibits and Financial Statement Schedules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166">
              <w:r>
                <w:rPr>
                  <w:rStyle w:val="InternetLink"/>
                  <w:rFonts w:ascii="Times New Roman;sans-serif" w:hAnsi="Times New Roman;sans-serif"/>
                  <w:b w:val="false"/>
                  <w:color w:val="0033CC"/>
                  <w:sz w:val="20"/>
                  <w:u w:val="single"/>
                </w:rPr>
                <w:t>99</w:t>
              </w:r>
            </w:hyperlink>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before="0" w:after="0"/>
        <w:rPr/>
      </w:pPr>
      <w:r>
        <w:rPr/>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8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sections titled “Business” and “Management’s Discussion and Analysis of Financial Condition and Results of Operations,” as well as other parts of this Annual Report on Form 10-K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“Risk Factors,” and elsewhere in this Annual Report on Form 10-K. Many of the forward-looking statements are located in “Management’s Discussion and Analysis of Financial Condition and Results of Operations.” </w:t>
      </w:r>
    </w:p>
    <w:p>
      <w:pPr>
        <w:pStyle w:val="TextBody"/>
        <w:spacing w:lineRule="auto" w:line="288" w:before="10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are not guarantees of future performance and involve risks and uncertainties. The forward-looking statements contained in this Annual Report on Form 10-K are based on information available to us as of the filing date of this Annual Report on Form 10-K and our current expectations about future events, which are inherently subject to change and involve risks and uncertainties. You should not place undue reliance on these forward-looking statements.</w:t>
      </w:r>
    </w:p>
    <w:p>
      <w:pPr>
        <w:pStyle w:val="TextBody"/>
        <w:spacing w:lineRule="auto" w:line="288" w:before="18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We do not undertake any obligation to update any forward-looking statements in this Annual Report on Form 10-K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pStyle w:val="TextBody"/>
        <w:spacing w:lineRule="auto" w:line="417" w:before="18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SUMMARY OF MATERIAL RISKS ASSOCIATED WITH OUR BUSINESS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risks and uncertainties affecting our business include the following:</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growth prospects of the property &amp; casualty (“P&amp;C”) insurance industry and our company;</w:t>
      </w:r>
    </w:p>
    <w:p>
      <w:pPr>
        <w:pStyle w:val="TextBody"/>
        <w:spacing w:lineRule="auto" w:line="247" w:before="0" w:after="0"/>
        <w:ind w:left="0" w:right="0" w:hanging="360"/>
        <w:rPr/>
      </w:pPr>
      <w:r>
        <w:rPr>
          <w:color w:val="000000"/>
        </w:rPr>
        <w:t>•</w:t>
      </w:r>
      <w:r>
        <w:rPr>
          <w:rFonts w:ascii="Times New Roman;sans-serif" w:hAnsi="Times New Roman;sans-serif"/>
          <w:b w:val="false"/>
          <w:color w:val="000000"/>
          <w:sz w:val="20"/>
        </w:rPr>
        <w:t>the developing market for subscription services and uncertainties attendant on emerging sales and delivery models, including the migration of our existing term license customers to cloud-based offerings on a subscription basis or failure to meet stipulated service levels with our subscription services;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trends in and timing of future sales, including the mix between license and subscription revenue and seasonality;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competitive environment and changes thereto;</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competitive attributes of our software applications and delivery models;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 in our revenue mix resulting in potential declines in our subscription and support gross margin or our services gross margin;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reliance on orders from a relatively small number of customers in the P&amp;C insurance industry for a substantial portion of our revenue and Annual Recurring Revenue (“ARR”);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timing and number of professional services engagements and the billing rates and utilization of our professional services employees and contractors;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challenges to further increase sales both in the United States and internationally;</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potential failure of any of our established services or products to satisfy customer demands or to maintain market acceptance;</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our sales and implementation cycles are lengthy and variable, depend upon factors outside our control, and could cause us to expend significant time and resources prior to generating revenue;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large customers have substantial negotiating leverage, which may require that we agree to terms and conditions that result in increased cost of revenue, decreased revenue, and lower average selling prices and gross margins;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depends on customers renewing and expanding their license, support, and subscription contracts for our services and products;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potential inability to develop, introduce, and market new and enhanced versions of our services and products;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research and development and cloud operations investment and efforts;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ability to comply with evolving local and foreign data privacy standards, including the General Data Protection Regulation in the European Union (“EU”) and the U.K. and the California Consumer Privacy Act, the California Privacy Rights Act, the Virginia Consumer Data Protection Act, and the Colorado Privacy Act,in the US, and maintain the security of our customer’s data, our cloud-based services or products, and the related costs and liabilities that we may incur;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expenses to be incurred, and benefits to be achieved, from our acquisitions;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gross and operating margins and factors that affect such margins; including costs related to operating, securing and enhancing our subscription services;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provision for tax liabilities, judgments related to revenue recognition,</w:t>
      </w:r>
      <w:r>
        <w:rPr>
          <w:color w:val="008080"/>
        </w:rPr>
        <w:t xml:space="preserve"> </w:t>
      </w:r>
      <w:r>
        <w:rPr>
          <w:rFonts w:ascii="Times New Roman;sans-serif" w:hAnsi="Times New Roman;sans-serif"/>
          <w:b w:val="false"/>
          <w:color w:val="000000"/>
          <w:sz w:val="20"/>
        </w:rPr>
        <w:t>and other critical accounting estimates;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timing and amount of any share repurchases by us;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impact of new regulations and laws, including tax laws and accounting standards;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apply accounting guidance that requires management to make estimates and assumptions and to adapt to and interpret the requirements of new guidance, or to clearly explain to stockholders how new guidance affects reporting of our results of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exposure to market risks, including geographical and political events that may negatively impact our customers, partners, and vendors or our business operations;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privacy concerns could result in regulatory changes and impose additional costs and liabilities on us and limit our use of information;</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 xml:space="preserve">the effect of uncertainties related to the global COVID-19 pandemic and future mutations or related strains of the virus such as the Delta variant on U.S. and global economies, our business, our employees, results of operations, financial condition, demand for our products, sales and implementation cycles, and the health of our customers' and partners' businesses; </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data security breaches of our cloud-based services or products or unauthorized access to our customers’ data;</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stock price may be volatile, which could result in securities class action litigation against us;</w:t>
      </w:r>
    </w:p>
    <w:p>
      <w:pPr>
        <w:pStyle w:val="TextBody"/>
        <w:spacing w:lineRule="auto" w:line="247" w:before="0" w:after="0"/>
        <w:ind w:left="0" w:right="0" w:hanging="360"/>
        <w:rPr/>
      </w:pPr>
      <w:r>
        <w:rPr>
          <w:color w:val="000000"/>
        </w:rPr>
        <w:t>•</w:t>
      </w:r>
      <w:r>
        <w:rPr>
          <w:rFonts w:ascii="Times New Roman;sans-serif" w:hAnsi="Times New Roman;sans-serif"/>
          <w:b w:val="false"/>
          <w:color w:val="000000"/>
          <w:sz w:val="20"/>
        </w:rPr>
        <w:t>our ability to successfully defend litigation brought against us;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satisfy future liquidity requirements.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summary risk factors described above should be read together with the text of the Risk Factors included in Item 1A of Part I of this Annual Report on Form 10-K and the other information set forth in this Annual Report on Form 10-K, including our consolidated financial statements and related notes thereto, as well as in other documents that we file with the U.S. Securities and Exchange Commission (the “SEC”). Additional risks and uncertainties, beyond those summarized above or discussed elsewhere in this Annual Report on Form 10-K may apply to our business, activities, or operations as currently conducted or as we may conduct them in the future or in the markets in which we operate or may in the future operate. </w:t>
      </w:r>
    </w:p>
    <w:p>
      <w:pPr>
        <w:pStyle w:val="TextBody"/>
        <w:spacing w:lineRule="auto" w:line="417" w:before="180" w:after="283"/>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p>
      <w:pPr>
        <w:pStyle w:val="TextBody"/>
        <w:spacing w:lineRule="auto" w:line="417"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we are referring to Guidewire Software, Inc. together with its subsidiaries when we use the terms “Guidewire,” the “Company,” “we,” “our,” or “us.”</w:t>
      </w:r>
    </w:p>
    <w:p>
      <w:pPr>
        <w:pStyle w:val="TextBody"/>
        <w:spacing w:before="100" w:after="283"/>
        <w:ind w:left="0" w:right="0" w:firstLine="495"/>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1.Business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Overview and Purpose</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delivers a leading platform that Property and Casualty (“P&amp;C”) insurers trust to engage, innovate, and grow efficiently. Guidewire’s platform combines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core operational services and products are InsuranceSuite via Guidewire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InsuranceSuite via Guidewire Cloud is a highly configurable and scalable product, delivered as a service and primarily comprised of three core applications (PolicyCenter, BillingCenter, and ClaimCenter) that can be subscribed to separately or together. These applications are built on and optimized for our Guidewire Cloud Platform (“GWCP”) architecture and leverage our in-house Guidewire Cloud operations team. InsuranceSuite via Guidewire Cloud is designed to support multiple releases each year to ensure that cloud customers remain on the latest version and gain fast access to our innovation efforts. Additionally, InsuranceSuite via Guidewire Cloud embeds digital and analytics capabilities natively into our platform. Most new sales and implementations are for InsuranceSuite via Guidewire Cloud. InsuranceNow is a complete, cloud-based application that offers policy, billing, and claims management functionality to insurers that have limited internal information technology resources. InsuranceSuite for self-managed installations is comprised of three core applications (PolicyCenter, BillingCenter, and ClaimCenter) that can be licensed separately or together and can be deployed and updated by our customers and their implementation partners.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platform is critical to our new and existing customers’ businesses, their decision-making and product evaluation process is long, which results in an extended sales cycle. These evaluation periods can extend further if a customer purchases multiple services and products or assesses the benefits of a cloud-based subscription. Sales to new customers also involve extensive customer due diligence and reference checks.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cloud-delivered offerings through subscription services and our self-managed products through term licenses. We generally price our services and products based on the amount of direct written premium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is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a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services, products, and platform. Substantially all of our services revenue is billed monthly on a time and materials basis.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our principal business operations in 2001. </w:t>
      </w:r>
    </w:p>
    <w:p>
      <w:pPr>
        <w:pStyle w:val="TextBody"/>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Industry Background</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P&amp;C insurance industry is large, fragmented, highly regulated, and complex. It is also highly competitive, with insurers competing primarily on product differentiation, pricing options, customer service, marketing and advertising, affiliate programs, and channel strategies.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P&amp;C insurers modernize their transactional core systems to manage key functional areas of P&amp;C insurance, including product definition, underwriting and policy administration, claims management, and billing. Product definition specifies the insurance coverage, pricing, and financial and legal terms of insurance policies. Underwriting and policy administration includes collecting information from potential policyholders, determining appropriate coverages and terms, pricing policies, issuing policies, and updating and maintaining policies over their lifetimes. Claims management includes loss intake, investigation and evaluation of incidents, settlement negotiation, vendor management, litigation management, and payment processing. Billing includes policyholder invoicing, payment collection, and agent commission calculation. We believe insurers that adopt modern core systems can enhance customer experience, operate more efficiently, and introduce innovative services and products more rapidly.</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P&amp;C insurance industry is experiencing accelerating change in how insurers engage with, sell to, and manage relationships with individual and business customers. Today, P&amp;C insurers are striving to respond to significant changes in their competitive marketplace and the character of the risks they underwrite. The most significant changes include: </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an industry rapidly going through change that requires agility and efficiency from its core systems;</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a rise in customer expectations for digital, mobile, and omni-channel interaction rather than the traditional agent model;</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a need for 100% digital engagement capabilities;</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a growth in demand for personalized services and products;</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an increase in technology and market-driven changes in vehicular risk;</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demand for coverage of emerging risks such as terrorism, cybersecurity, pandemic, and reputational risk;</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a wealth of data and desire to harness data to improve and grow business;</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advances in the use of data and analytics to better market to and engage with customers, price policies, and manage claims;</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development of opportunities to compete or partner with non-traditional players that offer disruptive technology-based value propositions;</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established industry leaders are facing increased competition from new entrants in the market, including insurtech companies; and</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rPr>
        <w:t>the introduction and leveraging of new technologies, such as drones, artificial intelligence, the “Internet of Things,” chatbots, and telematics.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these trends, such as digital engagement capabilities and data analytics, have increased in importance as a result of the COVID-19 pandemic. In response to these trends, changes, challenges, and opportunities, we believe that the P&amp;C insurance industry is entering a phase of increasing investment in technology, characterized by investments in systems that increase agility and enhance digital engagement and analytics offerings.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each insurer may have different goals and priorities when pursuing new technology investments, there are several major themes that we believe guide these investments: </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u w:val="single"/>
        </w:rPr>
        <w:t>Digital Engagement Models</w:t>
      </w:r>
      <w:r>
        <w:rPr>
          <w:rFonts w:ascii="Times New Roman;sans-serif" w:hAnsi="Times New Roman;sans-serif"/>
          <w:b w:val="false"/>
          <w:color w:val="000000"/>
          <w:sz w:val="20"/>
        </w:rPr>
        <w:t xml:space="preserve">. We believe that insurers will need to provide a more intuitive, digital user experience to reduce the risk of customer dissatisfaction and loss. Investment in digital user experience will allow insurers to deepen their engagement with customers and transition from passive and transactional customer interactions to active and advisory relationships. This transition will require investments in software services and products that are designed to model user journeys and enable more frequent, informed, and dynamic interactions between insurers and their customers. We believe these efforts can improve financial performance for insurers through increased lead conversions and lower customer churn. </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u w:val="single"/>
        </w:rPr>
        <w:t>Cloud-Delivered Solutions</w:t>
      </w:r>
      <w:r>
        <w:rPr>
          <w:rFonts w:ascii="Times New Roman;sans-serif" w:hAnsi="Times New Roman;sans-serif"/>
          <w:b w:val="false"/>
          <w:color w:val="000000"/>
          <w:sz w:val="20"/>
        </w:rPr>
        <w:t>. We believe that increased recognition of the compelling economic benefits of deploying software solutions on public infrastructure combined with increased confidence in the security and reliability of such platforms will cause more insurers to consider cloud-deployed solutions. Insurers benefit from an optimized division of labor and risk, allowing third parties to manage their infrastructure as they focus on competitively differentiating activities.</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u w:val="single"/>
        </w:rPr>
        <w:t>Data Driven Decision-Making</w:t>
      </w:r>
      <w:r>
        <w:rPr>
          <w:rFonts w:ascii="Times New Roman;sans-serif" w:hAnsi="Times New Roman;sans-serif"/>
          <w:b w:val="false"/>
          <w:color w:val="000000"/>
          <w:sz w:val="20"/>
        </w:rPr>
        <w:t xml:space="preserve">. Insurers are seeking to explore, visualize, and analyze proprietary and third-party data to optimize decision-making across the insurance lifecycle. We believe that such predictive analytical solutions are most effective when they provide predictive scores and other analytical insights to insurers’ employees as they perform their underwriting and claims management activities. Insurers may also apply data and machine learning to automate certain tasks whenever possible, thereby enabling efficiencies, such as straight-through processing, that lessen the burden on subject matter experts. </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u w:val="single"/>
        </w:rPr>
        <w:t>Innovation</w:t>
      </w:r>
      <w:r>
        <w:rPr>
          <w:rFonts w:ascii="Times New Roman;sans-serif" w:hAnsi="Times New Roman;sans-serif"/>
          <w:b w:val="false"/>
          <w:color w:val="000000"/>
          <w:sz w:val="20"/>
        </w:rPr>
        <w:t xml:space="preserve">. Insurers are under pressure to innovate across their product lifecycle in order to grow their business and improve service quality. Examples of focus areas include creating services and products to target under-insured risks such as cyber, supply chain disruption, and reputational risk and partnering with insurtech providers to streamline operations and improve service to policyholders and agents. </w:t>
      </w:r>
    </w:p>
    <w:p>
      <w:pPr>
        <w:pStyle w:val="TextBody"/>
        <w:spacing w:lineRule="auto" w:line="288" w:before="100" w:after="283"/>
        <w:ind w:left="0" w:right="0" w:hanging="360"/>
        <w:jc w:val="both"/>
        <w:rPr/>
      </w:pPr>
      <w:r>
        <w:rPr>
          <w:color w:val="000000"/>
        </w:rPr>
        <w:t>•</w:t>
      </w:r>
      <w:r>
        <w:rPr>
          <w:rFonts w:ascii="Times New Roman;sans-serif" w:hAnsi="Times New Roman;sans-serif"/>
          <w:b w:val="false"/>
          <w:color w:val="000000"/>
          <w:sz w:val="20"/>
          <w:u w:val="single"/>
        </w:rPr>
        <w:t>Legacy System Modernization</w:t>
      </w:r>
      <w:r>
        <w:rPr>
          <w:rFonts w:ascii="Times New Roman;sans-serif" w:hAnsi="Times New Roman;sans-serif"/>
          <w:b w:val="false"/>
          <w:color w:val="000000"/>
          <w:sz w:val="20"/>
        </w:rPr>
        <w:t xml:space="preserve">. A significant portion of the market continues to rely on legacy systems. We believe new claims, policy management, and billing systems will continue to be adopted as insurers that rely on legacy systems seek to gain operating efficiencies, expand into new markets and lines of business, and introduce new digital and data offerings. </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is designed to be the platform insurers trust in order to engage, innovate, and grow efficiently. Our platform combines core operations, digital engagement, analytics, and AI applications, so that insurers can increase revenue, reduce operational costs and losses, improve pricing, and engage with a customer base that increasingly demands mobile and automated forms of self-service and communication. We are investing in research and development to accelerate improvements in our cloud platform services, products, and marketplace to better serve our customers.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Core Operational Services and Products</w:t>
      </w:r>
    </w:p>
    <w:p>
      <w:pPr>
        <w:pStyle w:val="TextBody"/>
        <w:spacing w:lineRule="auto" w:line="288" w:before="1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offer the following core operational services and products: Guidewire InsuranceSuite via Guidewire Cloud, Guidewire InsuranceNow, and Guidewire InsuranceSuite for Self-Managed.</w:t>
      </w:r>
    </w:p>
    <w:p>
      <w:pPr>
        <w:pStyle w:val="TextBody"/>
        <w:spacing w:lineRule="auto" w:line="288" w:before="180" w:after="283"/>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Guidewire InsuranceSuite via Guidewire Cloud</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InsuranceSuite via Guidewire Cloud is comprised of three primary applications (PolicyCenter, BillingCenter, and ClaimCenter) optimized for our GWCP architecture. We offer several complementary applications designed to work seamlessly with these primary applications. InsuranceSuite via Guidewire Cloud is managed by our internal cloud operations team.</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PolicyCenter is our flexible underwriting and policy administration application that serves as a comprehensive system-of-record supporting the entire policy lifecycle, including product definition, underwriting, quoting, binding, issuance, endorsements, audits, cancellations, and renewals. Guidewire BillingCenter automates the billing lifecycle, enables the design of a wide variety of billing and payment plans, manages agent commissions, and integrates with external payment systems. Guidewire ClaimCenter is a complete end-to-end claims management solution that offers core claims functionality. These primary applications also include predictive analytics that drive smart decisions, digital engagement, and an ecosystem of partners and insurtechs.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GWCP is a Guidewire-developed architecture layer built on top of Amazon Web Services (“AWS”) that provides specialized cloud services, including multi-tenant cloud-native services that integrate digital experiences and analytics, for enterprise applications. The Guidewire Data Platform is a P&amp;C insurance-specific data repository, built on GWCP, which collects data from internal and external sources to provide analytical insights across the insurance lifecycle for our customers. The Guidewire Data Platform powers all analytical applications. Additionally, we provide tools to automate routine tasks and make tasks self-service to increase our customers’ agility while providing enterprise-grade performance, availability, privacy, and security. Given the specialized needs of the P&amp;C insurance industry, we have developed a scalable cloud architecture that enables isolating each customer’s system of record and database instances. This approach provides our customers with the benefits of cloud-native infrastructure and services and the flexibility to provide differentiated services to their customers.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Subscriptions to cloud services include regular updates to Guidewire software to ensure that Guidewire Cloud customers can easily access our latest innovations. New capabilities are often toggled-off so that customers can activate them at the right time for their businesses. This enables our customers to deliver improvements at a steady pace, optimized for their employees and customers. </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subscriptions include Guidewire Cloud Assurance Services, which provides for review of all configurations and integrations to ensure they follow published standards, best practices and required security methodologies. Furthermore, our internal cloud operations team monitors application performance and optimizes user adoption and experience.</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InsuranceNow</w:t>
      </w:r>
    </w:p>
    <w:p>
      <w:pPr>
        <w:pStyle w:val="TextBody"/>
        <w:spacing w:lineRule="auto" w:line="288" w:before="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Guidewire InsuranceNow is a complete, cloud-based platform for P&amp;C insurers in the United States with limited technology resources, that offers policy, billing, and claims management functionality to insurers that increases agility without adding complexity. </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InsuranceSuite for Self-Managed</w:t>
      </w:r>
    </w:p>
    <w:p>
      <w:pPr>
        <w:pStyle w:val="TextBody"/>
        <w:spacing w:lineRule="auto" w:line="288" w:before="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InsuranceSuite for Self-Managed is comprised of three primary applications (PolicyCenter, BillingCenter, and ClaimCenter) that can be licensed separately or together and can be deployed and updated by our customers and their implementation partners on their premises or in a third-party cloud infrastructure.</w:t>
      </w:r>
    </w:p>
    <w:p>
      <w:pPr>
        <w:pStyle w:val="TextBody"/>
        <w:spacing w:before="60" w:after="283"/>
        <w:ind w:left="0" w:right="0" w:firstLine="450"/>
        <w:jc w:val="both"/>
        <w:rPr/>
      </w:pPr>
      <w:r>
        <w:rPr/>
      </w:r>
    </w:p>
    <w:p>
      <w:pPr>
        <w:pStyle w:val="TextBody"/>
        <w:spacing w:lineRule="auto" w:line="288" w:before="100" w:after="283"/>
        <w:jc w:val="both"/>
        <w:rPr>
          <w:rFonts w:ascii="Times New Roman;sans-serif" w:hAnsi="Times New Roman;sans-serif"/>
          <w:b/>
          <w:i/>
          <w:color w:val="000000"/>
          <w:sz w:val="20"/>
        </w:rPr>
      </w:pPr>
      <w:r>
        <w:rPr>
          <w:rFonts w:ascii="Times New Roman;sans-serif" w:hAnsi="Times New Roman;sans-serif"/>
          <w:b/>
          <w:i/>
          <w:color w:val="000000"/>
          <w:sz w:val="20"/>
        </w:rPr>
        <w:t>Guidewire InsuranceSuite: Complementary Applications</w:t>
      </w:r>
    </w:p>
    <w:p>
      <w:pPr>
        <w:pStyle w:val="TextBody"/>
        <w:spacing w:lineRule="auto" w:line="288" w:before="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offer several complementary applications designed to work seamlessly with our core operational services and products, including:</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Guidewire Rating Management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Rating Management enables P&amp;C insurers to manage the pricing of their insurance services and products.</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Reinsurance Management</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Reinsurance Management enables P&amp;C insurers to use rules-based logic to execute their reinsurance strategy through their underwriting and claims processes.</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Client Data Management</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Client Data Management helps P&amp;C insurers capitalize on customer information more coherently, overcoming traditional siloed practices that impair efficiency and customer service.</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Product Content Management</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Product Content Management provides software tools and standards-based, line-of-business templates to enable insurers to more rapidly introduce and modify services and products by reducing product configuration and maintenance efforts. Any such product introduction or modification must connect to and incorporate regulatory or industry-standard data and content, such as Insurance Services Office (“ISO”) or National Council on Compensation Insurance (“NCCI”) content.</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Underwriting Management</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Underwriting Management is a cloud-based, integrated business application designed for commercial and specialty line insurers to drive premium growth and profit from better underwriting. This feature-rich workstation delivers straight-through processing, exception-based underwriting, real-time collaboration, and knowledge management in one integrated solution. Guidewire Underwriting Management is typically sold alongside Guidewire PolicyCenter, although it functions with other policy administration systems as well.</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AppReader</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AppReader is a submission intake management solution that enables P&amp;C insurers to process Association for Cooperative Operations Research and Development (“ACORD”) forms faster and more accurately than with manual processes or traditional upload solutions. AppReader is available for both Guidewire Underwriting Management and Guidewire PolicyCenter.</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ClaimCenter Package for the London Market</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ClaimCenter Package for the London Market supports the claims workflow used by London Market insurers and brokers. Integration of London Market Electronic Claims File (“ECF”) Write-Back lets insurers perform tasks and interact with the central industry market Claims Loss and Advice Settlement system directly from Guidewire ClaimCenter through message queues.</w:t>
      </w:r>
    </w:p>
    <w:p>
      <w:pPr>
        <w:pStyle w:val="TextBody"/>
        <w:spacing w:lineRule="auto" w:line="417" w:before="120" w:after="283"/>
        <w:rPr>
          <w:rFonts w:ascii="Times New Roman;sans-serif" w:hAnsi="Times New Roman;sans-serif"/>
          <w:b/>
          <w:i/>
          <w:color w:val="000000"/>
          <w:sz w:val="20"/>
        </w:rPr>
      </w:pPr>
      <w:r>
        <w:rPr>
          <w:rFonts w:ascii="Times New Roman;sans-serif" w:hAnsi="Times New Roman;sans-serif"/>
          <w:b/>
          <w:i/>
          <w:color w:val="000000"/>
          <w:sz w:val="20"/>
        </w:rPr>
        <w:t>Digital Engagement</w:t>
      </w:r>
    </w:p>
    <w:p>
      <w:pPr>
        <w:pStyle w:val="TextBody"/>
        <w:spacing w:lineRule="auto" w:line="288" w:before="10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 xml:space="preserve">Guidewire Digital Engagement Applications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Digital Engagement Applications enable insurers to provide digital experiences to customers, agents, vendors, and field personnel through their device of choice. As consumers increasingly use self-service functions on the internet and on mobile devices, we believe that many of them prefer to interact with their insurance providers digitally and that they expect to have a consistent and efficient transactional experience through multiple channels, whether online, in-person or by phone. Our Digital Engagement Applications also benefit agents and brokers who are seeking to automate business processes with insurers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improve customer service and productivity. In order to provide a holistic experience, Digital Applications are unified with InsuranceSuite.</w:t>
      </w:r>
    </w:p>
    <w:p>
      <w:pPr>
        <w:pStyle w:val="TextBody"/>
        <w:spacing w:lineRule="auto" w:line="288" w:before="10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Guidewire for Salesforce</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for Salesforce integrates Guidewire core systems with Salesforce for insurance carrier agents and service representatives. It provides customer information regarding their policies and claims.</w:t>
      </w:r>
    </w:p>
    <w:p>
      <w:pPr>
        <w:pStyle w:val="TextBody"/>
        <w:spacing w:lineRule="auto" w:line="417" w:before="120" w:after="283"/>
        <w:rPr>
          <w:rFonts w:ascii="Times New Roman;sans-serif" w:hAnsi="Times New Roman;sans-serif"/>
          <w:b/>
          <w:i/>
          <w:color w:val="000000"/>
          <w:sz w:val="20"/>
        </w:rPr>
      </w:pPr>
      <w:r>
        <w:rPr>
          <w:rFonts w:ascii="Times New Roman;sans-serif" w:hAnsi="Times New Roman;sans-serif"/>
          <w:b/>
          <w:i/>
          <w:color w:val="000000"/>
          <w:sz w:val="20"/>
        </w:rPr>
        <w:t>Analytics and Artificial Intelligence</w:t>
      </w:r>
    </w:p>
    <w:p>
      <w:pPr>
        <w:pStyle w:val="TextBody"/>
        <w:spacing w:lineRule="auto" w:line="288" w:before="18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variety of applications that allow insurers to uncover hidden opportunities and write more profitable business by enabling a seamless path from data to value.</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Predictive Analytics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Predictive Analytics is a set of cloud-native applications that allow insurers to deliver better business outcomes throughout the insurance lifecycle. By building (or importing) predictive models built from multiple data sets, designing comprehensive solutions, and operationalizing the predictive insights, Predictive Analytics enables a smart core platform. Applications include Predictive Analytics for Claims and Predictive Analytics for Profitability.</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Risk Insights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Risk Insights is a set of cloud-native applications that allows insurers to assess new and evolving risks. Through a process called “data listening”, Guidewire Risk Insights collects technical and behavioral data from a variety of sources (including public, open-source, proprietary, and third party) to quantify risk losses and probabilities. Applications include Cyence for Cyber Risk Management, Cyence for Small Business, and Cyence for Personal Cyber.</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Business Intelligence</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Business Intelligence is a set of cloud-native applications that allows insurers to measure business performance consistently and accurately. It enables claims, underwriting, sales, and service teams to collaborate and make informed decisions. It also provides P&amp;C insurance industry context around performance measures with comparable peer-insurer benchmarks. Applications include Explore and Compare.</w:t>
      </w:r>
    </w:p>
    <w:p>
      <w:pPr>
        <w:pStyle w:val="TextBody"/>
        <w:spacing w:lineRule="auto" w:line="288" w:before="1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Guidewire DataHub and InfoCenter</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Guidewire DataHub is an operational data store that unifies, standardizes, and stores data from the patchwork of insurer’s systems as well as from external sources. It is available for self-managed and InsuranceSuite cloud customers. Guidewire DataHub also enables insurers to accelerate legacy system replacement.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Guidewire InfoCenter is a business intelligence warehouse for P&amp;C insurers that provides information in easy-to-use formats for business intelligence, analysis, and enhanced decision making. With Guidewire InfoCenter, insurers gain flexible operational insights as well as the ability to optimize their business.</w:t>
      </w:r>
    </w:p>
    <w:p>
      <w:pPr>
        <w:pStyle w:val="TextBody"/>
        <w:spacing w:lineRule="auto" w:line="417" w:before="120" w:after="283"/>
        <w:jc w:val="both"/>
        <w:rPr>
          <w:rFonts w:ascii="Times New Roman;sans-serif" w:hAnsi="Times New Roman;sans-serif"/>
          <w:b/>
          <w:i/>
          <w:color w:val="000000"/>
          <w:sz w:val="20"/>
        </w:rPr>
      </w:pPr>
      <w:r>
        <w:rPr>
          <w:rFonts w:ascii="Times New Roman;sans-serif" w:hAnsi="Times New Roman;sans-serif"/>
          <w:b/>
          <w:i/>
          <w:color w:val="000000"/>
          <w:sz w:val="20"/>
        </w:rPr>
        <w:t>Guidewire Marketplace</w:t>
      </w:r>
    </w:p>
    <w:p>
      <w:pPr>
        <w:pStyle w:val="TextBody"/>
        <w:spacing w:lineRule="auto" w:line="276"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Guidewire Marketplace is where insurers find trusted applications and content that complement the Guidewire platform from our PartnerConnect partners, as well as from Guidewire product and services teams. These applications and content help insurers to rapidly innovate and differentiate their businesses by allowing them to build out an ecosystem that best meets their needs. As of July 31, 2021, the Guidewire Marketplace had over 190 partner-developed integrations and hundreds of Guidewire-developed resources available for download.</w:t>
      </w:r>
    </w:p>
    <w:p>
      <w:pPr>
        <w:pStyle w:val="TextBody"/>
        <w:spacing w:lineRule="auto" w:line="417" w:before="180" w:after="283"/>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is designed to assist P&amp;C insurers to grow their business, improve customer and agent engagement, lower operating costs, and improve decision making. We have increased the scope of our platform and business through internal development and acquisitions. This growing scope has required greater investment in the development of application interfaces and shared services necessary to unify the operations and user experience across our applications. To meet the anticipated increased demand for cloud-delivered solutions, we have increased investments to leverage the growing number of technology services provided by Amazon through AWS. The shift to cloud-delivered solutions has also required significant focus in improving our ability to manage, secure, and operate our applications since our cloud-based deployments, unlike our self-managed implementations, shift many operational responsibilities to us. Finally, we continue to improve the scalability of our service, which performs millions of complex, business-critical transactions daily. The accuracy and availability of our services must be maintained not only during normal business operations, but also during extraordinary events such as catastrophes, which may result in extremely high transaction volume in a short period of time. </w:t>
      </w:r>
    </w:p>
    <w:p>
      <w:pPr>
        <w:pStyle w:val="TextBody"/>
        <w:spacing w:lineRule="auto" w:line="417" w:before="180" w:after="283"/>
        <w:rPr>
          <w:rFonts w:ascii="Times New Roman;sans-serif" w:hAnsi="Times New Roman;sans-serif"/>
          <w:b/>
          <w:color w:val="000000"/>
          <w:sz w:val="20"/>
        </w:rPr>
      </w:pPr>
      <w:r>
        <w:rPr>
          <w:rFonts w:ascii="Times New Roman;sans-serif" w:hAnsi="Times New Roman;sans-serif"/>
          <w:b/>
          <w:color w:val="000000"/>
          <w:sz w:val="20"/>
        </w:rPr>
        <w:t>Services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implementation, cloud migration, and integration services to help our customers realize the benefits of our cloud-based services and software products. Our delivery services teams assist customers in building implementation or migration plans, integrating our software with their existing systems, and defining business rules and specific requirements unique to each customer. We also partner with leading SI consulting firms, certified on our software, to achieve scalable, cost-effective implementations for our customers. </w:t>
      </w:r>
    </w:p>
    <w:p>
      <w:pPr>
        <w:pStyle w:val="TextBody"/>
        <w:spacing w:lineRule="auto" w:line="417" w:before="180" w:after="283"/>
        <w:jc w:val="both"/>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attracting, developing, and retaining a motivated team of individuals who thrive in a culture based on integrity, rationality, and collegiality that embraces diversity, inclusion, and belonging. Understanding and proactively anticipating the priorities and needs of our current and future employees is important to realizing our mission to be the platform P&amp;C insurers trust to engage, innovate, and grow efficiently.</w:t>
      </w:r>
    </w:p>
    <w:p>
      <w:pPr>
        <w:pStyle w:val="TextBody"/>
        <w:spacing w:lineRule="auto" w:line="288" w:before="10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2021, we had 2,942 employees, including 1,453 in global product development and operations (comprised of research and development, cloud operations, and technical support), 657 in professional services, 426 in sales and marketing, and 406 in general and administrative roles. As of July 31, 2021, we had 1,860 employees in the United States and 1,082 employees internationally.</w:t>
      </w:r>
    </w:p>
    <w:p>
      <w:pPr>
        <w:pStyle w:val="TextBody"/>
        <w:spacing w:lineRule="auto" w:line="288" w:before="1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Attracting, Developing, and Retaining Employees</w:t>
      </w:r>
    </w:p>
    <w:p>
      <w:pPr>
        <w:pStyle w:val="TextBody"/>
        <w:spacing w:lineRule="auto" w:line="288" w:before="10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recruiting, development, and retention objectives focus on attracting skilled and engaged employees who contribute the talent and diverse perspectives critical to our innovative, forward-looking, and inclusive workforce. Our recruiting process actively sources diverse talent and is designed to reduce bias, supporting our ability to hire candidates with professional qualifications, personal potential, and differing perspectives. Our flexible work policies expand our ability to hire and retain talent in geographies where we do not have physical offices. Fostering career progression by encouraging regular professional education empowers our employees to pursue their professional goals, which is critical to developing and retaining our employees. We invest in broad-based development for all of our employees in various ways such as skills-building programs, on-demand learning options, mentoring programs, and leadership development courses. In an effort to create more development opportunities for all employees, we are currently expanding our intern, mentoring, and leadership development programs. We gauge progress and efficacy, identify opportunities for change, and pursue solutions through tracking and analyzing data from various sources such as annual talent reviews and our progress toward hiring/promotion goals in our development, diversity and inclusion plans.</w:t>
      </w:r>
    </w:p>
    <w:p>
      <w:pPr>
        <w:pStyle w:val="TextBody"/>
        <w:spacing w:lineRule="auto" w:line="288" w:before="1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Inclusion, and Belonging</w:t>
      </w:r>
    </w:p>
    <w:p>
      <w:pPr>
        <w:pStyle w:val="TextBody"/>
        <w:spacing w:lineRule="auto" w:line="288" w:before="10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understanding and respecting another’s perspective, experience, background, and beliefs provides an opportunity to expand horizons, challenge complacency, and foster empathy. Diversity of perspective, experience, background, and beliefs fuel our innovative, collaborative, and engaged workplace. Realizing greater ethnic, racial, and gender diversity across all levels of our organization is, and will continue to be, an ongoing journey. We aim for the highest standards of fairness and equal opportunity in recruitment, hiring, promotions, job assignments, and compensation. Some of our initiatives to create greater diversity and belonging among our employees include inclusive recruiting and outreach programs for diverse candidates, employee resource groups, and management-led listening circles.</w:t>
      </w:r>
    </w:p>
    <w:p>
      <w:pPr>
        <w:pStyle w:val="TextBody"/>
        <w:spacing w:lineRule="auto" w:line="288" w:before="1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Positive Corporate Culture</w:t>
      </w:r>
    </w:p>
    <w:p>
      <w:pPr>
        <w:pStyle w:val="TextBody"/>
        <w:spacing w:lineRule="auto" w:line="288" w:before="10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are critical to our success, and we believe creating a positive, inclusive culture is essential to attracting and retaining engaged employees. Our values of integrity, rationality, and collegiality are the foundation of how we work with one another. We incorporate a wide variety of communication and training activities to encourage collaboration amongst our colleagues around the world. We measure the program’s efficacy and identify opportunities for improvements through an engagement survey distributed approximately every two years, with the last survey completed in April 2021.</w:t>
      </w:r>
    </w:p>
    <w:p>
      <w:pPr>
        <w:pStyle w:val="TextBody"/>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 and Wellness</w:t>
      </w:r>
    </w:p>
    <w:p>
      <w:pPr>
        <w:pStyle w:val="TextBody"/>
        <w:spacing w:lineRule="auto" w:line="268" w:before="6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a healthy, engaged, and high-performing workforce is part of our competitive advantage. We want all of our employees to thrive, and we regularly re-evaluate how to best support our employees’ wellness, health, and safety through benefits and resources. Our current benefit and wellness programs drive engagement that positively impacts our culture, job satisfaction, recruiting, and retention programs. In response to the COVID-19 pandemic, we expanded our physical, mental, and family health programs and informational outreach through professional development opportunities and personal empowerment, safe and healthy workspaces, wellness initiatives (including physical, emotional, and mental health), fair compensation, benefits, and recognition. Additionally, we have announced our intention to transition to a hybrid work environment in which a significant portion of our workforce will work either in-person on a part-time basis or remotely on a permanent basis. </w:t>
      </w:r>
    </w:p>
    <w:p>
      <w:pPr>
        <w:pStyle w:val="TextBody"/>
        <w:spacing w:lineRule="auto" w:line="288" w:before="1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Labor Relations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in the United States are not represented by a labor union; however, in certain foreign locations, there are workers’ councils that represent our employees. We have not experienced any work stoppages, and we consider our relations with our employees to be good. We recognize the critical role that our supervisors and managers play in fostering a productive, inclusive and respectful work environment, and we encourage employees to work directly with their supervisors, where possible, to efficiently and effectively resolve workplace concerns. We also respect our employees’ rights to voluntarily establish and join unions and similar associations without unlawful interference. We strive to work collaboratively with the councils and associations that represent our workers.</w:t>
      </w:r>
    </w:p>
    <w:p>
      <w:pPr>
        <w:pStyle w:val="TextBody"/>
        <w:spacing w:lineRule="auto" w:line="417" w:before="180" w:after="283"/>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and sell our services and products to a wide variety of global P&amp;C insurers ranging from some of the largest global insurers to national and regional companies. We believe strong customer relationships are a key driver of our success given the long-term nature of our customer engagements and importance of customer references for new sales. We focus on developing and maintaining our customer relationships through customer service and account management. Customers are defined as entities that have placed orders for our services or products. In some instances, a parent corporation can have multiple entities, or insurance brands, that place orders for our services or products. As of July 31, 2021, we had more than 350 customers representing more than 450 insurance brands, also referred to as insurers, using one or more of our services or products in 34 countries. </w:t>
      </w:r>
    </w:p>
    <w:p>
      <w:pPr>
        <w:pStyle w:val="TextBody"/>
        <w:spacing w:lineRule="auto" w:line="417" w:before="180" w:after="283"/>
        <w:rPr>
          <w:rFonts w:ascii="Times New Roman;sans-serif" w:hAnsi="Times New Roman;sans-serif"/>
          <w:b/>
          <w:color w:val="000000"/>
          <w:sz w:val="20"/>
        </w:rPr>
      </w:pPr>
      <w:r>
        <w:rPr>
          <w:rFonts w:ascii="Times New Roman;sans-serif" w:hAnsi="Times New Roman;sans-serif"/>
          <w:b/>
          <w:color w:val="000000"/>
          <w:sz w:val="20"/>
        </w:rPr>
        <w:t>Strategic Relationships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extensive relationships with SI, consulting, technology, and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work closely with our network of third-party SI partners to facilitate new sales and implementations of both our subscription services and self-managed products. Our partnerships with leading SI partners allow us to increase efficiency and scale while reducing customer implementation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implementations.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PartnerConnect alliance program, we have a community of Solution Partners developing integrations that enable software and insurance business solutions to interoperate with our services and products. As of July 31, 2021, more than 190 of these partner-developed integrations have been validated by us and awarded Ready for Guidewire branding. The Guidewire Marketplace provides our customers with an online forum to learn about and download Ready for Guidewire integrations for use with our services and products. These integrations help customers reduce implementation risk and effort, and lower the total cost of implementation and operation. The Guidewire Marketplace also empowers customers pursuing innovation initiatives by providing access to a curated collection of insurtech applications. We anticipate expanding the reach of the Guidewire Marketplace.</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our industry focus and the mission-critical needs our services and products address, our sales and marketing efforts are tailored to communicate effectively to senior executives within the P&amp;C insurance industry. Our sales, marketing, and executive teams work together to cultivate long-term relationships with current and prospective customers in each of the geographies in which we are active.</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direct sales team serves as both our exclusive sales channel and our account management function and is organized by geographic region across the Americas, EMEA, and APAC. We augment our sales professionals with a pre-sales team possessing insurance domain and technical expertise, who engage customers to understand their specific business needs and then represent our services and products through demonstrations tailored to address those needs.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team supports sales with competitive analysis and sales tools, while investing to strengthen our brand name and reputation. We participate at industry conferences, are published frequently in the industry press, and have active relationships with all of the major industry analysts. We also host Connections, our annual user conference where customers both participate in and deliver in-person and virtual presentations on a wide range of Guidewire and insurance technology topics. We invite potential customers and partners to our user conference, as we believe customer references are a key component of driving new sales. Our strong relationships with leading system integrators enhance our direct sales through co-marketing efforts and by providing additional market validation of the distinctiveness and quality of our offerings.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417" w:before="180" w:after="283"/>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efforts focus on enhancing our platform, services, and products to meet the complex requirements of P&amp;C insurers with a focus on capabilities, operational efficiency, data analytics, security, and privacy in the cloud. These efforts are intended to help our customers improve their operations; drive greater digital engagement with their customers, agents, and brokers; and gather, store and analyze data to improve business decisions. We also invest significantly in developing our services and products and necessary integrations to meet the market requirements, including regulations, language, currency, and local terminology, of each country or state in which our customers operate. This market-segment specific functionality must be updated regularly in order to stay current with regulatory changes in each market. We rely on a multi-national engineering team, which has grown organically and through acquisitions. </w:t>
      </w:r>
    </w:p>
    <w:p>
      <w:pPr>
        <w:pStyle w:val="TextBody"/>
        <w:spacing w:lineRule="auto" w:line="417" w:before="180" w:after="283"/>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market that caters to the P&amp;C insurance industry is highly competitive and fragmented. Increased spending by insurers on software solutions and the emergence of new platforms that have broadened from core system modernization to new digital engagement and data and analytics solutions have generated significant interest among investors and entrepreneurs. Increased capital allows market participants, or potential market participants such as insurtech companies, to adopt more aggressive go-to-market strategies, improve existing services or products, introduce new services or products, develop innovative solutions that disrupt the market, and consolidate with other vendors. This market is also subject to changing technology preferences, shifting customer needs, and the adoption of cloud deployed solutions. These factors create an environment of increasing competition. Our current and future competitors vary in size and in the breadth and scope of the services or products they offer. As we expand our product portfolio, we may begin to compete with software and service providers we have not traditionally competed against. Our current competitors include, but are not limited to, customers’ internally developed proprietary solutions; P&amp;C insurance software vendors such as Duck Creek, EIS Group, Insurity, Majesco, Prima Solutions, RGI, and Sapiens; and horizontal software vendors such as SAP and Salesforce, which acquired Vlocity in 2020.</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Competitive factors in our industry depend on the product being offered and the size, geographic market, and line of business of potential customers. The principal competitive factors include product functionality, performance, customer references, total cost of ownership, solution completeness, implementation track record, security and in-depth knowledge of the P&amp;C insurance industry. We typically compete favorably on the basis of these factors in most geographies.</w:t>
      </w:r>
    </w:p>
    <w:p>
      <w:pPr>
        <w:pStyle w:val="TextBody"/>
        <w:spacing w:lineRule="auto" w:line="417" w:before="180" w:after="283"/>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industry is characterized by the existence of a large number of patents and frequent claims and related litigation regarding patent and other intellectual property rights. Our success and ability to compete depend in part upon our ability to protect our proprietary technology, to establish and adequately protect our intellectual property rights, and to protect against third-party claims and litigation related to intellectual property. To accomplish these objectives, we rely on a combination of patent, trademark, copyright, and trade secret laws in the United States and other jurisdictions, as well as license agreements and other contractual protections. We own or have pending patents and patent applications, which generally apply to our software. Our owned patents have expiration dates starting in 2025. We also rely on several registered and unregistered trademarks, as well as pending applications for such registrations, in order to protect our brand both in the United States and internationally.</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services and partners are designed to ensure customer success by committing additional resources to both cloud-based and self-managed implementation projects. Our investments in cloud operations are focused on managing the infrastructure for our cloud-based customers in a secure, efficient, and cost-effective manner.</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Information about Segment and Geographic Revenue</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geographic revenue is set forth in Note 2 and information about segment reporting is set forth in Note 12 of the Notes to Consolidated Financial Statements under Item 8 of this Annual Report on Form 10-K.</w:t>
      </w:r>
    </w:p>
    <w:p>
      <w:pPr>
        <w:pStyle w:val="TextBody"/>
        <w:spacing w:lineRule="auto" w:line="417" w:before="280" w:after="283"/>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100" w:after="283"/>
        <w:jc w:val="both"/>
        <w:rPr>
          <w:color w:val="000000"/>
        </w:rPr>
      </w:pPr>
      <w:r>
        <w:rPr>
          <w:color w:val="000000"/>
        </w:rPr>
        <w:t>    </w:t>
      </w:r>
      <w:r>
        <w:rPr>
          <w:rFonts w:ascii="Times New Roman;sans-serif" w:hAnsi="Times New Roman;sans-serif"/>
          <w:b w:val="false"/>
          <w:color w:val="000000"/>
          <w:sz w:val="20"/>
        </w:rPr>
        <w:t xml:space="preserve">We have experienced seasonal variations in our license revenue and, to a lesser extent, in our subscription revenue as a result of increased customer orders in our fourth fiscal quarter. We generally see significantly increased orders in our fourth fiscal quarter, which is the quarter ending July 31, due to efforts by our sales team to achieve annual incentives. Because we recognize revenue upfront for new term licenses and multi-year renewals compared to over time for subscription services, changes in the mix between term license and subscription services may impact our quarterly results. Additionally, any quarter in which a significant multi-year term license or multi-year term license renewal or non-renewal occurs could be impacted. For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example, in the first quarter of fiscal year 2021, we experienced license revenue growth due to a five-year term license renewal under which revenue was recognized upfront, which overshadowed the comparison with our second fiscal quarter of 2021 and may create a challenging comparable period for the first quarter of fiscal year 2022.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services revenue is also subject to seasonal fluctuations, though to a lesser degree than our license revenue and subscription revenue. Our services revenue is impacted by the number of billable days in a given fiscal quarter. The fiscal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 </w:t>
      </w:r>
    </w:p>
    <w:p>
      <w:pPr>
        <w:pStyle w:val="TextBody"/>
        <w:spacing w:lineRule="auto" w:line="417" w:before="360" w:after="283"/>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spacing w:lineRule="auto" w:line="288" w:before="180" w:after="283"/>
        <w:ind w:left="0" w:right="0" w:firstLine="495"/>
        <w:jc w:val="both"/>
        <w:rPr/>
      </w:pPr>
      <w:r>
        <w:rPr>
          <w:rFonts w:ascii="Times New Roman;sans-serif" w:hAnsi="Times New Roman;sans-serif"/>
          <w:b w:val="false"/>
          <w:color w:val="000000"/>
          <w:sz w:val="20"/>
        </w:rPr>
        <w:t xml:space="preserve">The following filings are available to view and download free of charge on our investor relations website as soon as reasonably practicable after we file them with the SEC: Annual Report on Form 10-K, Quarterly Reports on Form 10-Q, Current Reports on Form 8-K, and our Proxy Statement for our annual meeting of stockholders. Our website is located at </w:t>
      </w:r>
      <w:r>
        <w:rPr>
          <w:rFonts w:ascii="Times New Roman;sans-serif" w:hAnsi="Times New Roman;sans-serif"/>
          <w:b w:val="false"/>
          <w:color w:val="000000"/>
          <w:sz w:val="20"/>
          <w:u w:val="single"/>
        </w:rPr>
        <w:t>www.guidewire.com</w:t>
      </w:r>
      <w:r>
        <w:rPr>
          <w:rFonts w:ascii="Times New Roman;sans-serif" w:hAnsi="Times New Roman;sans-serif"/>
          <w:b w:val="false"/>
          <w:color w:val="000000"/>
          <w:sz w:val="20"/>
        </w:rPr>
        <w:t xml:space="preserve">, and our investor relations website is located at </w:t>
      </w:r>
      <w:r>
        <w:rPr>
          <w:rFonts w:ascii="Times New Roman;sans-serif" w:hAnsi="Times New Roman;sans-serif"/>
          <w:b w:val="false"/>
          <w:color w:val="000000"/>
          <w:sz w:val="20"/>
          <w:u w:val="single"/>
        </w:rPr>
        <w:t>http://ir.guidewire.com</w:t>
      </w:r>
      <w:r>
        <w:rPr>
          <w:rFonts w:ascii="Times New Roman;sans-serif" w:hAnsi="Times New Roman;sans-serif"/>
          <w:b w:val="false"/>
          <w:color w:val="000000"/>
          <w:sz w:val="20"/>
        </w:rPr>
        <w:t xml:space="preserve">/. We also provide a link to the section of the SEC’s website at </w:t>
      </w:r>
      <w:r>
        <w:rPr>
          <w:rFonts w:ascii="Times New Roman;sans-serif" w:hAnsi="Times New Roman;sans-serif"/>
          <w:b w:val="false"/>
          <w:color w:val="000000"/>
          <w:sz w:val="20"/>
          <w:u w:val="single"/>
        </w:rPr>
        <w:t>www.sec.gov</w:t>
      </w:r>
      <w:r>
        <w:rPr>
          <w:color w:val="000000"/>
        </w:rPr>
        <w:t xml:space="preserve"> </w:t>
      </w:r>
      <w:r>
        <w:rPr>
          <w:rFonts w:ascii="Times New Roman;sans-serif" w:hAnsi="Times New Roman;sans-serif"/>
          <w:b w:val="false"/>
          <w:color w:val="000000"/>
          <w:sz w:val="20"/>
        </w:rPr>
        <w:t xml:space="preserve">that has all of our public filings, including periodic reports, proxy statements, and other information.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access to a recording of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as part of our investor relations website. Investors and others can receive notifications of new information posted on our investor relations website in real time by signing up for email alerts and RSS feeds. Corporate governance information, including our governance guidelines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pStyle w:val="TextBody"/>
        <w:spacing w:before="180" w:after="283"/>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before="18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spacing w:lineRule="auto" w:line="417"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spacing w:lineRule="auto" w:line="288" w:before="10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A description of the risks and uncertainties associated with our business is set forth below. You should carefully consider such risks and uncertainties, together with the other information contained in this Annual Report on Form 10-K,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Annual Report on Form 10-K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pStyle w:val="TextBody"/>
        <w:spacing w:before="0" w:after="0"/>
        <w:jc w:val="center"/>
        <w:rPr/>
      </w:pPr>
      <w:r>
        <w:rPr/>
      </w:r>
    </w:p>
    <w:p>
      <w:pPr>
        <w:pStyle w:val="TextBody"/>
        <w:spacing w:lineRule="auto" w:line="417" w:before="18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global COVID-19 pandemic has adversely affected, and may continue to adversely affect, our business, results of operations, and financial condition.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related adverse public health developments, including orders to shelter-in-place, have adversely affected and are continuing to adversely affect workforces, organizations, economies, and financial markets globally, leading to economic downturns and increased market volatility. Our business and financial results during fiscal year 2021, including our ARR growth rates, services revenue, and margins, were adversely impacted due to the disruptions resulting from the COVID-19 pandemic. The pandemic, as well as measures undertaken to contain the spread of COVID-19, have affected and could further affect our ability to travel to customers and prospects, resulting in delays in services delivery, delays in implementations, and interruptions or modifications in our sales and marketing activities, including Connections, our annual user conference, which has adversely affected, and may continue to adversely affect, our business, results of operations, and financial condition, particularly if there are periods of increases in the number of COVID-19 cases or future variants of the virus in areas in which we operate. The pandemic has also disrupted the normal operations of our customers’ businesses and our SI partners’ businesses. The related impacts of the pandemic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in difficulty accurately forecasting our financial results. Additionally, our customers may be unable to pay outstanding invoices or may request amended payment terms due to the economic impacts from COVID-19. As a result of these containment measures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Despite the increased availability of vaccines, due to the continuing and evolving nature of the COVID-19 pandemic and the potential for periods of increases in case numbers and emergence and spread of virus variants in markets and communities in which we, our customers, and our SI partners operate, it is not possible for us to accurately predict the duration or magnitude of the adverse impacts of the pandemic and its effects on our business, results of operations, or financial condition. Further, to the extent the COVID-19 pandemic adversely affects our business, results of operations, or financial condition, it may also have the effect of heightening many of the other risks described in this “Risk Factors” section.</w:t>
      </w:r>
    </w:p>
    <w:p>
      <w:pPr>
        <w:pStyle w:val="TextBody"/>
        <w:spacing w:before="0" w:after="0"/>
        <w:jc w:val="both"/>
        <w:rPr/>
      </w:pPr>
      <w:r>
        <w:rPr/>
      </w:r>
    </w:p>
    <w:p>
      <w:pPr>
        <w:pStyle w:val="TextBody"/>
        <w:spacing w:lineRule="auto" w:line="237"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are in the process of transitioning to a hybrid in-person and remote workforce, which will subject us to certain operational challenges and risks and potential harm to our business.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COVID-19 pandemic, our workforce shifted from in-person to remote work. We have announced our intention to transition to a hybrid work environment in which a significant portion of our workforce will work either in-person on a part-time basis or remotely on a permanent basis. As a result, we expect to continue to be subject to the challenges and risks of having a remote workforce, as well as new challenges and risks from operating with a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access company data and systems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pStyle w:val="TextBody"/>
        <w:spacing w:before="0" w:after="0"/>
        <w:rPr/>
      </w:pPr>
      <w:r>
        <w:rPr/>
      </w:r>
    </w:p>
    <w:p>
      <w:pPr>
        <w:pStyle w:val="TextBody"/>
        <w:spacing w:lineRule="auto" w:line="237"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may experience significant quarterly and annual fluctuations in our results of operations due to a number of factors.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Factors that may affect our results of operations include:</w:t>
      </w:r>
    </w:p>
    <w:p>
      <w:pPr>
        <w:pStyle w:val="TextBody"/>
        <w:spacing w:lineRule="auto" w:line="288" w:before="100" w:after="283"/>
        <w:ind w:left="0" w:right="0" w:hanging="540"/>
        <w:jc w:val="both"/>
        <w:rPr/>
      </w:pPr>
      <w:r>
        <w:rPr>
          <w:color w:val="000000"/>
        </w:rPr>
        <w:t>•</w:t>
      </w:r>
      <w:r>
        <w:rPr>
          <w:rFonts w:ascii="Times New Roman;sans-serif" w:hAnsi="Times New Roman;sans-serif"/>
          <w:b w:val="false"/>
          <w:color w:val="000000"/>
          <w:sz w:val="20"/>
        </w:rPr>
        <w:t>the impact of economic downturns and related market volatility caused by the COVID-19 pandemic or other national and worldwide events on our business and the businesses of our customers, partners and vendors;</w:t>
      </w:r>
    </w:p>
    <w:p>
      <w:pPr>
        <w:pStyle w:val="TextBody"/>
        <w:spacing w:lineRule="auto" w:line="288" w:before="100" w:after="283"/>
        <w:ind w:left="0" w:right="0" w:hanging="540"/>
        <w:jc w:val="both"/>
        <w:rPr/>
      </w:pPr>
      <w:r>
        <w:rPr>
          <w:color w:val="000000"/>
        </w:rPr>
        <w:t>•</w:t>
      </w:r>
      <w:r>
        <w:rPr>
          <w:rFonts w:ascii="Times New Roman;sans-serif" w:hAnsi="Times New Roman;sans-serif"/>
          <w:b w:val="false"/>
          <w:color w:val="000000"/>
          <w:sz w:val="20"/>
        </w:rPr>
        <w:t>our ability to attract new domestic and international customers and renew existing customers;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seasonal buying patterns of our potential customers and our ability to sell additional software and services to existing customers;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the proportion and timing of subscription sales as opposed to term or perpetual software licenses, and the variations in revenue recognition between these contract types;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changes in contract durations of term software licenses and renewals;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increases in costs related to cloud operations, product development, and services;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our ability to develop and achieve market adoption of cloud-based services, including the impact of our customers transitioning from term software licenses to subscription services;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erosion in services margins or significant fluctuations in services revenue caused by changing customer demand, negotiated professional services billing rates, or fixed fee contracts;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the incurrence of penalties for failing to meet certain contractual obligations, including service levels, product development cycles and functionality, and implementation times and objectives;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future accounting pronouncements or changes in accounting rules and our related accounting policies, interpretations, and controls;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our ability to realize expected benefits from our acquisitions and other strategic business transactions;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reductions in our customers’ budgets for information technology purchases and delays in their purchasing decisions;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employee retention and the timing of hiring personnel and employee related expenses;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the impact of a recession or any other adverse global economic condition on our business, including pandemics, trade tariffs, trade agreements, and other uncertainties that may cause a delay in entering into or a failure to enter into significant customer agreements or the fulfillment of professional service arrangements;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adverse litigation judgments, dispute-related settlement payments, or litigation-related costs; </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fluctuations in foreign currency exchange rates; and</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the effects of inflation or deflation in the economies in which we operate and its impact on our revenues given the multi-year term of most customer agreements.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and other ongoing changes to our business, it is challenging to forecast our quarterly and annual results.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pStyle w:val="TextBody"/>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Seasonal sales patterns may cause significant fluctuations in our results of operations and cash flows and may prevent us from achieving our quarterly or annual forecasts, which may cause our stock price to decline.</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 over quarter and year-over-year revenue growth comparisons. Cash flow expectations and comparisons could also be impacted because of the ramped nature of the annual installments of these multi-year subscription services arrangements. Additionally, ARR, which reflects the annualized recurring value of active customer contracts at the end of a reporting period, will be impacted by the seasonality of new sales orders, even if the revenue is recognized ratably.</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growth in revenue or ARR also may not coincide with new orders or cash flows in a given quarter, which could mask the impact of seasonal variations. This mismatch is primarily due to the following reasons:</w:t>
      </w:r>
    </w:p>
    <w:p>
      <w:pPr>
        <w:pStyle w:val="TextBody"/>
        <w:spacing w:lineRule="auto" w:line="288" w:before="100" w:after="283"/>
        <w:ind w:left="0" w:right="0" w:hanging="540"/>
        <w:jc w:val="both"/>
        <w:rPr/>
      </w:pPr>
      <w:r>
        <w:rPr>
          <w:color w:val="000000"/>
        </w:rPr>
        <w:t>•</w:t>
      </w:r>
      <w:r>
        <w:rPr>
          <w:rFonts w:ascii="Times New Roman;sans-serif" w:hAnsi="Times New Roman;sans-serif"/>
          <w:b w:val="false"/>
          <w:color w:val="000000"/>
          <w:sz w:val="20"/>
        </w:rPr>
        <w:t>our subscription arrangements are recognized ratably and only a portion of the revenue from an order is recognized in the same fiscal period of the order;</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subscription arrangements generally have ramped invoicing schedules over the initial term, which affects ARR, but revenue is recognized ratably over the initial term;</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our term license agreements and multi-year term license renewals generally have annual billing arrangements even though revenue is recognized upfront for the entire committed term;</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we may enter into license agreements with future product delivery requirements, specified terms for product upgrades or functionality, acceptance terms, or unconditional return rights, which may require us to delay revenue recognition for a period of time; and</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revenue recognition may not occur in the period when the order is placed due to certain revenue recognition criteria not being met, such as delivery of the software or providing access to the subscription services.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seasonal patterns may be affected by the timing of particularly large transactions and the large number of renewals that occur in the first fiscal quarter. For example, in the first fiscal quarter of 2021, we achieved higher revenue growth due to a five-year renewal of a single license agreement, which resulted in the first fiscal quarter of 2021 lacking comparability to the prior year and creating a challenging comparable for the first fiscal quarter of 2022.</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If we fail to successfully manage our transition to a business model focused on delivering cloud-based offerings on a subscription basis or fail to meet stipulated service levels with our subscription services, our results of operations could be harmed.</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refusal to pay its contractually-obligated subscription or service fees.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under our cloud-based subscription model will generally be recognized ratably over the term of the contract. The transition to ratable revenue recognition will result in lower revenue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revenues in any period.</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services and products and developing new services and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tax and accounting implications, and our costs. </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pStyle w:val="TextBody"/>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 from year to year. In fiscal year 2019, our ten largest customers accounted for 31% of our revenue, in fiscal year 2020 they accounted for 27%, and in fiscal year 2021 they accounted for 28%. Additionally, our ten largest customers based on ARR accounted for 27% of total ARR at July 31, 2021.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services and products to one or more of these anticipated customers in any particular period or fail to identify additional potential customers or such customers purchase fewer of our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services or products,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Failure of any of our established services or products to satisfy customer demands or to maintain market acceptance could harm our business, results of operations, financial condition, and growth prospects.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significant majority of our revenue and cash flows from our established product offerings, including Guidewire InsuranceSuite via Guidewire Cloud, Guidewire InsuranceNow, Guidewire InsuranceSuite for self-managed installations, and our digital and data services and products. We expect to continue to derive a substantial portion of our revenue from these sources. As such, continued market acceptance of these services and products is critical to our growth and success. Demand for our services and products is affected by a number of factors, some of which are beyond our control, including the successful implementation of our services and products, the timing of development and release of new products by us and our competitors, the cost and effort to migrate from self-managed products to subscription services, the ease of integrating our software to third-party software and services, technological advances that reduce the appeal of our services and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services, products, our business, results of operations, financial condition and growth prospects may be adversely affected.</w:t>
      </w:r>
    </w:p>
    <w:p>
      <w:pPr>
        <w:pStyle w:val="TextBody"/>
        <w:spacing w:lineRule="auto" w:line="288" w:before="280" w:after="283"/>
        <w:ind w:left="0" w:right="0" w:firstLine="450"/>
        <w:rPr>
          <w:rFonts w:ascii="Times New Roman;sans-serif" w:hAnsi="Times New Roman;sans-serif"/>
          <w:b/>
          <w:i/>
          <w:color w:val="000000"/>
          <w:sz w:val="20"/>
        </w:rPr>
      </w:pPr>
      <w:r>
        <w:rPr>
          <w:rFonts w:ascii="Times New Roman;sans-serif" w:hAnsi="Times New Roman;sans-serif"/>
          <w:b/>
          <w:i/>
          <w:color w:val="000000"/>
          <w:sz w:val="20"/>
        </w:rPr>
        <w:t>We face intense competition in our market, which could negatively impact our business, results of operations, and financial condition and cause our market share to decline.</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potential customers that they do not have adequate resources to devote to the purchase and implementation of our services and products. We also compete against technology consulting firms that either helped create such legacy systems or may own, in full or in part, subsidiaries that develop software and systems for the P&amp;C insurance industry.</w:t>
      </w:r>
    </w:p>
    <w:p>
      <w:pPr>
        <w:pStyle w:val="TextBody"/>
        <w:spacing w:lineRule="auto" w:line="288" w:before="10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As we expand our product portfolio, we may begin to compete with software and service providers we have not competed against previously. Such potential competitors offer data and analytics tools that may, in time, become more competitive with our offerings.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sales and implementation cycles are lengthy and variable, depend upon factors outside our control, and could cause us to expend significant time and resources prior to generating revenue.</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typical sales cycle for our services and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services and products, including the technical capabilities of our services and products and the potential cost savings achievable by organizations deploying our services and products. Customers typically undertake a significant evaluation process, which frequently involves not only our services and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service and product offering at the request of a customer or group of customers and are unable to recognize revenue until the specific functions have been added to our services and products. Providing this additional functionality may be time consuming and may involve factors that are outside of our control. Customers may also insist that we commit to certain time frames in which systems built around our services and products will be operational or that once implemented our services and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 </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implementation and testing of our services and products by our customers typically lasts 6 to 24 months or longer and unexpected implementation delays and difficulties can occur. Implementing our services and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services and products. Failing to meet the expectations of our customers during the implementation of our services and products could result in a loss of customers and negative publicity about us and our services and products. Such failure could result from deficiencies in our product capabilities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sales or upon renewals of existing licenses and services, potential reversals of previously recognized revenue, and a customer’s refusal to pay their contractually-obligated license,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our sales and implementation cycles could be interrupted or affected by other factors outside of our control. For example, the COVID-19 pandemic caused sales and implementation cycles to lengthen, along with other impacts on our business. We currently have restrictions on travel in place, which are in accordance with recommendations by the U.S. government, The Centers for Disease Control and Prevention, and other equivalent agencies in the locations in which we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operate, and our customers, SI partners, and prospects have likewise enacted their own preventative policies and travel restrictions. Widespread restrictions on travel and in-person meetings have affected and could continue to affect services delivery, delay implementations, and interrupt sales activity. We cannot predict the duration or the extent of adverse impacts from the COVID-19 pandemic on our business, results of operations, and financial condition.</w:t>
      </w:r>
    </w:p>
    <w:p>
      <w:pPr>
        <w:pStyle w:val="TextBody"/>
        <w:spacing w:before="0" w:after="0"/>
        <w:ind w:left="0" w:right="0" w:firstLine="495"/>
        <w:jc w:val="both"/>
        <w:rPr/>
      </w:pPr>
      <w:r>
        <w:rPr/>
      </w:r>
    </w:p>
    <w:p>
      <w:pPr>
        <w:pStyle w:val="TextBody"/>
        <w:spacing w:lineRule="auto" w:line="276"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Revenue mix, as well as declines in our subscription and support gross margin or our services gross margin, could adversely affect our overall gross margin and profitability.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subscription and support revenue was 34% and 27% of total revenue for fiscal years 2021 and 2020, respectively. Our subscription and support revenue produces lower gross margins than our license revenue. The gross margin of our subscription and support revenue was 35% and 42% for fiscal years 2021 and 2020, respectively, while the gross margin for license revenue was 97% and 97% for fiscal years 2021 and 2020,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result in further erosion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the COVID-19 pandemic or other disasters.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services revenue was 25% and 28% of total revenue for fiscal years 2021 and 2020, respectively. Our services revenue produces lower gross margin than either our license revenue or our subscription and support revenue. The gross margin of our services revenue was negative for both fiscal years 2021 and 2020.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 the implementation of new services and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the COVID-19 pandemic or other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customers include the world’s largest P&amp;C insurers. These customers have significant bargaining power when negotiating new licenses or subscriptions or renewals of existing agreements, and have the ability to buy similar services and products from other vendors or develop such systems internally. These customers have and may continue to seek advantageous pricing and other commercial and performance terms that may require us to develop additional features in the services and products we sell to them or add complexity to our customer agreements. We have been required to, and may continue to be required to, reduce the average selling price of our services and products in response to these pressures. If we are unable to avoid reducing our average selling prices, our results of operations could be harmed.</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business depends on customers renewing and expanding their license, support, and subscription contracts for our services and products. A decline in our customer renewals and expansions could harm our future results of operations.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services and products, the prices of our services and products, the prices of services and products offered by our competitors, reductions in our customers’ spending levels due to the macroeconomic environment or other factors, or the sale of their operations to a buyer that is not a current customer. </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If we are unable to develop, introduce, and market new and enhanced versions of our services and products, we may be put at a competitive disadvantage.</w:t>
      </w:r>
    </w:p>
    <w:p>
      <w:pPr>
        <w:pStyle w:val="TextBody"/>
        <w:spacing w:lineRule="auto" w:line="288" w:before="100" w:after="283"/>
        <w:ind w:left="0" w:right="0" w:firstLine="495"/>
        <w:jc w:val="both"/>
        <w:rPr/>
      </w:pPr>
      <w:r>
        <w:rPr>
          <w:rFonts w:ascii="Times New Roman;sans-serif" w:hAnsi="Times New Roman;sans-serif"/>
          <w:b w:val="false"/>
          <w:color w:val="000000"/>
          <w:sz w:val="20"/>
        </w:rPr>
        <w:t>Our success depends on our continued ability to develop, introduce, and market new and enhanced versions of our services and products to meet evolving customer requirements. Because some of our services and products are complex and require rigorous testing, new features, new functionality, and updates to our existing products and services can take significant time and resources to develop and bring to market.</w:t>
      </w:r>
      <w:r>
        <w:rPr>
          <w:color w:val="000000"/>
        </w:rPr>
        <w:t xml:space="preserve"> </w:t>
      </w:r>
      <w:r>
        <w:rPr>
          <w:rFonts w:ascii="Times New Roman;sans-serif" w:hAnsi="Times New Roman;sans-serif"/>
          <w:b w:val="false"/>
          <w:color w:val="000000"/>
          <w:sz w:val="20"/>
        </w:rPr>
        <w:t>As we expand internationally, our services and products must be modified and adapted to comply with regulations and other requirements of the countries in which our customers do business. Additionally, market conditions may dictate that we change the delivery method of our services and products or the technology platform underlying our existing services and products or that new services and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If we fail to develop new services and products, enhance our existing services and products, or migrate our products to the cloud, our business could be adversely affected, especially if our competitors are able to introduce services and products with enhanced functionality in the cloud. It is critical to our success for us to anticipate changes in technology, industry standards, and customer requirements and to successfully introduce new, enhanced, and competitive services and products to meet our customers’ and prospective customers’ needs on a timely basis. We have invested and intend to increase investments in research and development and cloud operations to meet these challenges.</w:t>
      </w:r>
      <w:r>
        <w:rPr>
          <w:color w:val="000000"/>
        </w:rPr>
        <w:t xml:space="preserve"> </w:t>
      </w:r>
      <w:r>
        <w:rPr>
          <w:rFonts w:ascii="Times New Roman;sans-serif" w:hAnsi="Times New Roman;sans-serif"/>
          <w:b w:val="false"/>
          <w:color w:val="000000"/>
          <w:sz w:val="20"/>
        </w:rPr>
        <w:t>Revenue may not be sufficient to support the future product development that is required for us to remain competitive. If we fail to develop services and products in a timely manner that are competitive in technology and price or develop services and products that fail to meet customer demands, our market share will decline and our business and results of operations could be harmed.</w:t>
      </w:r>
      <w:r>
        <w:rPr>
          <w:color w:val="000000"/>
        </w:rPr>
        <w:t xml:space="preserve"> </w:t>
      </w:r>
      <w:r>
        <w:rPr>
          <w:rFonts w:ascii="Times New Roman;sans-serif" w:hAnsi="Times New Roman;sans-serif"/>
          <w:b w:val="false"/>
          <w:color w:val="000000"/>
          <w:sz w:val="20"/>
        </w:rPr>
        <w:t>If our research and development efforts do not develop services, products or features that our customers find valuable, then we might incur impairment charges related to our capitalized software development costs.</w:t>
      </w:r>
    </w:p>
    <w:p>
      <w:pPr>
        <w:pStyle w:val="TextBody"/>
        <w:spacing w:lineRule="auto" w:line="288" w:before="2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SI partners do not effectively assist our customers in deploying our services and products, successfully help our customers quickly resolve post-deployment issues, assist our customers in migrating from self-managed licenses to subscription services, and provide effective ongoing support, our ability to renew existing agreements and sell additional services and products to existing customers would be adversely affected and our reputation with potential customers could be damaged. Once our services and products are deployed and integrated with our customers’ existing information technology environment, our customers may depend on our technical support services and/or the support of SI partners or internal resources to resolve any issues relating to our services and products. High-quality support is critical for the continued successful marketing and sale of our services and products. In addition, as we continue to expand our operations internationally, our support organization will face additional challenges, including those associated with delivering support, training, and documentation in languages other than English. Many enterprise customers require higher levels of support than smaller customers. If we fail to meet the requirements of our larger customers, it may be more difficult to sell additional services and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products to these customers or to transition existing license customers to subscription services, a key strategy for the growth of our revenue and profitability. In addition, as we further expand our cloud-based services and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services and products by our SI partners. Our failure to maintain high-quality implementation and support services, or to ensure that SIs provide the same, could have a material adverse effect on our business, results of operations, financial condition, and growth prospects.</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may expand through acquisitions or partnerships with other companies, which may divert our management’s attention and result in unexpected operating and technology integration difficulties, increased costs, and dilution to our stockholders.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Cyence, a Software-as-a-Service company that applies data science and risk analytics to enable P&amp;C insurers to underwrite “21st century risks” such as terrorism, cybersecurity, and reputational risk, in November 2017. In August 2021, we announced the acquisition of HazardHub, Inc., a leading insurtech provider of API-driven property risk insights. Our prior acquisitions were initially dilutive to earnings, and this recent acquisition is also expected to be dilutive. Acquisitions and alliances may result in unforeseen operating difficulties and expenditures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services and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services and products, the timing of revenue from the sale of services and products that we acquired or that result from the alliance, or from the sale of a bundle of services and products that includes such new services and products, may be different than the timing of revenue from existing services and products. In addition, our ability to maintain favorable pricing of new services and products may be challenging if we bundle such services and products with existing services and products. A delay in the recognition of revenue from sales of acquired or alliance services and products, or reduced pricing due to bundled sales, may cause fluctuations in our quarterly financial results, may adversely affect our operating margins, and may reduce the benefits of such acquisitions or alliances.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If we are unable to continue the successful development of our global direct sales force and the expansion of our relationships with our strategic partners, sales of our services and products will suffer and our growth could be slower than we project.</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services and products will suffer and our growth will be impeded.</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SI partners help us reach additional customers. We believe our future growth also will depend on the retention and expansion of successful relationships with SI partners, including with SI partners that will focus on services and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services and products may compete directly against services and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products that such leading SI partners support or market. Additionally, we are unable to control the quantity or quality of resources that our SI partners commit to implementing our services and products, the quality or timeliness of such implementations, or the effects of the COVID-19 pandemic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services and products, would have an adverse effect on our business and our results of operations could fail to grow in line with our projections.</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international sales and operations subject us to additional risks that can adversely affect our business, results of operations, and financial condition.</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services and products to customers located outside the United States, and we are continuing to expand our international operations as part of our growth strategy. In fiscal years 2021, 2020, and 2019, $271.1 million, $279.8 million, and $272.9 million of our revenue, respectively, was from customers outside of the United States. Our current international operations and our plans to expand our international operations subject us to a variety of risks, including:</w:t>
      </w:r>
    </w:p>
    <w:p>
      <w:pPr>
        <w:pStyle w:val="TextBody"/>
        <w:spacing w:before="100" w:after="283"/>
        <w:ind w:left="0" w:right="0" w:firstLine="495"/>
        <w:jc w:val="both"/>
        <w:rPr/>
      </w:pPr>
      <w:r>
        <w:rPr/>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increased management, travel, infrastructure, and legal compliance costs associated with having multiple international operations;</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unique terms and conditions in contract negotiations imposed by customers in foreign countries;</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longer payment cycles and difficulties in enforcing contracts and collecting accounts receivable;</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the need to localize our contracts and our services and products for international customers;</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lack of familiarity with and unexpected changes in foreign regulatory requirements;</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increased exposure to fluctuations in currency exchange rates;</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highly inflationary international economies, such as Argentina;</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the burdens and costs of complying with a wide variety of foreign laws and legal standards, including the General Data Protection Regulation in the European Union (“EU”) and the U.K.;</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compliance with the U.S. Foreign Corrupt Practices Act of 1977, as amended, the U.K. Bribery Act and other anti-corruption regulations, particularly in emerging market countries;</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compliance by international staff with accounting practices generally accepted in the United States, including adherence to our accounting policies and internal controls; </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import and export license requirements, tariffs, taxes and other trade barriers;</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increased financial accounting, tax and reporting burdens and complexities;</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weaker protection of intellectual property rights in some countries;</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 xml:space="preserve">multiple and possibly overlapping tax regimes; </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government sanctions that may interfere with our ability to sell into particular countries, such as Russia;</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disruption to our operations caused by epidemics or pandemics, such as COVID-19; and</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political, social, and economic instability abroad, terrorist attacks, and security concerns in general.</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Failure to manage our expanding operations effectively could harm our business.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consistent growth and expect to continue to expand our operations, including the number of employees and the locations and scope of our international operations. Additionally, the COVID-19 pandemic and related shelter in-place orders have resulted in our employees and contractors working from home, bringing new challenges to managing our business and work force. We have announced our intention to transition to a hybrid work environment in which a large portion of our workforce will work either in-person on a part-time basis or remotely on a permanent basis.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services and products or investments in cloud operations. If we increase the size of our organization without experiencing an increase in sales of our services and products, we will experience reductions in our gross and operating margins and net income. If we are unable to effectively manage our expanding operations or hybrid work environment, our expenses may increase more than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our revenue could decline or grow more slowly than expected, and we may be unable to implement our business strategy.</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Incorrect or improper use of our services and products or our failure to properly train customers on how to utilize our services and products could result in customer dissatisfaction and negatively affect our business, results of operations, financial condition, and growth prospects.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and products are complex and are deployed in a wide variety of network environments. The proper use of our services and products requires training of the customer. If our services and products are not used correctly or as intended, inadequate performance may result. Our services and products may also be intentionally misused or abused by customers or their employees or third parties who are able to access or use our services and products. Because our customers rely on our services, products, and support to manage a wide range of operations, the incorrect or improper use of our services and products, our failure to properly train customers on how to efficiently and effectively use our services and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services and products.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there is substantial turnover of customer personnel responsible for the use of our services and products, or if customer personnel are not well trained in the use of our services and products, customers may defer the deployment of our services and products, may deploy them in a more limited manner than originally anticipated, or may not deploy them at all. Further, if there is substantial turnover of the customer personnel responsible for use of our services and products, our ability to renew existing licenses and make additional sales may be substantially limited.</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obtain capital when desired on favorable terms, if at all, and we may not be able to obtain capital or complete acquisitions through the use of equity without dilution to our stockholders. </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additional financing to execute on our current or future business strategies, including to develop new or enhance existing services and products, acquire businesses and technologies, or otherwise to respond to competitive pressures.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services and products, or otherwise respond to competitive pressures would be significantly limited. Any of these factors could harm our results of operations.</w:t>
      </w:r>
    </w:p>
    <w:p>
      <w:pPr>
        <w:pStyle w:val="TextBody"/>
        <w:spacing w:lineRule="auto" w:line="288" w:before="180" w:after="283"/>
        <w:ind w:left="0" w:right="0" w:firstLine="495"/>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Data Security and Privacy, Intellectual Property, and Information Technology</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If our products or cloud-based services experience data security breaches, and there is unauthorized access to our customers’ data, we may lose current or future customers and our reputation and business may be harmed.</w:t>
      </w:r>
    </w:p>
    <w:p>
      <w:pPr>
        <w:pStyle w:val="TextBody"/>
        <w:spacing w:lineRule="auto" w:line="276" w:before="100" w:after="283"/>
        <w:ind w:left="0" w:right="0" w:firstLine="495"/>
        <w:jc w:val="both"/>
        <w:rPr/>
      </w:pPr>
      <w:r>
        <w:rPr>
          <w:rFonts w:ascii="Times New Roman;sans-serif" w:hAnsi="Times New Roman;sans-serif"/>
          <w:b w:val="false"/>
          <w:color w:val="000000"/>
          <w:sz w:val="20"/>
        </w:rPr>
        <w:t>If our security measures are breached or unauthorized access to customer data is otherwise obtained, our cloud services may be perceived as not being secure, customers may reduce the use of or stop using our services, we may incur significant liabilities and our reputation could be harmed.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 liabilities for our company.</w:t>
      </w:r>
      <w:r>
        <w:rPr>
          <w:color w:val="000000"/>
        </w:rPr>
        <w:t xml:space="preserve"> </w:t>
      </w:r>
      <w:r>
        <w:rPr>
          <w:rFonts w:ascii="Times New Roman;sans-serif" w:hAnsi="Times New Roman;sans-serif"/>
          <w:b w:val="false"/>
          <w:color w:val="000000"/>
          <w:sz w:val="20"/>
        </w:rPr>
        <w:t xml:space="preserve">While we have taken, and are continually updating,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 </w:t>
      </w:r>
    </w:p>
    <w:p>
      <w:pPr>
        <w:pStyle w:val="TextBody"/>
        <w:spacing w:lineRule="auto" w:line="276"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Privacy concerns could result in regulatory changes and impose additional costs and liabilities on us, limit our use of information, and adversely affect our business.</w:t>
      </w:r>
    </w:p>
    <w:p>
      <w:pPr>
        <w:pStyle w:val="TextBody"/>
        <w:spacing w:lineRule="auto" w:line="288" w:before="100" w:after="283"/>
        <w:ind w:left="0" w:right="0" w:firstLine="450"/>
        <w:jc w:val="both"/>
        <w:rPr/>
      </w:pPr>
      <w:r>
        <w:rPr>
          <w:rFonts w:ascii="Times New Roman;sans-serif" w:hAnsi="Times New Roman;sans-serif"/>
          <w:b w:val="false"/>
          <w:color w:val="000000"/>
          <w:sz w:val="20"/>
        </w:rPr>
        <w:t>As adoption of our cloud-based services occurs, the amount of customer data, including customer personal information, that we manage, hold, and/or collect continues to increase.</w:t>
      </w:r>
      <w:r>
        <w:rPr>
          <w:color w:val="000000"/>
        </w:rPr>
        <w:t xml:space="preserve"> </w:t>
      </w:r>
      <w:r>
        <w:rPr>
          <w:rFonts w:ascii="Times New Roman;sans-serif" w:hAnsi="Times New Roman;sans-serif"/>
          <w:b w:val="false"/>
          <w:color w:val="000000"/>
          <w:sz w:val="20"/>
        </w:rPr>
        <w:t xml:space="preserve">In addition, our services and products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takes substantial effect on January 1, 2023, the Virginia Consumer Data Protection Act, which takes effect on January 1, 2023, the Colorado Privacy Act, which takes effect on July 1, 2023, and the Court of Justice of the EU’s invalidation of the Privacy Shield framework in July 2020.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services and products and reduce overall demand.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concerns regarding data privacy and/or security may cause our customers’ customers to resist providing the data and information necessary to allow our customers to use our services and products effectively. Even the perception that the privacy 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Privacy concerns in the EU and the U.K. are evolving and we may face fines and other penalties, as well as reputational harm, if we fail to comply with these evolving standards, and compliance with these standards may increase our expenses and adversely affect our business and results of operations.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27, 2016 the EU adopted the General Data Protection Regulation 2016/679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jc w:val="both"/>
        <w:rPr/>
      </w:pPr>
      <w:r>
        <w:rPr>
          <w:rFonts w:ascii="Times New Roman;sans-serif" w:hAnsi="Times New Roman;sans-serif"/>
          <w:b w:val="false"/>
          <w:color w:val="000000"/>
          <w:sz w:val="20"/>
        </w:rPr>
        <w:t>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and enforcement actions and as we continue to negotiate data processing agreements with our customers and business partners.</w:t>
      </w:r>
      <w:r>
        <w:rPr>
          <w:color w:val="000000"/>
        </w:rPr>
        <w:t xml:space="preserve"> </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SCCs will face additional challenges.</w:t>
      </w:r>
      <w:r>
        <w:rPr>
          <w:color w:val="000000"/>
        </w:rPr>
        <w:t xml:space="preserve"> </w:t>
      </w:r>
      <w:r>
        <w:rPr>
          <w:rFonts w:ascii="Times New Roman;sans-serif" w:hAnsi="Times New Roman;sans-serif"/>
          <w:b w:val="false"/>
          <w:color w:val="000000"/>
          <w:sz w:val="20"/>
        </w:rPr>
        <w:t>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The revised clauses must be used for relevant new data transfers from September 27, 2021, while existing standard contractual clauses arrangements must be migrated to the revised clauses by December 27, 2022. We will be required to implement the revised standard contractual clauses in relation to our customer arrangements within the relevant time frames, which could increase our compliance costs and adversely affect our business. There is some uncertainty around whether the revised clauses can be used for all types of data transfers, particularly whether they can be relied on for data transfers to non-EEA entities subject to the GDPR. These recent developments will require us to review and amend the legal mechanisms by which we make and receive personal data transfers to or in the United States.</w:t>
      </w:r>
      <w:r>
        <w:rPr>
          <w:color w:val="000000"/>
        </w:rPr>
        <w:t xml:space="preserve"> </w:t>
      </w:r>
      <w:r>
        <w:rPr>
          <w:rFonts w:ascii="Times New Roman;sans-serif" w:hAnsi="Times New Roman;sans-serif"/>
          <w:b w:val="false"/>
          <w:color w:val="000000"/>
          <w:sz w:val="20"/>
        </w:rPr>
        <w:t>We (and many other companies) may be required to adopt additional measures to accomplish and maintain legitimate means for the transfer and receipt of personal data from the EU to the United States and other countries.</w:t>
      </w:r>
      <w:r>
        <w:rPr>
          <w:color w:val="000000"/>
        </w:rPr>
        <w:t xml:space="preserve"> </w:t>
      </w:r>
      <w:r>
        <w:rPr>
          <w:rFonts w:ascii="Times New Roman;sans-serif" w:hAnsi="Times New Roman;sans-serif"/>
          <w:b w:val="false"/>
          <w:color w:val="000000"/>
          <w:sz w:val="20"/>
        </w:rPr>
        <w:t>As data protection authorities continue to issue further guidance on personal data export mechanisms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hesitancy, reluctance, or refusal by European or multi-national customers to continue to use our services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Given our current transition to more cloud-based services and the current data protection landscape in the EU, we may be subject to greater risk of potential inquiries and/or enforcement actions.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on January 1, 2021, as a result of Brexit, the U.K. has brought the GDPR into domestic U.K. law with the Data Protection Act 2018 (“U.K. GDPR”), which will remain in force. The U.K. GDPR mirrors the data protection obligations and fines under the GDPR, but there may be further developments about the regulation of particular issues such as U.K. data exports. The transfer of personal data from the United Kingdom to non-adequate countries remains subject to the previous set of standard contractual clauses as approved at the time of Brexit, but the U.K.’s Information Commissioner’s Office (the “ICO”) is currently considering new, U.K.-specific data transfer agreements. The ICO has stated that it is considering whether to recognize the new standard contractual clauses under U.K. law, and therefore our U.K. data export arrangements may also require updating, resulting in further compliance costs. In addition, on June 28, 2021, the European Commission adopted an adequacy decision in favor of the United Kingdom, enabling data transfers from EEA member states to the United Kingdom without additional safeguards. However, the U.K. adequacy decision will automatically expire in June 2025 unless the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both"/>
        <w:rPr/>
      </w:pPr>
      <w:r>
        <w:rPr>
          <w:rFonts w:ascii="Times New Roman;sans-serif" w:hAnsi="Times New Roman;sans-serif"/>
          <w:b w:val="false"/>
          <w:color w:val="000000"/>
          <w:sz w:val="20"/>
        </w:rPr>
        <w:t>European Commission re-assesses and renews/extends that decision, and it remains under review by the Commission during this period. The relationship between the United Kingdom and the EEA in relation to certain aspects of data protection law remains unclear, and it is unclear how U.K. data protection laws and regulations will develop in the near to long term, and how data transfers to and from the United Kingdom will be regulated in the long term. These changes may lead to additional costs and increase our overall risk exposure.</w:t>
      </w:r>
      <w:r>
        <w:rPr>
          <w:color w:val="000000"/>
        </w:rPr>
        <w:t xml:space="preserv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Assertions by third parties of infringement or other violation by us of their intellectual property rights could result in significant costs and substantially harm our business and results of operations.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services and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services or products that are alleged to infringe or misappropriate the intellectual property of others; expend additional 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Real or perceived errors or failures in our services, products including implementation services may affect our reputation, cause us to lose customers, and reduce sales and renewal rates, which may harm our business and results of operations and subject us to liability for breach of warranty claims.</w:t>
      </w:r>
    </w:p>
    <w:p>
      <w:pPr>
        <w:pStyle w:val="TextBody"/>
        <w:spacing w:lineRule="auto" w:line="276" w:before="100" w:after="283"/>
        <w:ind w:left="0" w:right="0" w:firstLine="450"/>
        <w:jc w:val="both"/>
        <w:rPr/>
      </w:pPr>
      <w:r>
        <w:rPr>
          <w:rFonts w:ascii="Times New Roman;sans-serif" w:hAnsi="Times New Roman;sans-serif"/>
          <w:b w:val="false"/>
          <w:color w:val="000000"/>
          <w:sz w:val="20"/>
        </w:rPr>
        <w:t>Because we offer complex services and products, undetected errors or failures may exist or occur, especially when services and products are first introduced or when new versions or updates are released. Our services and products are often installed and used in large-scale computing environments with different operating systems, system management software, and equipment and networking configurations, which may cause errors or failures in our services and products or may expose undetected errors, failures, or bugs in our services and products. Despite testing by us, we may not identify all errors, failures, or bugs in new services and products or releases until after commencement of commercial sales or installation. In the past, we have discovered software errors, failures, and bugs in some of our offerings after their introduction. Additionally, our Guidewire Cloud offerings rely on third-party hosting services, primarily Amazon AWS.</w:t>
      </w:r>
      <w:r>
        <w:rPr>
          <w:color w:val="000000"/>
        </w:rPr>
        <w:t xml:space="preserve"> </w:t>
      </w:r>
      <w:r>
        <w:rPr>
          <w:rFonts w:ascii="Times New Roman;sans-serif" w:hAnsi="Times New Roman;sans-serif"/>
          <w:b w:val="false"/>
          <w:color w:val="000000"/>
          <w:sz w:val="20"/>
        </w:rPr>
        <w:t>Any material disruption or slowdown in these services or the systems of third parties who we depend upon could cause outages or delays in our services, which could harm our reputation and adversely affect our results of operations.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customers with upfront estimates regarding the duration, resources, and costs associated with the implementation of our services and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credits for current or future service engagements, reduced fees for additional services or product sales or upon renewals of existing licenses or services, modification of existing contracts that could potentially result in reversals of previously recognized revenue, or a customer’s refusal to pay its contractually-obligated fees. In addition, time-consuming or difficult implementations may also increase the amount of services personnel we must allocate to the implementation project without commensurate compensation, thereby increasing our costs and adversely affecting our business, results of operations, and financial condition.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Failure to protect our intellectual property could substantially harm our business and results of operations.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disadvantage to others who need not incur the additional expense, time, and effort required to create the innovative services and products that have enabled us to be successful to date.</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and our customers rely on technology and intellectual property of third parties, the loss of which could limit the functionality of our services and products and disrupt our business.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technology and intellectual property licensed from unaffiliated third parties in certain of our services and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services and products and might require us to redesign our services and products.</w:t>
      </w:r>
    </w:p>
    <w:p>
      <w:pPr>
        <w:pStyle w:val="TextBody"/>
        <w:spacing w:before="0" w:after="0"/>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Guidewire Cloud offerings rely on third-party hosting and infrastructure services provided by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 </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may be obligated to disclose our proprietary source code to our customers, which may limit our ability to protect our intellectual property and could reduce the renewals of our support services.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software license agreements typically contain provisions permitting the customer to become a party to, or a beneficiary of, a source code escrow agreement under which we place the proprietary source code for our applicable services and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services and products by exercising this right, and others may do so in the future.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Disclosing the content of our source code may limit the intellectual property protection we can obtain or maintain for that source code or the services and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Some of our services and technologies may use “open source” software, which may restrict how we use or distribute our services or require that we release the source code of certain services and products subject to those licenses.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services and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before="0" w:after="0"/>
        <w:ind w:left="0" w:right="0" w:firstLine="360"/>
        <w:jc w:val="both"/>
        <w:rPr/>
      </w:pPr>
      <w:r>
        <w:rPr/>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Risks Related to Legal, Regulatory, Accounting, and Tax Matters</w:t>
      </w:r>
    </w:p>
    <w:p>
      <w:pPr>
        <w:pStyle w:val="TextBody"/>
        <w:spacing w:before="0" w:after="0"/>
        <w:ind w:left="0" w:right="0" w:firstLine="360"/>
        <w:jc w:val="center"/>
        <w:rPr/>
      </w:pPr>
      <w:r>
        <w:rPr/>
      </w:r>
    </w:p>
    <w:p>
      <w:pPr>
        <w:pStyle w:val="TextBody"/>
        <w:spacing w:lineRule="auto" w:line="276" w:before="0" w:after="0"/>
        <w:ind w:left="0" w:right="0" w:firstLine="450"/>
        <w:jc w:val="both"/>
        <w:rPr/>
      </w:pPr>
      <w:r>
        <w:rPr>
          <w:rFonts w:ascii="Times New Roman;sans-serif" w:hAnsi="Times New Roman;sans-serif"/>
          <w:b/>
          <w:i/>
          <w:color w:val="000000"/>
          <w:sz w:val="20"/>
        </w:rPr>
        <w:t>The nature of our business requires the application of accounting guidance that requires management to make estimates and assumptions. Reported results under GAAP may vary from key metrics used to measure our business. Additionally, changes in accounting guidance may cause us to experience greater volatility in our quarterly and annual results.</w:t>
      </w:r>
      <w:r>
        <w:rPr>
          <w:color w:val="000000"/>
        </w:rPr>
        <w:t xml:space="preserve"> </w:t>
      </w:r>
      <w:r>
        <w:rPr>
          <w:rFonts w:ascii="Times New Roman;sans-serif" w:hAnsi="Times New Roman;sans-serif"/>
          <w:b/>
          <w:i/>
          <w:color w:val="000000"/>
          <w:sz w:val="20"/>
        </w:rPr>
        <w:t>If we are unsuccessful in adapting to and interpreting the requirements of new guidance, or in clearly explaining to stockholders how new guidance affects reporting of our results of operations, our stock price may decline.</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our consolidated financial statements to conform to United States Generally Accepted Accounting Principles (“GAAP”). These accounting principles are subject to interpretation by the SEC, Financial Accounting Standards Board (“FASB”), and various bodies formed to interpret and create accounting rules and regulations. Accounting standards, such as ASC 606 - Revenue from Contracts with Customers adopted in fiscal year 2019 or ASC 842 - Leases adopted in fiscal year 2020,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impact of future changes to accounting principles or our accounting policies on our financial statements going forward. In addition, were we to change our accounting estimates, including those related to the timing of revenue recognition and those used to allocate revenue between various performance obligations, our reported revenue and results of operations could be significantly impacted. For example, the following risks are associated with ASC 606:</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investors’ misinterpretation of historic and future trends of our business and what they could mean for the underlying success of our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divergence between revenue and ARR and cash flow trends;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in explaining our historical results or new known trends.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unsuccessful in adapting to the requirements of the new revenue standard, or if changes to our go-to-market strategy create new risks, then we may experience greater volatility in our quarterly and annual results, which may cause our stock price to decline.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Further, revenue recognition standards require significant judgment and estimates that impact our reported revenue and results of operations. Additionally, reported revenue has and will vary from the ARR and cash flow associated with each customer agreement.</w:t>
      </w:r>
      <w:r>
        <w:rPr>
          <w:color w:val="000000"/>
        </w:rPr>
        <w:t xml:space="preserve"> </w:t>
      </w:r>
      <w:r>
        <w:rPr>
          <w:rFonts w:ascii="Times New Roman;sans-serif" w:hAnsi="Times New Roman;sans-serif"/>
          <w:b w:val="false"/>
          <w:color w:val="000000"/>
          <w:sz w:val="20"/>
        </w:rPr>
        <w:t>For example,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pStyle w:val="TextBody"/>
        <w:spacing w:before="0" w:after="0"/>
        <w:ind w:left="0" w:right="0" w:firstLine="360"/>
        <w:jc w:val="both"/>
        <w:rPr/>
      </w:pPr>
      <w:r>
        <w:rPr/>
      </w:r>
    </w:p>
    <w:p>
      <w:pPr>
        <w:pStyle w:val="TextBody"/>
        <w:spacing w:before="0" w:after="0"/>
        <w:ind w:left="0" w:right="0" w:firstLine="720"/>
        <w:jc w:val="both"/>
        <w:rPr/>
      </w:pPr>
      <w:r>
        <w:rPr/>
      </w:r>
    </w:p>
    <w:p>
      <w:pPr>
        <w:pStyle w:val="TextBody"/>
        <w:spacing w:lineRule="auto" w:line="276"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pStyle w:val="TextBody"/>
        <w:spacing w:lineRule="auto" w:line="276"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If tax laws change or we experience adverse outcomes resulting from examination of our income tax returns, it could adversely affect our results of operations.</w:t>
      </w:r>
    </w:p>
    <w:p>
      <w:pPr>
        <w:pStyle w:val="TextBody"/>
        <w:spacing w:lineRule="auto" w:line="276"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Jobs Act of 2017 (the “Tax Act”) and the Coronavirus Aid, Relief, and Economic Security Act (the “CARES Act”).</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an immaterial proposed assessment from the California Franchise Tax Board for the state income tax returns filed for fiscal years 2018 and 2017. We are currently reviewing this proposed assessment and may appeal. We do not believe the examinations will have a material impact on our results of operations, financial condition, or cash flows.</w:t>
      </w:r>
    </w:p>
    <w:p>
      <w:pPr>
        <w:pStyle w:val="TextBody"/>
        <w:spacing w:before="0" w:after="0"/>
        <w:ind w:left="0" w:right="0" w:firstLine="360"/>
        <w:jc w:val="both"/>
        <w:rPr/>
      </w:pPr>
      <w:r>
        <w:rPr/>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stock price may be volatile, which could result in securities class action litigation against us.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have and may continue to affect the market price of our common stock.</w:t>
      </w:r>
    </w:p>
    <w:p>
      <w:pPr>
        <w:pStyle w:val="TextBody"/>
        <w:spacing w:before="0" w:after="0"/>
        <w:rPr/>
      </w:pPr>
      <w:r>
        <w:rPr/>
      </w:r>
    </w:p>
    <w:p>
      <w:pPr>
        <w:pStyle w:val="TextBody"/>
        <w:spacing w:lineRule="auto" w:line="276" w:before="0" w:after="0"/>
        <w:ind w:left="0" w:right="0" w:firstLine="450"/>
        <w:jc w:val="both"/>
        <w:rPr/>
      </w:pPr>
      <w:r>
        <w:rPr>
          <w:rFonts w:ascii="Times New Roman;sans-serif" w:hAnsi="Times New Roman;sans-serif"/>
          <w:b w:val="false"/>
          <w:color w:val="000000"/>
          <w:sz w:val="20"/>
        </w:rPr>
        <w:t>In the past, we and many companies</w:t>
      </w:r>
      <w:r>
        <w:rPr>
          <w:color w:val="000000"/>
        </w:rPr>
        <w:t xml:space="preserve"> </w:t>
      </w:r>
      <w:r>
        <w:rPr>
          <w:rFonts w:ascii="Times New Roman;sans-serif" w:hAnsi="Times New Roman;sans-serif"/>
          <w:b w:val="false"/>
          <w:color w:val="000000"/>
          <w:sz w:val="20"/>
        </w:rPr>
        <w:t>that have experienced volatility in the market price of their stock have been subject to securities class action litigation. In July 2020, one of our stockholders filed a putative securities class action complaint in the federal court for the Northern District of California, against us and certain of our current or former officers and directors, alleging misstatements and omissions in violation of Sections 10(b) and 20(a) of the Securities Exchange Act of 1934, as amended (the “Exchange Act”) and SEC Rule 10b-5.</w:t>
      </w:r>
      <w:r>
        <w:rPr>
          <w:color w:val="000000"/>
        </w:rPr>
        <w:t xml:space="preserve"> </w:t>
      </w:r>
      <w:r>
        <w:rPr>
          <w:rFonts w:ascii="Times New Roman;sans-serif" w:hAnsi="Times New Roman;sans-serif"/>
          <w:b w:val="false"/>
          <w:color w:val="000000"/>
          <w:sz w:val="20"/>
        </w:rPr>
        <w:t>In October 2020, the suit was voluntarily dismissed without prejudice by plaintiff’s counsel.</w:t>
      </w:r>
      <w:r>
        <w:rPr>
          <w:color w:val="000000"/>
        </w:rPr>
        <w:t xml:space="preserve"> </w:t>
      </w:r>
      <w:r>
        <w:rPr>
          <w:rFonts w:ascii="Times New Roman;sans-serif" w:hAnsi="Times New Roman;sans-serif"/>
          <w:b w:val="false"/>
          <w:color w:val="000000"/>
          <w:sz w:val="20"/>
        </w:rPr>
        <w:t>We may become the target of additional complaints of this type of litigation in the future. Securities litigation against us could result in substantial costs and divert our management’s attention from our business, which could seriously harm our business, results of operations, and financial condition.</w:t>
      </w:r>
    </w:p>
    <w:p>
      <w:pPr>
        <w:pStyle w:val="TextBody"/>
        <w:spacing w:lineRule="auto" w:line="276"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currently do not intend to pay dividends on our common stock and, consequently, the only opportunity to achieve a return on investment is if the price of our common stock appreciates.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Certain provisions of our certificate of incorporation and bylaws and of Delaware law could prevent a takeover that stockholders consider favorable and could also reduce the market price of our stock.</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not providing for cumulative voting in the election of directors, which limits the ability of minority stockholders to elect director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authorizing our board of directors to issue, without stockholder approval, preferred stock rights senior to those of common stock, which could be used to significantly dilute the ownership of a hostile acquirer;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prohibiting stockholder action by written consent, which forces stockholder action to be taken at an annual or special meeting of our stockholders;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limiting the persons who may call special meetings of stockholders, which could delay the ability of our stockholders to force consideration of a proposal or to take action, including the removal of directors;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affirmative vote of the holders of at least 66 2/3%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bylaws designate certain state or federal courts as the exclusive forum for certain litigation that may be initiated by our stockholders, which could limit stockholders’ ability to obtain a favorable judicial forum for disputes with us.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provide that, unless we consent in writing to the selection of an alternative forum, to the fullest extent permitted by law, the Court of Chancery of the State of Delaware will be the sole and exclusive forum for any state law claim for: </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any derivative action or proceeding brought on our behalf;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any action asserting a claim of breach of a fiduciary duty owed by any of our directors, officers, or other employees to us or our stockholders;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any action asserting a claim arising pursuant to the Delaware General Corporation Law, our amended and restated certificate of incorporation or our amended and restated bylaws; or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action asserting a claim that is governed by the internal affairs doctrine (the “Delaware Forum Provision”).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ind w:left="0" w:right="0" w:firstLine="450"/>
        <w:jc w:val="both"/>
        <w:rPr/>
      </w:pPr>
      <w:r>
        <w:rPr>
          <w:rFonts w:ascii="Times New Roman;sans-serif" w:hAnsi="Times New Roman;sans-serif"/>
          <w:b w:val="false"/>
          <w:color w:val="000000"/>
          <w:sz w:val="20"/>
        </w:rPr>
        <w:t>The Delaware Forum Provision will not apply to any causes of action arising</w:t>
      </w:r>
      <w:r>
        <w:rPr>
          <w:color w:val="000000"/>
        </w:rPr>
        <w:t xml:space="preserve"> </w:t>
      </w:r>
      <w:r>
        <w:rPr>
          <w:rFonts w:ascii="Times New Roman;sans-serif" w:hAnsi="Times New Roman;sans-serif"/>
          <w:b w:val="false"/>
          <w:color w:val="000000"/>
          <w:sz w:val="20"/>
        </w:rPr>
        <w:t>under the Securities Act or the Exchange Act.</w:t>
      </w:r>
      <w:r>
        <w:rPr>
          <w:color w:val="000000"/>
        </w:rPr>
        <w:t xml:space="preserve"> </w:t>
      </w:r>
      <w:r>
        <w:rPr>
          <w:rFonts w:ascii="Times New Roman;sans-serif" w:hAnsi="Times New Roman;sans-serif"/>
          <w:b w:val="false"/>
          <w:color w:val="000000"/>
          <w:sz w:val="20"/>
        </w:rPr>
        <w:t>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w:t>
      </w:r>
      <w:r>
        <w:rPr>
          <w:color w:val="000000"/>
        </w:rPr>
        <w:t xml:space="preserve"> </w:t>
      </w:r>
      <w:r>
        <w:rPr>
          <w:rFonts w:ascii="Times New Roman;sans-serif" w:hAnsi="Times New Roman;sans-serif"/>
          <w:b w:val="false"/>
          <w:color w:val="000000"/>
          <w:sz w:val="20"/>
        </w:rPr>
        <w:t>If the Federal Forum Provision is found to be unenforceable, we may incur additional costs associated with resolving such matters.</w:t>
      </w:r>
      <w:r>
        <w:rPr>
          <w:color w:val="000000"/>
        </w:rPr>
        <w:t xml:space="preserve"> </w:t>
      </w:r>
      <w:r>
        <w:rPr>
          <w:rFonts w:ascii="Times New Roman;sans-serif" w:hAnsi="Times New Roman;sans-serif"/>
          <w:b w:val="false"/>
          <w:color w:val="000000"/>
          <w:sz w:val="20"/>
        </w:rPr>
        <w:t>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spacing w:lineRule="auto" w:line="276"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cannot guarantee that our share repurchase program will be fully consummated or it will enhance stockholder value, and share repurchases could affect the price of our common stock.</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2020, our board of directors authorized and approved a share repurchase program of up to $200 million of our outstanding common stock, $37.5 million of which remains available for future repurchases as of July 31, 2021. Stock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sizes of these repurchases will depend on a number of factors, including the market price of our common stock and general market and economic conditions. The stock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pStyle w:val="TextBody"/>
        <w:spacing w:before="100" w:after="283"/>
        <w:ind w:left="0" w:right="0" w:firstLine="450"/>
        <w:jc w:val="both"/>
        <w:rPr/>
      </w:pPr>
      <w:r>
        <w:rPr/>
      </w:r>
    </w:p>
    <w:p>
      <w:pPr>
        <w:pStyle w:val="TextBody"/>
        <w:spacing w:lineRule="auto" w:line="288" w:before="10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spacing w:before="100" w:after="283"/>
        <w:jc w:val="both"/>
        <w:rPr/>
      </w:pPr>
      <w:r>
        <w:rPr/>
      </w:r>
    </w:p>
    <w:p>
      <w:pPr>
        <w:pStyle w:val="TextBody"/>
        <w:spacing w:lineRule="auto" w:line="288" w:before="0" w:after="0"/>
        <w:ind w:left="0" w:right="0" w:firstLine="450"/>
        <w:rPr>
          <w:rFonts w:ascii="Times New Roman;sans-serif" w:hAnsi="Times New Roman;sans-serif"/>
          <w:b/>
          <w:i/>
          <w:color w:val="000000"/>
          <w:sz w:val="20"/>
        </w:rPr>
      </w:pPr>
      <w:r>
        <w:rPr>
          <w:rFonts w:ascii="Times New Roman;sans-serif" w:hAnsi="Times New Roman;sans-serif"/>
          <w:b/>
          <w:i/>
          <w:color w:val="000000"/>
          <w:sz w:val="20"/>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2021,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pStyle w:val="TextBody"/>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Convertible Senior Notes, if triggered, may adversely affect our financial condition and results of operations.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Transactions relating to our Convertible Senior Notes may affect the value of our common stock.</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pStyle w:val="TextBody"/>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accounting method for convertible debt securities that may be settled in cash, such as the Convertible Senior Notes, could have a material effect on our reported financial results.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t>
      </w:r>
    </w:p>
    <w:p>
      <w:pPr>
        <w:pStyle w:val="TextBody"/>
        <w:spacing w:lineRule="auto" w:line="288" w:before="180" w:after="283"/>
        <w:ind w:left="0" w:right="0" w:firstLine="495"/>
        <w:jc w:val="both"/>
        <w:rPr/>
      </w:pPr>
      <w:r>
        <w:rPr>
          <w:rFonts w:ascii="Times New Roman;sans-serif" w:hAnsi="Times New Roman;sans-serif"/>
          <w:b w:val="false"/>
          <w:color w:val="000000"/>
          <w:sz w:val="20"/>
        </w:rPr>
        <w:t>However, recently issued accounting guidance that will be effective for us on August 1, 2022 will no longer permit the use of the treasury stock method. In August 2020, the FASB issued ASU No. 2020-06, Debt</w:t>
      </w:r>
      <w:r>
        <w:rPr>
          <w:color w:val="000000"/>
        </w:rPr>
        <w:t>—</w:t>
      </w:r>
      <w:r>
        <w:rPr>
          <w:rFonts w:ascii="Times New Roman;sans-serif" w:hAnsi="Times New Roman;sans-serif"/>
          <w:b w:val="false"/>
          <w:color w:val="000000"/>
          <w:sz w:val="20"/>
        </w:rPr>
        <w:t>Debt with Conversion and Other Options (Subtopic 470-20) and Derivatives and Hedging</w:t>
      </w:r>
      <w:r>
        <w:rPr>
          <w:color w:val="000000"/>
        </w:rPr>
        <w:t>—</w:t>
      </w:r>
      <w:r>
        <w:rPr>
          <w:rFonts w:ascii="Times New Roman;sans-serif" w:hAnsi="Times New Roman;sans-serif"/>
          <w:b w:val="false"/>
          <w:color w:val="000000"/>
          <w:sz w:val="20"/>
        </w:rPr>
        <w:t>Contracts in Entity’s Own Equity (Subtopic 815-40), which simplifies the accounting for convertible instruments. Among other things, the guidance eliminates the treasury stock method to calculate diluted earnings per share for convertible instruments and requires the use of the if-converted method. We are currently evaluating the impact of the new guidance on our consolidated financial statements, however, we believe the requirement to use the if-converted method instead of the treasury stock method of accounting for the shares issuable upon conversion of the Convertible Senior Notes, could adversely affect our diluted earnings per share.</w:t>
      </w:r>
    </w:p>
    <w:p>
      <w:pPr>
        <w:pStyle w:val="TextBody"/>
        <w:spacing w:before="0" w:after="0"/>
        <w:rPr/>
      </w:pPr>
      <w:r>
        <w:rPr/>
      </w:r>
    </w:p>
    <w:p>
      <w:pPr>
        <w:pStyle w:val="TextBody"/>
        <w:spacing w:lineRule="auto" w:line="288" w:before="0" w:after="0"/>
        <w:ind w:left="0" w:right="0" w:firstLine="360"/>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capped call transactions.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pStyle w:val="TextBody"/>
        <w:spacing w:before="0" w:after="0"/>
        <w:ind w:left="0" w:right="0" w:firstLine="720"/>
        <w:rPr/>
      </w:pPr>
      <w:r>
        <w:rPr/>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customers may defer or forego purchases of our services or products in the event of weakened global economic conditions, political transitions, and industry consolidation.</w:t>
      </w:r>
    </w:p>
    <w:p>
      <w:pPr>
        <w:pStyle w:val="TextBody"/>
        <w:spacing w:lineRule="auto" w:line="276"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worldwide economic conditions remain unstable, and prolonged economic uncertainties or downturns could harm our business, results of operations or financial condition. In particular, pursuant to a decision by referendum in June 2016, the U.K. voted to withdraw from the EU. A trade and cooperation agreement, which addresses trade, economic arrangements, law enforcement, judicial cooperation and a governance framework including procedures for dispute resolution, among other things, was recently ratified by the European Parliament and the Council of the EU to govern the U.K.’s future relationship with the EU.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 Brexit may further result in new regulatory and cost challenges to our U.K. and global operations, particularly with respect to data protection. Depending on the market and regulatory effects of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76"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Brexit, it is possible that there may be adverse practical or operational implications on our business, and prolonged economic uncertainties or downturns caused by Brexit could harm our business and results of operations.</w:t>
      </w:r>
    </w:p>
    <w:p>
      <w:pPr>
        <w:pStyle w:val="TextBody"/>
        <w:spacing w:before="0" w:after="0"/>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other global events such as the imposition of various trade tariffs by the United States and China and the COVID-19 pandemic, have created and may continue to create global economic uncertainty, including inflationary pressures, in regions in which we have significant operations. These conditions may make it difficult for our customers and us to forecast and plan future business activities accurately, and could cause our customers to reevaluate their decision to purchase our services and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could cause a decrease in corporate spending on enterprise software in general, and in the insurance industry specifically, and negatively affect the rate of growth of our business.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increased pace of consolidation in the P&amp;C insurance industry may result in reduced overall spending on our services and products. Acquisitions of customers or potential customers can delay or cancel sales cycles and because we cannot predict the timing or duration of such acquisitions, our results of operations could be materially impacted.</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If we are unable to retain our personnel and hire and integrate additional skilled personnel, we may be unable to achieve our goals and our business will suffer.</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disrupt or materially harm our business.</w:t>
      </w:r>
      <w:r>
        <w:rPr>
          <w:color w:val="000000"/>
        </w:rPr>
        <w:t xml:space="preserve"> </w:t>
      </w:r>
      <w:r>
        <w:rPr>
          <w:rFonts w:ascii="Times New Roman;sans-serif" w:hAnsi="Times New Roman;sans-serif"/>
          <w:b w:val="false"/>
          <w:color w:val="000000"/>
          <w:sz w:val="20"/>
        </w:rPr>
        <w:t>Although we strive to reduce the challenges of any transition, failure to ensure effective transfer of knowledge and a smooth transition could disrupt or adversely affect our business, results of operations, financial condition, and prospects.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including managing employees and contractors remotely or in a hybrid environment, or we may be required to pay increased compensation in order to do so.</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transition employees to new assignments on a timely basis. If we are unable to effectively deploy our employees globally on a timely basis to fulfill the needs of our clients, our reputation could suffer and our ability to attract new clients may be harmed.</w:t>
      </w:r>
    </w:p>
    <w:p>
      <w:pPr>
        <w:pStyle w:val="TextBody"/>
        <w:spacing w:before="0" w:after="0"/>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technical nature of our services and products and the dynamic market in which we compete, any failure to attract, integrate, and retain qualified direct sales, professional services, operations, and product development personnel, as well as our contract workers, could harm our ability to generate sales, deliver consulting services, manage our customers’ cloud environments, or successfully develop new services and products and enhancements of existing services and products.</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Factors outside of our control, including, but not limited to, natural catastrophes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pStyle w:val="TextBody"/>
        <w:spacing w:lineRule="auto" w:line="276" w:before="100" w:after="283"/>
        <w:ind w:left="0" w:right="0" w:firstLine="450"/>
        <w:jc w:val="both"/>
        <w:rPr/>
      </w:pPr>
      <w:r>
        <w:rPr>
          <w:rFonts w:ascii="Times New Roman;sans-serif" w:hAnsi="Times New Roman;sans-serif"/>
          <w:b w:val="false"/>
          <w:color w:val="000000"/>
          <w:sz w:val="20"/>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Global warming trends and other environmental factors are contributing to an increase in erratic weather patterns globally and intensifying the impact of certain types of catastrophes. Moreover, acts of terrorism or war could cause disruptions to our business or our customers’ businesses or the economy as a whole. The risks associated with natural catastrophes and terrorism are inherently unpredictable, and it is difficult to forecast the timing of such events or estimate the amount of losses they will generate. Recently, for example, various parts of the United States have suffered extensive damage due to hurricanes, droughts, severe heat and cold events, fires, and other natural disasters, and Australia has experienced extensive damage due to fires.</w:t>
      </w:r>
      <w:r>
        <w:rPr>
          <w:color w:val="000000"/>
        </w:rPr>
        <w:t xml:space="preserve"> </w:t>
      </w:r>
      <w:r>
        <w:rPr>
          <w:rFonts w:ascii="Times New Roman;sans-serif" w:hAnsi="Times New Roman;sans-serif"/>
          <w:b w:val="false"/>
          <w:color w:val="000000"/>
          <w:sz w:val="20"/>
        </w:rPr>
        <w:t>The combined and expected effect of those losses on P&amp;C insurers is significant.</w:t>
      </w:r>
      <w:r>
        <w:rPr>
          <w:color w:val="000000"/>
        </w:rPr>
        <w:t xml:space="preserve"> </w:t>
      </w:r>
      <w:r>
        <w:rPr>
          <w:rFonts w:ascii="Times New Roman;sans-serif" w:hAnsi="Times New Roman;sans-serif"/>
          <w:b w:val="false"/>
          <w:color w:val="000000"/>
          <w:sz w:val="20"/>
        </w:rPr>
        <w:t>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pStyle w:val="TextBody"/>
        <w:spacing w:lineRule="auto" w:line="276" w:before="100" w:after="283"/>
        <w:ind w:left="0" w:right="0" w:firstLine="495"/>
        <w:jc w:val="both"/>
        <w:rPr/>
      </w:pPr>
      <w:r>
        <w:rPr>
          <w:rFonts w:ascii="Times New Roman;sans-serif" w:hAnsi="Times New Roman;sans-serif"/>
          <w:b w:val="false"/>
          <w:color w:val="000000"/>
          <w:sz w:val="20"/>
        </w:rPr>
        <w:t>Our corporate headquarters and the majority of our operations are located in the San Francisco Bay Area, a region known for seismic activity. A significant natural disaster, such as an earthquake, tsunami, fire, flood, epidemic, or pandemic, such as the COVID-19 pandemic, could have a material adverse impact on our business, results of operations, and financial condition. In addition, our information technology systems are vulnerable to computer viruses, break-ins, and similar disruptions from unauthorized tampering.</w:t>
      </w:r>
      <w:r>
        <w:rPr>
          <w:color w:val="000000"/>
        </w:rPr>
        <w:t xml:space="preserve"> </w:t>
      </w:r>
      <w:r>
        <w:rPr>
          <w:rFonts w:ascii="Times New Roman;sans-serif" w:hAnsi="Times New Roman;sans-serif"/>
          <w:b w:val="false"/>
          <w:color w:val="000000"/>
          <w:sz w:val="20"/>
        </w:rPr>
        <w:t>To the extent that such disruptions result in delays or cancellations of customer orders or collections, or the deployment or availability of our services and products, our business, results of operations, and financial condition would be adversely affected.</w:t>
      </w:r>
    </w:p>
    <w:p>
      <w:pPr>
        <w:pStyle w:val="TextBody"/>
        <w:spacing w:lineRule="auto" w:line="288" w:before="2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revenue,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applications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and operating income, which could have an adverse effect on our stock price. We will continue to experience fluctuations in foreign currency exchange rates, which, if material, may harm our revenue or results of operations.</w:t>
      </w:r>
    </w:p>
    <w:p>
      <w:pPr>
        <w:pStyle w:val="TextBody"/>
        <w:spacing w:before="100" w:after="283"/>
        <w:ind w:left="0" w:right="0" w:firstLine="495"/>
        <w:jc w:val="both"/>
        <w:rPr/>
      </w:pPr>
      <w:r>
        <w:rPr/>
      </w:r>
    </w:p>
    <w:p>
      <w:pPr>
        <w:pStyle w:val="TextBody"/>
        <w:spacing w:before="100" w:after="283"/>
        <w:jc w:val="both"/>
        <w:rPr/>
      </w:pPr>
      <w:r>
        <w:rPr/>
      </w:r>
    </w:p>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1B.Unresolved Staff Comments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2.Properties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in San Mateo, California consists of approximately 189,000 square feet of space leased through December 2029. Our European headquarters in Dublin, Ireland consists of approximately 85,000 square feet of space leased through March 2032. As of July 31, 2021, we also lease facilities for our sales, services, development, operations and administrative activities in various locations in the United States and around the world, including in Bedford, Massachusetts; Birmingham, Alabama; Columbia, South Carolina; Edina, Minnesota; Exton, Pennsylvania; San Diego, California; San Jose, California; Chennai, India; Krakow, Poland; Kuala Lumpur, Malaysia; London, United Kingdom; Madrid, Spain; Mississauga, Canada; Paris, France; Sydney, Australia; and Tokyo, Japan.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facilities are suitable to meet our current needs. We are evaluating our real estate strategy as it relates to the impact of the COVID-19 pandemic and anticipated needs of a hybrid workforce. In the future, we may expand our facilities or add new facilities as we add employees and enter new geographic markets, and we believe that suitable additional or alternative space will be available as needed to accommodate any such growth. We expect to incur additional expenses in connection with such new or expanded facilities.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 xml:space="preserve">Item 3.Legal Proceedings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legal proceedings that arise in the ordinary course of our business. Any such proceedings, whether meritorious or not, could be time consuming, costly, and result in the diversion of significant operational resources or management time.</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pStyle w:val="TextBody"/>
        <w:spacing w:before="18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10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5.Market for Registrant’s Common Equity, Related Stockholder Matters and Issuer Purchases of Equity</w:t>
      </w:r>
    </w:p>
    <w:p>
      <w:pPr>
        <w:pStyle w:val="TextBody"/>
        <w:spacing w:lineRule="auto" w:line="288" w:before="28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Securities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listed on the New York Stock Exchange under the symbol “GWRE”.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July 30, 2021, the last reported sale price of our common stock on the New York Stock Exchange was $115.20 per share. As of July 31, 2021, we had 38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and do not anticipate declaring or paying, any cash dividends on our common stock. Any future determination as to the declaration and payment of dividends, if any, will be at the discretion of our board of directors and will depend on then existing conditions, including our financial condition, operating results, contractual restrictions, capital requirements, business prospects, and other factors our board of directors may deem relevant.</w:t>
      </w:r>
    </w:p>
    <w:p>
      <w:pPr>
        <w:pStyle w:val="TextBody"/>
        <w:spacing w:lineRule="auto" w:line="288" w:before="18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Purchases of Equity Securities by the Issuer</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repurchase of equity securities during the fiscal quarter ended July 31, 2021:</w:t>
      </w:r>
    </w:p>
    <w:tbl>
      <w:tblPr>
        <w:tblW w:w="10205" w:type="dxa"/>
        <w:jc w:val="left"/>
        <w:tblInd w:w="0" w:type="dxa"/>
        <w:tblCellMar>
          <w:top w:w="28" w:type="dxa"/>
          <w:left w:w="28" w:type="dxa"/>
          <w:bottom w:w="28" w:type="dxa"/>
          <w:right w:w="28" w:type="dxa"/>
        </w:tblCellMar>
      </w:tblPr>
      <w:tblGrid>
        <w:gridCol w:w="420"/>
        <w:gridCol w:w="370"/>
        <w:gridCol w:w="371"/>
        <w:gridCol w:w="510"/>
        <w:gridCol w:w="510"/>
        <w:gridCol w:w="512"/>
        <w:gridCol w:w="432"/>
        <w:gridCol w:w="432"/>
        <w:gridCol w:w="433"/>
        <w:gridCol w:w="925"/>
        <w:gridCol w:w="925"/>
        <w:gridCol w:w="928"/>
        <w:gridCol w:w="1002"/>
        <w:gridCol w:w="1002"/>
        <w:gridCol w:w="1433"/>
      </w:tblGrid>
      <w:tr>
        <w:trPr/>
        <w:tc>
          <w:tcPr>
            <w:tcW w:w="42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r>
      <w:tr>
        <w:trPr/>
        <w:tc>
          <w:tcPr>
            <w:tcW w:w="11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5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129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277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Total Number Of Shares Purchased As Part Of Publicly Announced Plans Or Programs</w:t>
            </w:r>
            <w:r>
              <w:rPr>
                <w:rFonts w:ascii="Times New Roman;sans-serif" w:hAnsi="Times New Roman;sans-serif"/>
                <w:b/>
                <w:color w:val="000000"/>
                <w:sz w:val="13"/>
              </w:rPr>
              <w:t>(1)</w:t>
            </w:r>
          </w:p>
        </w:tc>
        <w:tc>
          <w:tcPr>
            <w:tcW w:w="343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0"/>
              <w:jc w:val="center"/>
              <w:rPr/>
            </w:pPr>
            <w:r>
              <w:rPr>
                <w:rFonts w:ascii="Times New Roman;sans-serif" w:hAnsi="Times New Roman;sans-serif"/>
                <w:b/>
                <w:color w:val="000000"/>
                <w:sz w:val="20"/>
              </w:rPr>
              <w:t>Approximate Dollar Value (in millions) of Shares That May Yet Be Purchased Under The Plans or Programs</w:t>
            </w:r>
            <w:r>
              <w:rPr>
                <w:rFonts w:ascii="Times New Roman;sans-serif" w:hAnsi="Times New Roman;sans-serif"/>
                <w:b/>
                <w:color w:val="000000"/>
                <w:sz w:val="13"/>
              </w:rPr>
              <w:t>(1)</w:t>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2021 – May 31, 2021</w:t>
            </w:r>
          </w:p>
        </w:tc>
        <w:tc>
          <w:tcPr>
            <w:tcW w:w="15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126,688</w:t>
            </w:r>
          </w:p>
        </w:tc>
        <w:tc>
          <w:tcPr>
            <w:tcW w:w="129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$97.08</w:t>
            </w:r>
          </w:p>
        </w:tc>
        <w:tc>
          <w:tcPr>
            <w:tcW w:w="277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1,250,029</w:t>
            </w:r>
          </w:p>
        </w:tc>
        <w:tc>
          <w:tcPr>
            <w:tcW w:w="3437"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$63.9</w:t>
            </w:r>
          </w:p>
        </w:tc>
      </w:tr>
      <w:tr>
        <w:trPr/>
        <w:tc>
          <w:tcPr>
            <w:tcW w:w="11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2021 – June 30, 2021</w:t>
            </w:r>
          </w:p>
        </w:tc>
        <w:tc>
          <w:tcPr>
            <w:tcW w:w="15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123,950</w:t>
            </w:r>
          </w:p>
        </w:tc>
        <w:tc>
          <w:tcPr>
            <w:tcW w:w="129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$109.15</w:t>
            </w:r>
          </w:p>
        </w:tc>
        <w:tc>
          <w:tcPr>
            <w:tcW w:w="277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1,373,979</w:t>
            </w:r>
          </w:p>
        </w:tc>
        <w:tc>
          <w:tcPr>
            <w:tcW w:w="343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$50.4</w:t>
            </w:r>
          </w:p>
        </w:tc>
      </w:tr>
      <w:tr>
        <w:trPr/>
        <w:tc>
          <w:tcPr>
            <w:tcW w:w="116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2021 – July 31, 2021</w:t>
            </w:r>
          </w:p>
        </w:tc>
        <w:tc>
          <w:tcPr>
            <w:tcW w:w="153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115,012</w:t>
            </w:r>
          </w:p>
        </w:tc>
        <w:tc>
          <w:tcPr>
            <w:tcW w:w="129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$112.28</w:t>
            </w:r>
          </w:p>
        </w:tc>
        <w:tc>
          <w:tcPr>
            <w:tcW w:w="277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1,488,991</w:t>
            </w:r>
          </w:p>
        </w:tc>
        <w:tc>
          <w:tcPr>
            <w:tcW w:w="3437"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w:t>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2778" w:type="dxa"/>
            <w:gridSpan w:val="3"/>
            <w:tcBorders/>
            <w:shd w:fill="auto" w:val="clear"/>
            <w:vAlign w:val="center"/>
          </w:tcPr>
          <w:p>
            <w:pPr>
              <w:pStyle w:val="TableContents"/>
              <w:spacing w:before="0" w:after="283"/>
              <w:rPr>
                <w:sz w:val="4"/>
                <w:szCs w:val="4"/>
              </w:rPr>
            </w:pPr>
            <w:r>
              <w:rPr>
                <w:sz w:val="4"/>
                <w:szCs w:val="4"/>
              </w:rPr>
            </w:r>
          </w:p>
        </w:tc>
        <w:tc>
          <w:tcPr>
            <w:tcW w:w="343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On October 7, 2020, we announced that our board of directors authorized and approved a share repurchase program of up to $200.0 million of our outstanding stock. We began repurchasing shares under this program during the first quarter of fiscal year 2021. As of July 31, 2021, we had approximately $37.5 million remaining for future share repurchases under the share repurchase program. The stock repurchase program does not obligate us to repurchase any dollar amount or number of shares, and the program may be suspended or discontinued at any time. There is no stated expiration for the program.</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of our filings under the Securities Act of 1933 or the Exchange Act.</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 shows a comparison of the cumulative total return for our common stock, the NASDAQ Composite-Total Return Index and S&amp;P Software &amp; Services Select Industry Index for the period from July 31, 2016 through July 31, 2021. Such returns are based on historical results and are not intended to suggest future performance. Data for the NASDAQ Composite Total Return Index and S&amp;P Software &amp; Services Select Industry Index assume reinvestment of dividends. </w:t>
      </w:r>
    </w:p>
    <w:p>
      <w:pPr>
        <w:pStyle w:val="TextBody"/>
        <w:spacing w:before="180" w:after="283"/>
        <w:jc w:val="both"/>
        <w:rPr/>
      </w:pPr>
      <w:r>
        <w:rPr/>
        <w:drawing>
          <wp:inline distT="0" distB="63500" distL="0" distR="0">
            <wp:extent cx="6515100" cy="3114675"/>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
                    <a:stretch>
                      <a:fillRect/>
                    </a:stretch>
                  </pic:blipFill>
                  <pic:spPr bwMode="auto">
                    <a:xfrm>
                      <a:off x="0" y="0"/>
                      <a:ext cx="6515100" cy="3114675"/>
                    </a:xfrm>
                    <a:prstGeom prst="rect">
                      <a:avLst/>
                    </a:prstGeom>
                  </pic:spPr>
                </pic:pic>
              </a:graphicData>
            </a:graphic>
          </wp:inline>
        </w:drawing>
      </w:r>
    </w:p>
    <w:p>
      <w:pPr>
        <w:pStyle w:val="TextBody"/>
        <w:spacing w:before="180" w:after="283"/>
        <w:jc w:val="both"/>
        <w:rPr/>
      </w:pPr>
      <w:r>
        <w:rPr/>
      </w:r>
    </w:p>
    <w:tbl>
      <w:tblPr>
        <w:tblW w:w="10205" w:type="dxa"/>
        <w:jc w:val="left"/>
        <w:tblInd w:w="0" w:type="dxa"/>
        <w:tblCellMar>
          <w:top w:w="28" w:type="dxa"/>
          <w:left w:w="28" w:type="dxa"/>
          <w:bottom w:w="28" w:type="dxa"/>
          <w:right w:w="28" w:type="dxa"/>
        </w:tblCellMar>
      </w:tblPr>
      <w:tblGrid>
        <w:gridCol w:w="1417"/>
        <w:gridCol w:w="1245"/>
        <w:gridCol w:w="1250"/>
        <w:gridCol w:w="211"/>
        <w:gridCol w:w="721"/>
        <w:gridCol w:w="109"/>
        <w:gridCol w:w="211"/>
        <w:gridCol w:w="721"/>
        <w:gridCol w:w="109"/>
        <w:gridCol w:w="211"/>
        <w:gridCol w:w="721"/>
        <w:gridCol w:w="109"/>
        <w:gridCol w:w="211"/>
        <w:gridCol w:w="721"/>
        <w:gridCol w:w="109"/>
        <w:gridCol w:w="211"/>
        <w:gridCol w:w="721"/>
        <w:gridCol w:w="109"/>
        <w:gridCol w:w="211"/>
        <w:gridCol w:w="721"/>
        <w:gridCol w:w="156"/>
      </w:tblGrid>
      <w:tr>
        <w:trPr/>
        <w:tc>
          <w:tcPr>
            <w:tcW w:w="1417"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7/31/2016</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7/31/2017</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7/31/2018</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7/31/2019</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7/31/2020</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7/31/2021</w:t>
            </w:r>
          </w:p>
        </w:tc>
      </w:tr>
      <w:tr>
        <w:trPr/>
        <w:tc>
          <w:tcPr>
            <w:tcW w:w="3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Composite-Total Return Index</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298.96 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Software &amp; Services Select Industry Index</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8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 from Registered Securities</w:t>
      </w:r>
    </w:p>
    <w:p>
      <w:pPr>
        <w:pStyle w:val="TextBody"/>
        <w:spacing w:lineRule="auto" w:line="288" w:before="2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2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6.[Reserved]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7.Management’s Discussion and Analysis of Financial Condition and Results of Operations</w:t>
      </w:r>
    </w:p>
    <w:p>
      <w:pPr>
        <w:pStyle w:val="TextBody"/>
        <w:spacing w:lineRule="auto" w:line="288" w:before="10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consolidated financial statements and related notes thereto included in Item 8 and the Risk Factors included in Item 1A of Part I of this Annual Report on Form 10-K. All information presented herein is based on our fiscal calendar. Unless otherwise stated, references in this Annual Report on Form 10-K to particular years or quarters refer to our fiscal years ended in July and the associated quarters of those fiscal years. We assume no obligation to revise or update any forward-looking statements for any reason, except as required by law.</w:t>
      </w:r>
    </w:p>
    <w:p>
      <w:pPr>
        <w:pStyle w:val="TextBody"/>
        <w:spacing w:lineRule="auto" w:line="288" w:before="18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We have elected to omit discussion on the earliest of the three years covered by the consolidated financial statements presented. Refer to Item 7. Management’s Discussion and Analysis of Financial Condition and Results of Operations located in our Form 10-K for the fiscal year ended July 31, 2020, filed on September 28, 2020, for reference to discussion of the fiscal year ended July 31, 2019, the earliest of the three fiscal years presented.</w:t>
      </w:r>
    </w:p>
    <w:p>
      <w:pPr>
        <w:pStyle w:val="TextBody"/>
        <w:spacing w:lineRule="auto" w:line="417" w:before="28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delivers a leading platform that P&amp;C insurers trust to engage, innovate, and grow efficiently. Guidewire’s platform combines core operations, digital engagement, analytics, and AI applications delivered as a cloud service or self-managed software. As a partner to our customers, we continually evolve to enable their success and assist them in navigating a rapidly changing insurance market.</w:t>
      </w:r>
    </w:p>
    <w:p>
      <w:pPr>
        <w:pStyle w:val="TextBody"/>
        <w:spacing w:before="0" w:after="0"/>
        <w:ind w:left="0" w:right="0" w:firstLine="495"/>
        <w:jc w:val="both"/>
        <w:rPr/>
      </w:pPr>
      <w:r>
        <w:rPr/>
      </w:r>
    </w:p>
    <w:p>
      <w:pPr>
        <w:pStyle w:val="TextBody"/>
        <w:spacing w:lineRule="auto" w:line="288" w:before="0" w:after="0"/>
        <w:ind w:left="0" w:right="0" w:firstLine="495"/>
        <w:jc w:val="both"/>
        <w:rPr/>
      </w:pPr>
      <w:r>
        <w:rPr>
          <w:rFonts w:ascii="Times New Roman;sans-serif" w:hAnsi="Times New Roman;sans-serif"/>
          <w:b w:val="false"/>
          <w:color w:val="000000"/>
          <w:sz w:val="20"/>
        </w:rPr>
        <w:t>Our core operational services and products are InsuranceSuite via Guidewire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InsuranceSuite via Guidewire Cloud is a highly configurable and scalable product, delivered as a service and primarily comprised of three core applications (PolicyCenter, BillingCenter, and ClaimCenter) that can be subscribed to separately or together.</w:t>
      </w:r>
      <w:r>
        <w:rPr>
          <w:color w:val="000000"/>
        </w:rPr>
        <w:t xml:space="preserve"> </w:t>
      </w:r>
      <w:r>
        <w:rPr>
          <w:rFonts w:ascii="Times New Roman;sans-serif" w:hAnsi="Times New Roman;sans-serif"/>
          <w:b w:val="false"/>
          <w:color w:val="000000"/>
          <w:sz w:val="20"/>
        </w:rPr>
        <w:t>These applications are built on and optimized for our Guidewire Cloud Platform (“GWCP”) architecture and leverage our in-house Guidewire Cloud operations team.</w:t>
      </w:r>
      <w:r>
        <w:rPr>
          <w:color w:val="000000"/>
        </w:rPr>
        <w:t xml:space="preserve"> </w:t>
      </w:r>
      <w:r>
        <w:rPr>
          <w:rFonts w:ascii="Times New Roman;sans-serif" w:hAnsi="Times New Roman;sans-serif"/>
          <w:b w:val="false"/>
          <w:color w:val="000000"/>
          <w:sz w:val="20"/>
        </w:rPr>
        <w:t>InsuranceSuite via Guidewire Cloud is designed to support multiple releases each year to ensure that cloud customers remain on the latest version and gain fast access to our innovation efforts.</w:t>
      </w:r>
      <w:r>
        <w:rPr>
          <w:color w:val="000000"/>
        </w:rPr>
        <w:t xml:space="preserve"> </w:t>
      </w:r>
      <w:r>
        <w:rPr>
          <w:rFonts w:ascii="Times New Roman;sans-serif" w:hAnsi="Times New Roman;sans-serif"/>
          <w:b w:val="false"/>
          <w:color w:val="000000"/>
          <w:sz w:val="20"/>
        </w:rPr>
        <w:t>Additionally, InsuranceSuite via Guidewire Cloud embeds digital and analytics capabilities natively into our platform.</w:t>
      </w:r>
      <w:r>
        <w:rPr>
          <w:color w:val="000000"/>
        </w:rPr>
        <w:t xml:space="preserve"> </w:t>
      </w:r>
      <w:r>
        <w:rPr>
          <w:rFonts w:ascii="Times New Roman;sans-serif" w:hAnsi="Times New Roman;sans-serif"/>
          <w:b w:val="false"/>
          <w:color w:val="000000"/>
          <w:sz w:val="20"/>
        </w:rPr>
        <w:t>Most new sales and implementations are for InsuranceSuite via Guidewire Cloud.</w:t>
      </w:r>
      <w:r>
        <w:rPr>
          <w:color w:val="000000"/>
        </w:rPr>
        <w:t xml:space="preserve"> </w:t>
      </w:r>
      <w:r>
        <w:rPr>
          <w:rFonts w:ascii="Times New Roman;sans-serif" w:hAnsi="Times New Roman;sans-serif"/>
          <w:b w:val="false"/>
          <w:color w:val="000000"/>
          <w:sz w:val="20"/>
        </w:rPr>
        <w:t>InsuranceNow is a complete, cloud-based application that offers policy, billing, and claims management functionality to insurers that have limited internal information technology resources. InsuranceSuite for self-managed installations is comprised of three core applications (PolicyCenter, BillingCenter, and ClaimCenter) that can be licensed separately or together and can be deployed and updated by our customers and their implementation partners.</w:t>
      </w:r>
      <w:r>
        <w:rPr>
          <w:color w:val="000000"/>
        </w:rPr>
        <w:t xml:space="preserve"> </w:t>
      </w:r>
      <w:r>
        <w:rPr>
          <w:rFonts w:ascii="Times New Roman;sans-serif" w:hAnsi="Times New Roman;sans-serif"/>
          <w:b w:val="false"/>
          <w:color w:val="000000"/>
          <w:sz w:val="20"/>
        </w:rPr>
        <w:t>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pStyle w:val="TextBody"/>
        <w:spacing w:before="0" w:after="0"/>
        <w:ind w:left="0" w:right="0" w:firstLine="495"/>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Our customers range from some of the largest global insurance companies or their subsidiaries to predominantly national or local insurers that serve specific states and/or regions.</w:t>
      </w:r>
      <w:r>
        <w:rPr>
          <w:color w:val="000000"/>
        </w:rPr>
        <w:t xml:space="preserve"> </w:t>
      </w:r>
      <w:r>
        <w:rPr>
          <w:rFonts w:ascii="Times New Roman;sans-serif" w:hAnsi="Times New Roman;sans-serif"/>
          <w:b w:val="false"/>
          <w:color w:val="000000"/>
          <w:sz w:val="20"/>
        </w:rPr>
        <w:t xml:space="preserve">Our customer engagement is led by our direct sales team and supported by our SI partners. We maintain and continue to grow our sales and marketing efforts globally, and maintain regional sales centers throughout the world.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platform is critical to our new and existing customers’ businesses, their decision-making and product evaluation process is long, which results in an extended sales cycle. These evaluation periods can extend further if a customer purchases multiple services and products or assesses the benefits of a cloud-based subscription. Sales to new customers also involve extensive customer due diligence and reference checks. Our sales cycle has lengthened due to the COVID-19 pandemic.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our cloud-delivered offerings through subscription services and our self-managed products through term licenses. We generally price our services and products based on the amount of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is recognized on a ratable basis over the committed term, once all revenue recognition criteria is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a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platform, services, and products. Substantially all of our services revenue is billed monthly on a time and materials basis.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few years, we have primarily been entering into cloud-based subscription arrangements with our new and existing customers, and we anticipate that subscription arrangements will be a majority of annual new sales going forward. As this sales model matures, we may decide to change certain contract terms in new arrangements to remain competitive or otherwise meet market demands.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extend our technology leadership in the global market and to drive operating efficiency, we continue to invest in product development and cloud operations to enhance and improve our current services and products, introduce new services and products, and advance our ability to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services, products, solutions, and upgrades.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track record of success with customers and their implementations is central to maintaining our strong competitive position. We rely on our global services team and SI partners to ensure that teams with the right combination of product and language skills are used in the most efficient way to meet our customers’ implementation needs. We have extensive relationships with SI, consulting, technology, and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work closely with our network of third-party SI partners to facilitate new sales and implementations of both our subscription services and self-managed products. Our partnerships with leading SI partners allow us to increase efficiency and scale while reducing customer implementation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services and products, and cost-effectively managing the infrastructure of our cloud-based customers. In response to these and other risks we might face, we continue to invest in many areas of our business, including product development, cloud operations, implementation services and sales and marketing. </w:t>
      </w:r>
    </w:p>
    <w:p>
      <w:pPr>
        <w:pStyle w:val="TextBody"/>
        <w:spacing w:before="100" w:after="283"/>
        <w:ind w:left="0" w:right="0" w:firstLine="45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World Health Organization declared the outbreak of COVID-19 a pandemic, which has continued to spread throughout the United States and the world and has resulted in authorities implementing numerous measures to contain the virus, including travel bans and restrictions, quarantines, shelter-in-place orders, and business limitations and shutdowns. While we are unable to accurately predict the full impact that COVID-19 will have on our results of operations, financial condition, liquidity, and cash flows due to numerous uncertainties, including the duration and severity of the pandemic, containment measures, and if there are periods of increases in the number of COVID-19 cases or future variants of the virus in areas in which we operate, our compliance with containment measures has impacted our day-to-day operations and could continue to disrupt our business and operations, as well as that of our key customers, SI partners, vendors, and other counterparties, for an indefinite period of time. To support the health and well-being of our employees, customers, SI partners and communities, a vast majority of our employees are working remotely. In addition, many of our existing and potential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customers are working remotely, which may continue to delay the timing of new orders and professional services engagements in the future.</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financial results since the third fiscal quarter of 2020 have been impacted due to these disruptions, including decreases in ARR growth rates, services revenue and margins, operating cash flow and the change in fair value of strategic investments. ARR and revenue, especially services revenue, continued to be impacted in fiscal year 2021 as a result of the challenges related to our compliance with government-mandated or recommended shelter-in-place orders in jurisdictions in which we, our customers, SI partners and vendors operate.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vaccines are making progress against the COVID-19 pandemic in the United States and certain other parts of the world where vaccinations are widely available, the economic impact of the pandemic on our business and the businesses of our customers, SI partners, and vendors may continue into fiscal year 2022, if not longer. We believe that new sales activities are being delayed, not cancelled, and implementation engagements are being rescheduled to later periods or being completed over a longer period of time. Certain marketing events have or will be cancelled or postponed, while the majority are being hosted virtually, like our customer conference, Connections. Our customers may be unable to pay or may request amended payment terms for their outstanding invoices due to the economic impacts from COVID-19, and we may need to increase our accounts receivable allowances. A decrease in orders in a given period could negatively affect our revenues and ARR in future periods, particularly if experienced on a sustained basis, because a substantial proportion of our new software subscription services orders is recognized as revenue over time. Also, the pandemic’s global economic impact could affect our customers’ DWP, which could ultimately impact our revenue as we generally price our services and products based on the amount of DWP that will be managed by our platform. Additionally, we may be required to record impairment related to our operating lease assets, investments, long-lived assets, or goodwill.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pandemic, various government programs have been announced which provide financial relief to affected businesses. As an example, the Canadian Government enacted the Canada emergency Wage Subsidy (“CEWS”) under their COVID-19 Economic Response Plan to prevent layoffs and help employers offset, for a limited time, a portion of their employee salaries and wages. Beginning in January 2021, we have applied for the CEWS, to the extent we met the requirements to receive a subsidy, and recorded a reduction of compensation expense of approximately $3 million that is reflected in cost of revenue and operating expenses in our consolidated statements of operations during fiscal year 2021. We will continue to review and apply for additional subsidies or relief, where applicable.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evaluate the nature and extent of the impact of COVID-19 on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certain key metrics and financial measures not prepared in accordance with GAAP to evaluate and manage our business, including ARR and Free Cash Flow. For a further discussion of how we use key metrics and certain non-GAAP financial measures, see “Non-GAAP Financial Measures.”</w:t>
      </w:r>
    </w:p>
    <w:p>
      <w:pPr>
        <w:pStyle w:val="TextBody"/>
        <w:spacing w:lineRule="auto" w:line="417" w:before="30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other arrangements that are not expected to recur (primarily perpetual licenses and professional services) are excluded.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In fiscal year 2021, the recurring license and support or subscription contract value recognized as services revenue was $5.5 million.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July 31, 2021, ARR was $582 million, or $575 million based on currency exchange rates as of July 31, 2020. We measure ARR on a constant currency basis during the fiscal year and revalue ARR at year end to current currency rates. ARR grew in fiscal year 2021 by 13%, or 12% on a constant currency basis.</w:t>
      </w:r>
    </w:p>
    <w:p>
      <w:pPr>
        <w:pStyle w:val="TextBody"/>
        <w:spacing w:lineRule="auto" w:line="417" w:before="30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services and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 of purchases of property and equipment, primarily computer hardware, software, leasehold improvements, and capitalized software development costs. In the third fiscal quarter of 2020, free cash flow was impacted by a $9.9 million partial early bonus payout, which correspondingly resulted in lower bonus payments in the first fiscal quarter of 2021. This partial early bonus payout was approved by our board of directors in order to support our employees and, in turn, their local economies during the extraordinary situation created by the COVID-19 pandemic. In the first fiscal quarter of 2022, we will pay the entire bonus amount for fiscal year 2021 along with accrued vacation for U.S. employees, as we have announced a move to an unlimited vacation policy. The build out and furnishing of our corporate headquarters in San Mateo, California impacted free cash flow by $11.1 million for the fiscal year ended July 31, 2020. The build out and furnishing of our new offices in Mississauga, Canada and Dublin, Ireland impacted free cash flow by a total of $15.6 million for the fiscal year ended July 31, 2021. For a further discussion of our operating cash flows, see “Liquidity and Capital Resources - Cash Flows.”</w:t>
      </w:r>
    </w:p>
    <w:tbl>
      <w:tblPr>
        <w:tblW w:w="6128" w:type="dxa"/>
        <w:jc w:val="left"/>
        <w:tblInd w:w="0" w:type="dxa"/>
        <w:tblCellMar>
          <w:top w:w="28" w:type="dxa"/>
          <w:left w:w="28" w:type="dxa"/>
          <w:bottom w:w="28" w:type="dxa"/>
          <w:right w:w="28" w:type="dxa"/>
        </w:tblCellMar>
      </w:tblPr>
      <w:tblGrid>
        <w:gridCol w:w="1331"/>
        <w:gridCol w:w="1169"/>
        <w:gridCol w:w="1174"/>
        <w:gridCol w:w="196"/>
        <w:gridCol w:w="736"/>
        <w:gridCol w:w="109"/>
        <w:gridCol w:w="109"/>
        <w:gridCol w:w="109"/>
        <w:gridCol w:w="109"/>
        <w:gridCol w:w="196"/>
        <w:gridCol w:w="736"/>
        <w:gridCol w:w="154"/>
      </w:tblGrid>
      <w:tr>
        <w:trPr/>
        <w:tc>
          <w:tcPr>
            <w:tcW w:w="1331"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ind w:left="0" w:right="0" w:firstLine="22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Accounting policies, methods, and estimates are an integral part of the preparation of our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our consolidated financial statements and because of the possibility that future events affecting them may differ markedly from management’s current judgments. While there are a number of significant accounting policies, methods, and estimates affecting our consolidated financial statements, which are described in Note 1 “The Company and a Summary of Significant Accounting Policies and Estimates” to our consolidated financial statements included in this Annual Report on Form 10-K, our revenue recognition policies are critical to the periods presented.</w:t>
      </w:r>
    </w:p>
    <w:p>
      <w:pPr>
        <w:pStyle w:val="TextBody"/>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recognition requires judgment and the use of estimates, especially in identifying and evaluating the various non-standard terms and conditions in our contracts with customers as to their effect on reported revenue. </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derived from contracts with customers. The majority of our revenue is derived from subscriptions to our cloud services, licensing arrangements for our software, and implementation and other professional services arrangements. We account for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a five-step framework to recognize revenue as described in our Revenue Recognition policy included in Note 1 of our consolidated financial statements included in this Annual Report on Form 10-K.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have significant negotiating power during the sales process, which can and does result in terms and conditions that are different from our standard terms and conditions. When terms and conditions of our customer contracts are not standard, certain negotiated terms may require significant judgment in order to determine the appropriate revenue recognition in accordance with ASC 606. </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estimates and assumptions requiring significant judgment under our revenue policy in accordance with ASC 606 are as follows:</w:t>
      </w:r>
    </w:p>
    <w:p>
      <w:pPr>
        <w:pStyle w:val="TextBody"/>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Allocation of the transaction price to the performance obligations in the contract</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Some of our performance obligations, such as support, implementation services, and training services, have observable inputs that are used to determine the SSP of those distinct performance obligations. Where SSP is not directly observable, we determine the SSP using information that may include market conditions and other observable inputs. In the circumstances when available information to determine SSP is highly variable or uncertain, such as for our term licenses, we will use the residual method. </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contracts contain multiple performance obligations, such as when licenses are sold with support, implementation services or training services. As customers enter into a subscription agreement to migrate from an existing term license agreement, customers may be under contract for self-managed licenses and support, in addition to subscription services, for a period of time, which may require an allocation of the transaction price to each performance obligation. Additionally, contract modifications for services and products that are distinct but are not priced commensurate with their SSP or are not distinct from the existing contract may affect the initial transaction price or the allocation of the transaction price to the performance obligations in the contract. In such cases, revenue recognized may be adjusted.</w:t>
      </w:r>
    </w:p>
    <w:p>
      <w:pPr>
        <w:pStyle w:val="TextBody"/>
        <w:spacing w:lineRule="auto" w:line="417" w:before="280" w:after="283"/>
        <w:rPr>
          <w:rFonts w:ascii="Times New Roman;sans-serif" w:hAnsi="Times New Roman;sans-serif"/>
          <w:b/>
          <w:color w:val="000000"/>
          <w:sz w:val="20"/>
        </w:rPr>
      </w:pPr>
      <w:r>
        <w:rPr>
          <w:rFonts w:ascii="Times New Roman;sans-serif" w:hAnsi="Times New Roman;sans-serif"/>
          <w:b/>
          <w:color w:val="000000"/>
          <w:sz w:val="20"/>
        </w:rPr>
        <w:t>Changes from Prior Periodic Reports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this Annual Report on Form 10-K, we have revised our disclosures to comply with SEC Release No. 33-10825, “Modernization of Regulation S-K Items 101, 103, and 105.” In addition, we have early adopted the changes in the disclosure standards included in SEC Release No. 33-10890, “Management’s Discussion and Analysis, Selected Financial Data, Supplementary Financial Information.”</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Modernization of Regulation S-K Items 101, 103, and 105</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SEC issued Release No. 33-10825, “Modernization of Regulation S-K Items 101, 103, and 105,” effective for annual periods beginning subsequent to November 2020. This release was adopted to modernize the description of business, legal proceedings, and risk factor disclosures that registrants are required to make pursuant to Regulation S-K. Specifically, this release requires registrants to provide disclosures relating to their human capital resources and to restructure their risk factor disclosures. Additionally, the release increases the threshold for disclosure of environmental proceedings to which the government is a party.</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Management’s Discussion and Analysis, Selected Financial Data, and Supplementary Financial Information</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issued Release No. 33-10890 “Management’s Discussion and Analysis, Selected Financial Data, Supplementary Financial Information” which became fully effective on August 9, 2021. This release was adopted to modernize, simplify, and enhance certain financial disclosure requirements in Regulation S-K. Specifically, the SEC eliminated the requirement for selected financial data, only requiring quarterly disclosure when there are retrospective changes affecting comprehensive income, and amending the matters required to be presented under Management’s Discussion and Analysis (“MD&amp;A”) to, among other things, eliminate the requirement of the contractual obligations table. </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With our adoption of this release, we have eliminated from this document the items discussed above that are no longer required. Information on our contractual obligations is still disclosed in narrative form within the “Management’s Discussion and Analysis of Financial Condition and Results of Operations” in Item 7 of Part II of this Annual Report on Form 10-K.</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417" w:before="18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“The Company and Summary of Significant Accounting Policies and Estimates” in the notes to the consolidated financial statements in Item 8 of Part II of this Annual Report on Form 10-K, for a full description of recent accounting pronouncements adopted, including the dates of adoption, which is incorporated herein by reference.</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years presented. The data has been derived from the consolidated financial statements contained in this Annual Report on Form 10-K which, in the opinion of our management, reflect all adjustments, consisting only of normal recurring adjustments, necessary to fairly present the financial position and results of operations for the fiscal years presented. The operating results for any period should not be considered indicative of results for any future period.</w:t>
      </w:r>
    </w:p>
    <w:p>
      <w:pPr>
        <w:pStyle w:val="TextBody"/>
        <w:spacing w:before="240" w:after="283"/>
        <w:ind w:left="0" w:right="0" w:firstLine="495"/>
        <w:rPr/>
      </w:pPr>
      <w:r>
        <w:rPr/>
      </w:r>
    </w:p>
    <w:tbl>
      <w:tblPr>
        <w:tblW w:w="10205" w:type="dxa"/>
        <w:jc w:val="left"/>
        <w:tblInd w:w="0" w:type="dxa"/>
        <w:tblCellMar>
          <w:top w:w="28" w:type="dxa"/>
          <w:left w:w="28" w:type="dxa"/>
          <w:bottom w:w="28" w:type="dxa"/>
          <w:right w:w="28" w:type="dxa"/>
        </w:tblCellMar>
      </w:tblPr>
      <w:tblGrid>
        <w:gridCol w:w="1299"/>
        <w:gridCol w:w="1095"/>
        <w:gridCol w:w="1105"/>
        <w:gridCol w:w="211"/>
        <w:gridCol w:w="826"/>
        <w:gridCol w:w="109"/>
        <w:gridCol w:w="109"/>
        <w:gridCol w:w="109"/>
        <w:gridCol w:w="109"/>
        <w:gridCol w:w="375"/>
        <w:gridCol w:w="313"/>
        <w:gridCol w:w="786"/>
        <w:gridCol w:w="109"/>
        <w:gridCol w:w="109"/>
        <w:gridCol w:w="109"/>
        <w:gridCol w:w="211"/>
        <w:gridCol w:w="826"/>
        <w:gridCol w:w="109"/>
        <w:gridCol w:w="109"/>
        <w:gridCol w:w="109"/>
        <w:gridCol w:w="109"/>
        <w:gridCol w:w="375"/>
        <w:gridCol w:w="313"/>
        <w:gridCol w:w="786"/>
        <w:gridCol w:w="109"/>
        <w:gridCol w:w="109"/>
        <w:gridCol w:w="109"/>
        <w:gridCol w:w="158"/>
      </w:tblGrid>
      <w:tr>
        <w:trPr/>
        <w:tc>
          <w:tcPr>
            <w:tcW w:w="129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2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c>
          <w:tcPr>
            <w:tcW w:w="485" w:type="dxa"/>
            <w:gridSpan w:val="4"/>
            <w:tcBorders/>
            <w:shd w:fill="auto" w:val="clear"/>
          </w:tcPr>
          <w:p>
            <w:pPr>
              <w:pStyle w:val="TableContents"/>
              <w:spacing w:before="0" w:after="283"/>
              <w:rPr>
                <w:sz w:val="4"/>
                <w:szCs w:val="4"/>
              </w:rPr>
            </w:pPr>
            <w:r>
              <w:rPr>
                <w:sz w:val="4"/>
                <w:szCs w:val="4"/>
              </w:rPr>
            </w:r>
          </w:p>
        </w:tc>
      </w:tr>
      <w:tr>
        <w:trPr/>
        <w:tc>
          <w:tcPr>
            <w:tcW w:w="3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a % of Total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a % of 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1"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485" w:type="dxa"/>
            <w:gridSpan w:val="4"/>
            <w:tcBorders/>
            <w:shd w:fill="auto" w:val="clea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Subscription and support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License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331,554 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743,267 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742,307 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Subscription and support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License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338,015 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Subscription and support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License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368,213 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and marketing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7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473,797 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before provision for (benefit from)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(66,507)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(27,198)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Comparison of the Fiscal Years Ended July 31, 2021 and 2020</w:t>
      </w:r>
    </w:p>
    <w:p>
      <w:pPr>
        <w:pStyle w:val="TextBody"/>
        <w:spacing w:lineRule="auto" w:line="288" w:before="10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primarily from delivering cloud-based services, licensing our software applications, providing support, and delivering professional services.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417" w:before="10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Subscription and Support</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w:t>
      </w:r>
    </w:p>
    <w:p>
      <w:pPr>
        <w:pStyle w:val="TextBody"/>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support revenue is generally recognized ratably over the committed support term of the licensed software. Our support fees are typically priced as a fixed percentage of the associated term license fees. We generally invoice support annually in advance.</w:t>
      </w:r>
    </w:p>
    <w:p>
      <w:pPr>
        <w:pStyle w:val="TextBody"/>
        <w:spacing w:lineRule="auto" w:line="417" w:before="10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w:t>
      </w:r>
    </w:p>
    <w:p>
      <w:pPr>
        <w:pStyle w:val="TextBody"/>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pStyle w:val="TextBody"/>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 limited number of cases, we license our software on a perpetual basis. Perpetual license revenue is generally recognized upon delivery. We invoice our perpetual license customers either in full at contract signing or on an installment basis.</w:t>
      </w:r>
    </w:p>
    <w:p>
      <w:pPr>
        <w:pStyle w:val="TextBody"/>
        <w:spacing w:lineRule="auto" w:line="417"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revenue is primarily derived from implementation services performed for our customers, reimbursable travel expenses, and training fees. A substantial majority of our services engagements are billed and recognized on a time and materials basis upon providing our services.</w:t>
      </w:r>
    </w:p>
    <w:tbl>
      <w:tblPr>
        <w:tblW w:w="9823" w:type="dxa"/>
        <w:jc w:val="left"/>
        <w:tblInd w:w="0" w:type="dxa"/>
        <w:tblCellMar>
          <w:top w:w="28" w:type="dxa"/>
          <w:left w:w="28" w:type="dxa"/>
          <w:bottom w:w="28" w:type="dxa"/>
          <w:right w:w="28" w:type="dxa"/>
        </w:tblCellMar>
      </w:tblPr>
      <w:tblGrid>
        <w:gridCol w:w="801"/>
        <w:gridCol w:w="707"/>
        <w:gridCol w:w="712"/>
        <w:gridCol w:w="211"/>
        <w:gridCol w:w="826"/>
        <w:gridCol w:w="109"/>
        <w:gridCol w:w="109"/>
        <w:gridCol w:w="109"/>
        <w:gridCol w:w="109"/>
        <w:gridCol w:w="233"/>
        <w:gridCol w:w="233"/>
        <w:gridCol w:w="476"/>
        <w:gridCol w:w="109"/>
        <w:gridCol w:w="109"/>
        <w:gridCol w:w="109"/>
        <w:gridCol w:w="211"/>
        <w:gridCol w:w="826"/>
        <w:gridCol w:w="109"/>
        <w:gridCol w:w="109"/>
        <w:gridCol w:w="109"/>
        <w:gridCol w:w="109"/>
        <w:gridCol w:w="233"/>
        <w:gridCol w:w="233"/>
        <w:gridCol w:w="476"/>
        <w:gridCol w:w="109"/>
        <w:gridCol w:w="109"/>
        <w:gridCol w:w="109"/>
        <w:gridCol w:w="211"/>
        <w:gridCol w:w="721"/>
        <w:gridCol w:w="109"/>
        <w:gridCol w:w="109"/>
        <w:gridCol w:w="109"/>
        <w:gridCol w:w="109"/>
        <w:gridCol w:w="216"/>
        <w:gridCol w:w="219"/>
        <w:gridCol w:w="316"/>
      </w:tblGrid>
      <w:tr>
        <w:trPr/>
        <w:tc>
          <w:tcPr>
            <w:tcW w:w="801"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5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Change</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03"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Subscription and Support </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If we complete a higher percentage of subscription arrangements in a given period, our short-term growth rates will be negatively impacted. Due to the seasonal nature of our business, the impact of new subscription orders in the fourth fiscal quarter, our historically largest quarter for new orders, is not reflected in revenues until the following fiscal year.</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by $49.0 million, compared to the prior year, primarily due to the impact of new subscription services agreements for InsuranceSuite via Guidewire Cloud entered into and provisioned since July 31, 2020.</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support revenue was flat, compared to the prior year.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continue to reduce the growth in, or result in lower, support revenue in the future. </w:t>
      </w:r>
    </w:p>
    <w:p>
      <w:pPr>
        <w:pStyle w:val="TextBody"/>
        <w:spacing w:lineRule="auto" w:line="288" w:before="28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License</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has and will be negatively impacted as subscription sales increase as a percentage of total new sales and as customers migrate from term licenses to subscription services instead of renewing their term licenses.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Term license revenue decreased by $25.2 million, compared to the prior year, primarily driven by lower revenue from new term licenses of $12.4 million and term license renewals of $12.3 million. Included in these amounts is the impact of term license contracts with an initial term of greater than two years or a renewal term of greater than one year. The impact on term license revenue from contracts that deviated from our standard contract durations was $23.4 million in fiscal year 2021 compared with $37.6 million in the prior year.</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Perpetual license revenue decreased by $2.6 million, compared to the prior year, and accounted for less than 1% of total revenue in fiscal year 2021. We expect perpetual license revenue to continue to represent a small percentage of our total revenue. Perpetual license revenue may potentially be volatile across periods due to the large amount of perpetual revenue that may be generated from a single customer order.</w:t>
      </w:r>
    </w:p>
    <w:p>
      <w:pPr>
        <w:pStyle w:val="TextBody"/>
        <w:spacing w:lineRule="auto" w:line="288" w:before="28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Services Revenue</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Services revenue decreased $20.2 million, compared to the prior year. The decrease is primarily driven by contracts with lower average services billing rates and increased investments in customer implementations to accelerate their transition to the cloud, and to a lesser extent a $6.8 million reduction in revenue from billable travel costs due to travel restrictions associated with the COVID-19 pandemic during fiscal year 2021.</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expect modestly higher levels of variability in our services revenue in future periods. As we successfully leverage our SI partners to lead more implementations, our services revenue could decrease further. We expect challenges related to COVID-19 will also continue to negatively impact services revenue. As we continue to expand into new markets and develop new services and products, we have, and may continue to, enter into contracts with lower average billing rates, make investments in customer implementation and migration engagements, and enter into fixed price contracts, which may impact services revenue and services margins.</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subscription and support revenue consists of personnel costs for our cloud operations and technical support teams, cloud infrastructure costs, development of online training curriculum, amortization of our intangible assets, and royalty fees paid to third parties. Our cost of license revenue primarily consists of development of online training curriculum, royalty fees paid to third parties, and amortization of our intangible assets. Our cost of services revenue primarily consists of personnel costs for our professional service employees, third-party contractors, and travel-related costs. In instances where we have primary responsibility for the delivery of services, subcontractor fees are expensed as cost of services revenue. In each case, personnel costs include salaries, bonuses, benefits, and stock-based compensation.</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allocate overhead such as information technology support, information security, facilities, and other administrative costs to all functional departments based on headcount. As such, these general overhead expenses are reflected in cost of revenue and each functional operating expense.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10205" w:type="dxa"/>
        <w:jc w:val="left"/>
        <w:tblInd w:w="0" w:type="dxa"/>
        <w:tblCellMar>
          <w:top w:w="28" w:type="dxa"/>
          <w:left w:w="28" w:type="dxa"/>
          <w:bottom w:w="28" w:type="dxa"/>
          <w:right w:w="28" w:type="dxa"/>
        </w:tblCellMar>
      </w:tblPr>
      <w:tblGrid>
        <w:gridCol w:w="925"/>
        <w:gridCol w:w="708"/>
        <w:gridCol w:w="644"/>
        <w:gridCol w:w="211"/>
        <w:gridCol w:w="826"/>
        <w:gridCol w:w="109"/>
        <w:gridCol w:w="109"/>
        <w:gridCol w:w="109"/>
        <w:gridCol w:w="109"/>
        <w:gridCol w:w="253"/>
        <w:gridCol w:w="253"/>
        <w:gridCol w:w="634"/>
        <w:gridCol w:w="109"/>
        <w:gridCol w:w="109"/>
        <w:gridCol w:w="109"/>
        <w:gridCol w:w="211"/>
        <w:gridCol w:w="826"/>
        <w:gridCol w:w="109"/>
        <w:gridCol w:w="109"/>
        <w:gridCol w:w="109"/>
        <w:gridCol w:w="109"/>
        <w:gridCol w:w="253"/>
        <w:gridCol w:w="253"/>
        <w:gridCol w:w="634"/>
        <w:gridCol w:w="109"/>
        <w:gridCol w:w="109"/>
        <w:gridCol w:w="109"/>
        <w:gridCol w:w="211"/>
        <w:gridCol w:w="721"/>
        <w:gridCol w:w="109"/>
        <w:gridCol w:w="109"/>
        <w:gridCol w:w="109"/>
        <w:gridCol w:w="109"/>
        <w:gridCol w:w="180"/>
        <w:gridCol w:w="181"/>
        <w:gridCol w:w="319"/>
      </w:tblGrid>
      <w:tr>
        <w:trPr/>
        <w:tc>
          <w:tcPr>
            <w:tcW w:w="925"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22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53"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28"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2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stock-based compensation of: </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support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license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support revenue increased by $47.8 million primarily due to increases of $33.1 million in personnel costs due to our continued investment in our cloud operations to increase operational efficiency and scale and $16.3 million in cloud infrastructure costs for our growing cloud customer base. The increase in personnel costs is net of a $1.6 million benefit related to CEWS received in fiscal year 2021.</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our growth in cloud operations, new cloud-based customers, and increased usage from existing cloud-based customers, the costs to provide our subscription services increased. We expect our cost of subscription revenue to increase as we continue to invest in our cloud operations and incur higher cloud infrastructure costs to support our growing cloud customer base, to improve efficiencies, and to continuously improve and maintain secure environments. However, we believe that the cost of subscription revenue will grow at a slower rate than subscription revenue in future years as we achieve economies of scale and other efficiencies. Cost of support revenue is expected to remain flat or slightly decrease over time as term license customers transition to the cloud. The short-term impact of these trends along with mix within subscription and support revenue may result in a decline in subscription and support gross margin even though subscription and support gross profit increases in absolute dollars.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$1.0 million decrease in our cost of license revenue was primarily attributable to decreases in amortization of acquired intangible assets of $1.3 million, partially offset by costs associated with the development of online training curriculum included with the latest releases of InsuranceSuite. We continue to anticipate lower cost of license revenue over time as our term license customers transition to cloud subscription agreements.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$9.8 million decrease in cost of services revenue was primarily attributable to decreases of $8.2 million in billable subcontractor expenses, $7.4 million in employee and third party consultant travel-related costs resulting from COVID-19 travel restrictions, and $1.0 million in professional services, general office and software costs, partially offset by an increase of $6.9 million in personnel-related costs mainly due to higher bonus attainment based on company performance. The increase in personnel-related costs is net of a $0.4 million benefit related to the CEWS received in fiscal year 2021.</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had 600 cloud operations and technical support employees and 657 professional service employees at July 31, 2021 compared to 378 cloud operations and technical support employees and 758 professional services employees at July 31, 2020. In fiscal year 2020, certain professional services employees supported our cloud operations and research and development activities, and the related personnel costs were reflected within cost of subscription revenue and research and development expense. Since July 31, 2020, approximately 115 employees have been transferred from professional services to cloud operations and research and development to support the growth in our cloud customers.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ind w:left="0" w:right="0" w:firstLine="225"/>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Gross Profit</w:t>
      </w:r>
    </w:p>
    <w:tbl>
      <w:tblPr>
        <w:tblW w:w="9667" w:type="dxa"/>
        <w:jc w:val="left"/>
        <w:tblInd w:w="0" w:type="dxa"/>
        <w:tblCellMar>
          <w:top w:w="28" w:type="dxa"/>
          <w:left w:w="28" w:type="dxa"/>
          <w:bottom w:w="28" w:type="dxa"/>
          <w:right w:w="28" w:type="dxa"/>
        </w:tblCellMar>
      </w:tblPr>
      <w:tblGrid>
        <w:gridCol w:w="783"/>
        <w:gridCol w:w="685"/>
        <w:gridCol w:w="692"/>
        <w:gridCol w:w="211"/>
        <w:gridCol w:w="826"/>
        <w:gridCol w:w="109"/>
        <w:gridCol w:w="109"/>
        <w:gridCol w:w="109"/>
        <w:gridCol w:w="109"/>
        <w:gridCol w:w="187"/>
        <w:gridCol w:w="187"/>
        <w:gridCol w:w="467"/>
        <w:gridCol w:w="109"/>
        <w:gridCol w:w="109"/>
        <w:gridCol w:w="109"/>
        <w:gridCol w:w="211"/>
        <w:gridCol w:w="826"/>
        <w:gridCol w:w="109"/>
        <w:gridCol w:w="109"/>
        <w:gridCol w:w="109"/>
        <w:gridCol w:w="109"/>
        <w:gridCol w:w="187"/>
        <w:gridCol w:w="187"/>
        <w:gridCol w:w="467"/>
        <w:gridCol w:w="109"/>
        <w:gridCol w:w="109"/>
        <w:gridCol w:w="109"/>
        <w:gridCol w:w="211"/>
        <w:gridCol w:w="796"/>
        <w:gridCol w:w="109"/>
        <w:gridCol w:w="109"/>
        <w:gridCol w:w="109"/>
        <w:gridCol w:w="109"/>
        <w:gridCol w:w="232"/>
        <w:gridCol w:w="234"/>
        <w:gridCol w:w="316"/>
      </w:tblGrid>
      <w:tr>
        <w:trPr/>
        <w:tc>
          <w:tcPr>
            <w:tcW w:w="783"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5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margin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margin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07"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gross profit decreased $36.1 million compared to the prior year. Gross profit was impacted by the decrease in term license revenue due to lower impact of multi-year term license arrangements entered into in fiscal year 2021 compared to fiscal year 2020 and decreases in professional services revenue driven by contracts with lower average services billing rates and increased investment in implementation engagements.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decreased to 50% in fiscal year 2021, as compared to 54% in fiscal year 2020. Gross margin was impacted by lower subscription and support gross margins resulting from increasing investments in cloud operations and lower services gross margin resulting from contracts with lower average services billing rates and investments in implementation engagements.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subscription and support gross margins will fluctuate as our subscription revenue increases and we continue to invest in our cloud operations. However, as we gain efficiencies and increase the number of cloud customers, we expect subscription gross margins to improve over time. In addition to the impact of our investment in customer migrations and implementations, challenges related to COVID-19 may negatively impact services gross margin beyond this fiscal year. We expect license gross margin will fluctuate based on changes in revenue due to the timing of delivery of new multi-year term licenses and the execution of multi-year term license renewals, as cost of license revenue is expected to be relatively consistent with prior years in the future. Overall, we expect gross margins to decline in the short-term primarily due to the mix between license revenue and subscription and support revenue.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information technology support, information security, facilities, and other administrative costs to all functional departments based on headcount. As a result, general overhead expenses are reflected in cost of revenue and each functional operating expense.</w:t>
      </w:r>
    </w:p>
    <w:tbl>
      <w:tblPr>
        <w:tblW w:w="10205" w:type="dxa"/>
        <w:jc w:val="left"/>
        <w:tblInd w:w="0" w:type="dxa"/>
        <w:tblCellMar>
          <w:top w:w="28" w:type="dxa"/>
          <w:left w:w="28" w:type="dxa"/>
          <w:bottom w:w="28" w:type="dxa"/>
          <w:right w:w="28" w:type="dxa"/>
        </w:tblCellMar>
      </w:tblPr>
      <w:tblGrid>
        <w:gridCol w:w="1083"/>
        <w:gridCol w:w="879"/>
        <w:gridCol w:w="884"/>
        <w:gridCol w:w="211"/>
        <w:gridCol w:w="826"/>
        <w:gridCol w:w="109"/>
        <w:gridCol w:w="109"/>
        <w:gridCol w:w="109"/>
        <w:gridCol w:w="109"/>
        <w:gridCol w:w="190"/>
        <w:gridCol w:w="190"/>
        <w:gridCol w:w="476"/>
        <w:gridCol w:w="109"/>
        <w:gridCol w:w="109"/>
        <w:gridCol w:w="109"/>
        <w:gridCol w:w="211"/>
        <w:gridCol w:w="826"/>
        <w:gridCol w:w="109"/>
        <w:gridCol w:w="109"/>
        <w:gridCol w:w="109"/>
        <w:gridCol w:w="109"/>
        <w:gridCol w:w="190"/>
        <w:gridCol w:w="190"/>
        <w:gridCol w:w="476"/>
        <w:gridCol w:w="109"/>
        <w:gridCol w:w="109"/>
        <w:gridCol w:w="109"/>
        <w:gridCol w:w="211"/>
        <w:gridCol w:w="721"/>
        <w:gridCol w:w="109"/>
        <w:gridCol w:w="109"/>
        <w:gridCol w:w="109"/>
        <w:gridCol w:w="109"/>
        <w:gridCol w:w="180"/>
        <w:gridCol w:w="181"/>
        <w:gridCol w:w="318"/>
      </w:tblGrid>
      <w:tr>
        <w:trPr/>
        <w:tc>
          <w:tcPr>
            <w:tcW w:w="1083"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28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8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8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Change</w:t>
            </w:r>
          </w:p>
        </w:tc>
      </w:tr>
      <w:tr>
        <w:trPr/>
        <w:tc>
          <w:tcPr>
            <w:tcW w:w="28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59"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stock-based compensation of: </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personnel costs for our technical staff and consultants providing professional services.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$18.9 million increase in research and development expenses was primarily due to increases of $17.6 million in personnel costs associated with higher headcount and bonus attainment that is based on company performance in fiscal year 2021, $2.6 million of cloud infrastructure costs for our development environments, and $0.8 million in professional services costs for consultants that support the development of our subscription offerings, information security requirements and cloud strategy. The increase in personnel costs is net of a $1.2 million benefit related to the CEWS received in fiscal 2021. These increases were partially offset by a decrease in travel costs of $2.1 million due to COVID-19 travel restrictions.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headcount was 853 as of July 31, 2021 compared with 809 as of July 31, 2020.</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increase in absolute dollars as we continue to hire and dedicate internal resources to develop, improve, and expand the functionality of our solutions and migrating our solutions to the cloud. Research and development expenses may also increase if we pursue additional acquisitions.</w:t>
      </w:r>
    </w:p>
    <w:p>
      <w:pPr>
        <w:pStyle w:val="TextBody"/>
        <w:spacing w:lineRule="auto" w:line="288" w:before="18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is to be approximately five years. Sales and marketing expenses also includes travel expenses, professional services for marketing activities, and amortization of certain acquired intangibles.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$18.1 million increase in sales and marketing expenses was primarily due to increases of $23.0 million in personnel costs due to higher headcount to sell and market our services and products, including an increase of $3.5 million related to the net effect of the capitalization and amortization of contract acquisition costs (primarily commissions), and $1.0 million in professional services costs to assist in the development of business strategies and customer success alliances. The increase in personnel costs is net of a $0.2 million benefit related to the CEWS received in fiscal year 2021. These increases were partially offset by decreases of $5.3 million in travel costs due to COVID-19 travel restrictions, $0.7 million in marketing and advertising costs mainly due to the hosting of Connections Reimagined as a series of virtual events in fiscal year 2021 compared to an in-person event in fiscal year 2020, and $0.7 million due to lower amortization of acquired intangible assets.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headcount was 426 as of July 31, 2021 compared with 399 as of July 31, 2020.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sales and marketing expenses to continue to increase in absolute dollars as we continue to invest in sales and marketing activities to support our business growth and objectives. Additionally, we anticipate that Connections will be an in-person event in the future, supplemented by virtual content, which may contribute to an increase in sales and marketing expenses.</w:t>
      </w:r>
    </w:p>
    <w:p>
      <w:pPr>
        <w:pStyle w:val="TextBody"/>
        <w:spacing w:before="0" w:after="0"/>
        <w:ind w:left="0" w:right="0" w:firstLine="495"/>
        <w:jc w:val="both"/>
        <w:rPr/>
      </w:pPr>
      <w:r>
        <w:rPr/>
      </w:r>
    </w:p>
    <w:p>
      <w:pPr>
        <w:pStyle w:val="TextBody"/>
        <w:spacing w:lineRule="auto" w:line="288" w:before="0" w:after="0"/>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include executive, finance, human resources, legal, and corporate development and strategy functions, and primarily consist of personnel costs, as well as professional services.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$8.6 million increase in our general and administrative expenses was primarily due to increases of $7.0 million in personnel-related costs due to higher headcount and bonus attainment that is based on company performance and $1.3 million increase in software and professional services costs to support our growth and remote environment.</w:t>
      </w:r>
    </w:p>
    <w:p>
      <w:pPr>
        <w:pStyle w:val="TextBody"/>
        <w:spacing w:lineRule="auto" w:line="288" w:before="100" w:after="283"/>
        <w:ind w:left="0" w:right="0" w:firstLine="450"/>
        <w:jc w:val="both"/>
        <w:rPr/>
      </w:pPr>
      <w:r>
        <w:rPr>
          <w:rFonts w:ascii="Times New Roman;sans-serif" w:hAnsi="Times New Roman;sans-serif"/>
          <w:b w:val="false"/>
          <w:color w:val="000000"/>
          <w:sz w:val="20"/>
        </w:rPr>
        <w:t xml:space="preserve">Our general and administrative headcount was 406 as of July 31, 2021 compared with 346 as of July 31, 2020. General and administrative headcount includes personnel in </w:t>
      </w:r>
      <w:r>
        <w:rPr>
          <w:rFonts w:ascii="Times New Roman;sans-serif" w:hAnsi="Times New Roman;sans-serif"/>
          <w:b w:val="false"/>
          <w:color w:val="000000"/>
          <w:sz w:val="20"/>
          <w:highlight w:val="white"/>
        </w:rPr>
        <w:t>information technology support, information security, facilities, and recruiting whose costs are allocated across all functional departments.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Other Income (Expense)</w:t>
      </w:r>
    </w:p>
    <w:tbl>
      <w:tblPr>
        <w:tblW w:w="7496" w:type="dxa"/>
        <w:jc w:val="left"/>
        <w:tblInd w:w="0" w:type="dxa"/>
        <w:tblCellMar>
          <w:top w:w="28" w:type="dxa"/>
          <w:left w:w="28" w:type="dxa"/>
          <w:bottom w:w="28" w:type="dxa"/>
          <w:right w:w="28" w:type="dxa"/>
        </w:tblCellMar>
      </w:tblPr>
      <w:tblGrid>
        <w:gridCol w:w="864"/>
        <w:gridCol w:w="757"/>
        <w:gridCol w:w="764"/>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33"/>
        <w:gridCol w:w="233"/>
        <w:gridCol w:w="316"/>
      </w:tblGrid>
      <w:tr>
        <w:trPr/>
        <w:tc>
          <w:tcPr>
            <w:tcW w:w="86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1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represents interest earned on our cash, cash equivalents, and investments.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by $17.3 million in fiscal year 2021, primarily due to lower yields on invested funds and, to a lesser extent, lower funds available for investment due to our share repurchase program.</w:t>
      </w:r>
    </w:p>
    <w:p>
      <w:pPr>
        <w:pStyle w:val="TextBody"/>
        <w:spacing w:lineRule="auto" w:line="288" w:before="10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includes both stated interest and the amortization of debt discount and issuance costs associated with the $400.0 million aggregate principal amount of our Convertible Senior Notes. The amortization of debt discount and issuance costs are recognized on an effective interest basis. Stated interest expense is consistent in the comparative periods as the outstanding principal and stated interest rate have not changed.</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fiscal years 2021 and 2020 consist of non-cash interest expense related to the amortization of debt discount and issuance costs of $13.6 million and $12.9 million, respectively, and stated interest of $5.0 million in both periods. </w:t>
      </w:r>
    </w:p>
    <w:p>
      <w:pPr>
        <w:pStyle w:val="TextBody"/>
        <w:spacing w:lineRule="auto" w:line="288" w:before="10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in other than the functional currency of the entity in which they are recorded consist primarily of trade accounts receivable, unbilled accounts receivable and intercompany receivables and payables. We currently have entities with a functional currency of the Argentine Peso, Australian Dollar, Brazilian Real, British Pound, Canadian Dollar, Danish Kroner, Euro, Indian Rupee, Japanese Yen, Malaysian Ringgit, New Zealand Dollar, Polish Zloty, Russian Ruble, and Swiss Franc.</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 fiscal year 2021 was income of $12.6 million, compared to expense of $7.2 million in fiscal year 2020, which included a $10.7 million reduction in fair value of one of our strategic investments. Excluding the effect of the reduction in strategic investment fair value, other income increased $9.1 million primarily due to gains from exchange rate movements on monetary assets and monetary liabilities denominated in currencies other than the functional currency of the entity in which they were recorded.</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ind w:left="0" w:right="0" w:firstLine="225"/>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Provision for (benefit from) Income Taxes</w:t>
      </w:r>
    </w:p>
    <w:p>
      <w:pPr>
        <w:pStyle w:val="TextBody"/>
        <w:spacing w:before="0" w:after="0"/>
        <w:ind w:left="0" w:right="0" w:firstLine="495"/>
        <w:rPr/>
      </w:pPr>
      <w:r>
        <w:rPr/>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taxes in the United States as well as other tax jurisdictions and countries in which we conduct business. Earnings from our non-U.S. activities are subject to local country income tax and may be subject to current U.S. income tax. </w:t>
      </w:r>
    </w:p>
    <w:tbl>
      <w:tblPr>
        <w:tblW w:w="8914" w:type="dxa"/>
        <w:jc w:val="center"/>
        <w:tblInd w:w="0" w:type="dxa"/>
        <w:tblCellMar>
          <w:top w:w="28" w:type="dxa"/>
          <w:left w:w="28" w:type="dxa"/>
          <w:bottom w:w="28" w:type="dxa"/>
          <w:right w:w="28" w:type="dxa"/>
        </w:tblCellMar>
      </w:tblPr>
      <w:tblGrid>
        <w:gridCol w:w="1243"/>
        <w:gridCol w:w="1094"/>
        <w:gridCol w:w="1098"/>
        <w:gridCol w:w="211"/>
        <w:gridCol w:w="796"/>
        <w:gridCol w:w="271"/>
        <w:gridCol w:w="109"/>
        <w:gridCol w:w="109"/>
        <w:gridCol w:w="109"/>
        <w:gridCol w:w="211"/>
        <w:gridCol w:w="616"/>
        <w:gridCol w:w="271"/>
        <w:gridCol w:w="109"/>
        <w:gridCol w:w="109"/>
        <w:gridCol w:w="109"/>
        <w:gridCol w:w="211"/>
        <w:gridCol w:w="796"/>
        <w:gridCol w:w="109"/>
        <w:gridCol w:w="109"/>
        <w:gridCol w:w="109"/>
        <w:gridCol w:w="109"/>
        <w:gridCol w:w="344"/>
        <w:gridCol w:w="346"/>
        <w:gridCol w:w="316"/>
      </w:tblGrid>
      <w:tr>
        <w:trPr/>
        <w:tc>
          <w:tcPr>
            <w:tcW w:w="1243"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7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an income tax benefit of $37.8 million for fiscal year 2021 compared to an income tax provision of $2.9 million for fiscal year 2020. The increase in our income tax benefit for fiscal year 2021 was primarily due to an increase in pre-tax net loss, the release of a reserve for an uncertain tax position, and the impact related to the tax status change of certain foreign subsidiaries for U.S. tax purposes, partially offset by an increase in the valuation allowance.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2021, we had unrecognized tax benefits of $10.9 million that, if recognized, would affect our effective tax rate as certain unrecognized tax benefits have a valuation allowance.</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of 36% for fiscal year 2021 differs from the statutory U.S. Federal income tax rate of 21% mainly due to permanent differences for stock-based compensation, including excess tax benefits, the release of a reserve for an uncertain tax position, research and development credits, the tax status change of certain foreign subsidiaries, change in valuation allowance, and certain non-deductible expenses including executive compensation.</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 xml:space="preserve">Comparison of the Fiscal Years Ended July 31, 2020 and 2019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Refer to Item 7. Management’s Discussion and Analysis of Financial Condition and Results of Operations located in our 10-K for the fiscal year ended July 31, 2020, filed on September 28, 2020, for the discussion of the comparison of the fiscal year ended July 31, 2020 to the fiscal year ended July 31, 2019, the earliest of the three fiscal years presented in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Quarterly Results of Operations</w:t>
      </w:r>
    </w:p>
    <w:p>
      <w:pPr>
        <w:pStyle w:val="TextBody"/>
        <w:spacing w:before="100" w:after="283"/>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may fluctuate significantly due to a variety of factors, many of which are outside of our control, making our results of operations variable and difficult to predict. Such factors include those discussed above and those set forth in “Risk Factors—Risks Related to our Business and Industry—We may experience significant quarterly and annual fluctuations in our results of operations due to a number of factors” and “Risk Factors—Risks Related to our Business and Industry—Seasonal sales patterns may cause significant fluctuations in our results of operations and cash flows and may prevent us from achieving our quarterly or annual forecasts, which may cause our stock price to decline” in Item 1A of Part I of this Annual Report on Form 10-K. One or more of these factors may cause our results of operations to vary widely. As such, we believe that our quarterly results of operations may vary significantly in the future and that sequential quarterly comparisons of our results of operations may not be meaningful and should not be relied upon as an indication of future performance.</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30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specific items excluded from GAAP in the calculation of non-GAAP financial measures for the periods indicated below:</w:t>
      </w:r>
    </w:p>
    <w:tbl>
      <w:tblPr>
        <w:tblW w:w="8065" w:type="dxa"/>
        <w:jc w:val="center"/>
        <w:tblInd w:w="0" w:type="dxa"/>
        <w:tblCellMar>
          <w:top w:w="28" w:type="dxa"/>
          <w:left w:w="28" w:type="dxa"/>
          <w:bottom w:w="28" w:type="dxa"/>
          <w:right w:w="28" w:type="dxa"/>
        </w:tblCellMar>
      </w:tblPr>
      <w:tblGrid>
        <w:gridCol w:w="1552"/>
        <w:gridCol w:w="1365"/>
        <w:gridCol w:w="1373"/>
        <w:gridCol w:w="109"/>
        <w:gridCol w:w="109"/>
        <w:gridCol w:w="175"/>
        <w:gridCol w:w="175"/>
        <w:gridCol w:w="315"/>
        <w:gridCol w:w="1304"/>
        <w:gridCol w:w="175"/>
        <w:gridCol w:w="109"/>
        <w:gridCol w:w="109"/>
        <w:gridCol w:w="109"/>
        <w:gridCol w:w="196"/>
        <w:gridCol w:w="736"/>
        <w:gridCol w:w="154"/>
      </w:tblGrid>
      <w:tr>
        <w:trPr/>
        <w:tc>
          <w:tcPr>
            <w:tcW w:w="1552"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 reconciliation: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368,213 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13,175 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18"/>
              </w:rPr>
              <w:t>COVID-19 Canada Emergency Wage Subsidy benefit</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413,223 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 reconciliation: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(105,584)</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19,965 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18"/>
              </w:rPr>
              <w:t>COVID-19 Canada Emergency Wage Subsidy benefit</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reconciliation: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(66,507)</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19,965 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13,617 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Changes in fair value of strategic investment</w:t>
            </w:r>
            <w:r>
              <w:rPr>
                <w:rFonts w:ascii="Times New Roman;sans-serif" w:hAnsi="Times New Roman;sans-serif"/>
                <w:b w:val="false"/>
                <w:color w:val="000000"/>
                <w:sz w:val="12"/>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COVID-19 Canada Emergency Wage Subsidy benefit</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Tax impact of non-GAAP adjustments</w:t>
            </w:r>
            <w:r>
              <w:rPr>
                <w:rFonts w:ascii="Times New Roman;sans-serif" w:hAnsi="Times New Roman;sans-serif"/>
                <w:b w:val="false"/>
                <w:color w:val="000000"/>
                <w:sz w:val="12"/>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(37,379)</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Tax provision (benefit) reconciliation: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tax provision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(37,774)</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(20,979)</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tbl>
      <w:tblPr>
        <w:tblW w:w="9532" w:type="dxa"/>
        <w:jc w:val="center"/>
        <w:tblInd w:w="0" w:type="dxa"/>
        <w:tblCellMar>
          <w:top w:w="28" w:type="dxa"/>
          <w:left w:w="28" w:type="dxa"/>
          <w:bottom w:w="28" w:type="dxa"/>
          <w:right w:w="28" w:type="dxa"/>
        </w:tblCellMar>
      </w:tblPr>
      <w:tblGrid>
        <w:gridCol w:w="2387"/>
        <w:gridCol w:w="2092"/>
        <w:gridCol w:w="2105"/>
        <w:gridCol w:w="109"/>
        <w:gridCol w:w="109"/>
        <w:gridCol w:w="109"/>
        <w:gridCol w:w="109"/>
        <w:gridCol w:w="278"/>
        <w:gridCol w:w="683"/>
        <w:gridCol w:w="109"/>
        <w:gridCol w:w="109"/>
        <w:gridCol w:w="109"/>
        <w:gridCol w:w="109"/>
        <w:gridCol w:w="223"/>
        <w:gridCol w:w="738"/>
        <w:gridCol w:w="154"/>
      </w:tblGrid>
      <w:tr>
        <w:trPr/>
        <w:tc>
          <w:tcPr>
            <w:tcW w:w="2387" w:type="dxa"/>
            <w:tcBorders/>
            <w:shd w:fill="auto" w:val="clear"/>
            <w:vAlign w:val="center"/>
          </w:tcPr>
          <w:p>
            <w:pPr>
              <w:pStyle w:val="TableContents"/>
              <w:spacing w:before="0" w:after="283"/>
              <w:rPr>
                <w:sz w:val="4"/>
                <w:szCs w:val="4"/>
              </w:rPr>
            </w:pPr>
            <w:r>
              <w:rPr>
                <w:sz w:val="4"/>
                <w:szCs w:val="4"/>
              </w:rPr>
            </w:r>
          </w:p>
        </w:tc>
        <w:tc>
          <w:tcPr>
            <w:tcW w:w="2092"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Changes in fair value of strategic investment</w:t>
            </w:r>
            <w:r>
              <w:rPr>
                <w:rFonts w:ascii="Times New Roman;sans-serif" w:hAnsi="Times New Roman;sans-serif"/>
                <w:b w:val="false"/>
                <w:color w:val="000000"/>
                <w:sz w:val="12"/>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COVID-19 Canada Emergency Wage Subsidy benefit</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Tax impact of non-GAAP adjustments</w:t>
            </w:r>
            <w:r>
              <w:rPr>
                <w:rFonts w:ascii="Times New Roman;sans-serif" w:hAnsi="Times New Roman;sans-serif"/>
                <w:b w:val="false"/>
                <w:color w:val="000000"/>
                <w:sz w:val="12"/>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tax provision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per share reconciliation: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18"/>
              </w:rPr>
              <w:t xml:space="preserve">GAAP net income (loss) per share </w:t>
            </w:r>
            <w:r>
              <w:rPr>
                <w:color w:val="000000"/>
              </w:rPr>
              <w:t xml:space="preserve">– </w:t>
            </w:r>
            <w:r>
              <w:rPr>
                <w:rFonts w:ascii="Times New Roman;sans-serif" w:hAnsi="Times New Roman;sans-serif"/>
                <w:b w:val="false"/>
                <w:color w:val="000000"/>
                <w:sz w:val="18"/>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Changes in fair value of strategic investment</w:t>
            </w:r>
            <w:r>
              <w:rPr>
                <w:rFonts w:ascii="Times New Roman;sans-serif" w:hAnsi="Times New Roman;sans-serif"/>
                <w:b w:val="false"/>
                <w:color w:val="000000"/>
                <w:sz w:val="12"/>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COVID-19 Canada Emergency Wage Subsidy benefit</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Tax impact of non-GAAP adjustments</w:t>
            </w:r>
            <w:r>
              <w:rPr>
                <w:rFonts w:ascii="Times New Roman;sans-serif" w:hAnsi="Times New Roman;sans-serif"/>
                <w:b w:val="false"/>
                <w:color w:val="000000"/>
                <w:sz w:val="12"/>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Non-GAAP dilutive shares excluded from GAAP net income (loss) per share calculation</w:t>
            </w:r>
            <w:r>
              <w:rPr>
                <w:rFonts w:ascii="Times New Roman;sans-serif" w:hAnsi="Times New Roman;sans-serif"/>
                <w:b w:val="false"/>
                <w:color w:val="000000"/>
                <w:sz w:val="12"/>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net income (loss) per share – diluted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Shares used in computing Non-GAAP income (loss) per share amounts: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18"/>
              </w:rPr>
              <w:t xml:space="preserve">GAAP weighted average shares </w:t>
            </w:r>
            <w:r>
              <w:rPr>
                <w:color w:val="000000"/>
              </w:rPr>
              <w:t xml:space="preserve">– </w:t>
            </w:r>
            <w:r>
              <w:rPr>
                <w:rFonts w:ascii="Times New Roman;sans-serif" w:hAnsi="Times New Roman;sans-serif"/>
                <w:b w:val="false"/>
                <w:color w:val="000000"/>
                <w:sz w:val="18"/>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83,577,375 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82,855,392 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Non-GAAP dilutive shares excluded from GAAP income (loss) per share calculation</w:t>
            </w:r>
            <w:r>
              <w:rPr>
                <w:rFonts w:ascii="Times New Roman;sans-serif" w:hAnsi="Times New Roman;sans-serif"/>
                <w:b w:val="false"/>
                <w:color w:val="000000"/>
                <w:sz w:val="12"/>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805,747 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834,002 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18"/>
              </w:rPr>
              <w:t xml:space="preserve">Pro forma weighted average shares </w:t>
            </w:r>
            <w:r>
              <w:rPr>
                <w:color w:val="000000"/>
              </w:rPr>
              <w:t xml:space="preserve">– </w:t>
            </w:r>
            <w:r>
              <w:rPr>
                <w:rFonts w:ascii="Times New Roman;sans-serif" w:hAnsi="Times New Roman;sans-serif"/>
                <w:b w:val="false"/>
                <w:color w:val="000000"/>
                <w:sz w:val="18"/>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84,383,122 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83,689,394 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Effective the second fiscal quarter of 2021, the COVID-19 Canada Emergency Wage Subsidy benefit was included as a non-GAAP adjustment. Prior to the second fiscal quarter of 2021, this program was not available.</w:t>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 Effective the third fiscal quarter of 2020, changes in fair value of strategic investments are excluded from non-GAAP measures. Prior to the third fiscal quarter of 2020, there were no changes in fair value of strategic investments in any periods presented.</w:t>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Adjustments reflect the impact on the tax benefit (provision) resulting from all non-GAAP adjustments. </w:t>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(4) 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80" w:after="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as follows (in thousands):</w:t>
      </w:r>
    </w:p>
    <w:tbl>
      <w:tblPr>
        <w:tblW w:w="6883" w:type="dxa"/>
        <w:jc w:val="left"/>
        <w:tblInd w:w="0" w:type="dxa"/>
        <w:tblCellMar>
          <w:top w:w="28" w:type="dxa"/>
          <w:left w:w="28" w:type="dxa"/>
          <w:bottom w:w="28" w:type="dxa"/>
          <w:right w:w="28" w:type="dxa"/>
        </w:tblCellMar>
      </w:tblPr>
      <w:tblGrid>
        <w:gridCol w:w="1221"/>
        <w:gridCol w:w="1075"/>
        <w:gridCol w:w="1078"/>
        <w:gridCol w:w="109"/>
        <w:gridCol w:w="109"/>
        <w:gridCol w:w="109"/>
        <w:gridCol w:w="211"/>
        <w:gridCol w:w="976"/>
        <w:gridCol w:w="109"/>
        <w:gridCol w:w="109"/>
        <w:gridCol w:w="109"/>
        <w:gridCol w:w="109"/>
        <w:gridCol w:w="211"/>
        <w:gridCol w:w="976"/>
        <w:gridCol w:w="109"/>
        <w:gridCol w:w="109"/>
        <w:gridCol w:w="154"/>
      </w:tblGrid>
      <w:tr>
        <w:trPr/>
        <w:tc>
          <w:tcPr>
            <w:tcW w:w="1221"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00"/>
        <w:ind w:left="0" w:right="0" w:firstLine="270"/>
        <w:rPr>
          <w:rFonts w:ascii="Times New Roman;sans-serif" w:hAnsi="Times New Roman;sans-serif"/>
          <w:b/>
          <w:i/>
          <w:color w:val="000000"/>
          <w:sz w:val="20"/>
        </w:rPr>
      </w:pPr>
      <w:r>
        <w:rPr>
          <w:rFonts w:ascii="Times New Roman;sans-serif" w:hAnsi="Times New Roman;sans-serif"/>
          <w:b/>
          <w:i/>
          <w:color w:val="000000"/>
          <w:sz w:val="20"/>
        </w:rPr>
        <w:t>Cash, Cash Equivalents, and Investments</w:t>
      </w:r>
    </w:p>
    <w:p>
      <w:pPr>
        <w:pStyle w:val="TextBody"/>
        <w:spacing w:lineRule="auto" w:line="288" w:before="18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equivalents are comprised of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2021, approximately $58.7 million of our cash and cash equivalents were domiciled in various foreign jurisdictions. While we have no current plans to repatriate these funds to the United States, we may repatriate foreign earnings in the future to the extent that the repatriation is not restricted by local laws or there are no substantial incremental costs associated with such repatriation.</w:t>
      </w:r>
    </w:p>
    <w:p>
      <w:pPr>
        <w:pStyle w:val="TextBody"/>
        <w:spacing w:lineRule="auto" w:line="288" w:before="18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our board of directors authorized and approved a stock repurchase program of up to $200.0 million of our outstanding common stock. During the fiscal year ended July 31, 2021, we repurchased 1,488,991 shares of common stock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an average price of $109.17 per share for an aggregate purchase price of $162.5 million. As of July 31, 2021, $37.5 million remained available for future share repurchases.</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from operations are significantly impacted by timing of invoicing and collections of accounts receivable, annual bonus payments, as well as payments of payroll, commissions, payroll taxes, and other taxes.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during that period and seasonally higher sales commissions from increased customer orders booked in our fourth fiscal quarter of the prior year. Additionally, our capital expenditures may fluctuate depending on future office build outs and development activities subject to capitalization.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and operating costs, and expansion into other markets. We also may invest in or acquire complementary businesses, applications or technologies, or may expand our board-authorized stock repurchase program, which may require the use of significant cash resources and/or additional financing.</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cash flows for the periods indicated has been derived from our consolidated financial statements included elsewhere in this Annual Report on Form 10-K (in thousands):</w:t>
      </w:r>
    </w:p>
    <w:tbl>
      <w:tblPr>
        <w:tblW w:w="7498" w:type="dxa"/>
        <w:jc w:val="left"/>
        <w:tblInd w:w="0" w:type="dxa"/>
        <w:tblCellMar>
          <w:top w:w="28" w:type="dxa"/>
          <w:left w:w="28" w:type="dxa"/>
          <w:bottom w:w="28" w:type="dxa"/>
          <w:right w:w="28" w:type="dxa"/>
        </w:tblCellMar>
      </w:tblPr>
      <w:tblGrid>
        <w:gridCol w:w="1524"/>
        <w:gridCol w:w="1340"/>
        <w:gridCol w:w="1350"/>
        <w:gridCol w:w="109"/>
        <w:gridCol w:w="109"/>
        <w:gridCol w:w="109"/>
        <w:gridCol w:w="211"/>
        <w:gridCol w:w="901"/>
        <w:gridCol w:w="109"/>
        <w:gridCol w:w="109"/>
        <w:gridCol w:w="109"/>
        <w:gridCol w:w="109"/>
        <w:gridCol w:w="211"/>
        <w:gridCol w:w="826"/>
        <w:gridCol w:w="109"/>
        <w:gridCol w:w="109"/>
        <w:gridCol w:w="154"/>
      </w:tblGrid>
      <w:tr>
        <w:trPr/>
        <w:tc>
          <w:tcPr>
            <w:tcW w:w="152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c>
          <w:tcPr>
            <w:tcW w:w="263" w:type="dxa"/>
            <w:gridSpan w:val="2"/>
            <w:tcBorders/>
            <w:shd w:fill="auto" w:val="clea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by $1.5 million in fiscal year 2021 as compared to fiscal year 2020. The decrease in operating cash was primarily attributable to a $55.7 million increase in net loss after excluding the impact of non-cash charges such as deferred taxes, stock-based compensation expense, depreciation and amortization expense, change in fair value of our strategic investments, and other non-cash items, partially offset by a $54.2 million increase in cash provided by working capital activity as compared to the prior year.</w:t>
      </w:r>
    </w:p>
    <w:p>
      <w:pPr>
        <w:pStyle w:val="TextBody"/>
        <w:spacing w:lineRule="auto" w:line="288" w:before="28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increased by $70.0 million in fiscal year 2021 as compared to fiscal year 2020. The increase in net cash provided by investing activities was primarily due to an increase of $73.4 million in net cash flows from marketable securities transactions and lower office build out costs of $2.4 million after completing the build out and furnishing of our corporate headquarters in San Mateo, California in fiscal year 2020, offset by a $5.6 million increase in capitalized cloud software development costs and a $0.2 million increase related to strategic investments.</w:t>
      </w:r>
    </w:p>
    <w:p>
      <w:pPr>
        <w:pStyle w:val="TextBody"/>
        <w:spacing w:lineRule="auto" w:line="288" w:before="28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by $164.3 million in fiscal year 2021 as compared to fiscal year 2020. The increase in net cash used in financing activities was due to $161.3 million of repurchased common stock under our share repurchase program and, to a lesser extent, a decrease in proceeds from option exercises of $3.0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estimated future obligations consist of leases, royalties, purchase obligations, debt, and unrecognized tax benefits as of July 31, 2021. Refer to Note 8 “Commitments and Contingencies” and Note 10 “Income Taxes” to our consolidated financial statements included in this Annual Report on Form 10-K for more information.</w:t>
      </w:r>
    </w:p>
    <w:p>
      <w:pPr>
        <w:pStyle w:val="TextBody"/>
        <w:spacing w:before="100" w:after="283"/>
        <w:ind w:left="0" w:right="0" w:firstLine="495"/>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Through July 31, 2021,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Interest Rate Sensitivity</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for changes in interest rates relates primarily to our cash, cash equivalents, and investments as of July 31, 2021, and 2020. Our cash, cash equivalents, and investments as of July 31, 2021 and 2020 were $1,346.6 million and $1,434.3 million, respectively, and consisted primarily of cash, money market funds, corporate debt securities, U.S. government and agency debt securities, commercial paper, asset-backed securities and non-U.S. government securities, which include state, municipal, and foreign government securities. Changes in U.S. interest rates affect the interest earned on our cash, cash equivalents, and marketable securities, and the market value of those securities. A hypothetical 100 basis point increase in interest rates would have resulted in a decrease of $5.2 million and $5.6 million in the market value of our available-for-sale securities as of July 31, 2021 and 2020, respectively. Any realized gains or losses resulting from such interest rate changes would only occur if we sold the investments prior to maturity.</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 the currency of the locations within which we currently operate.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and intercompany receivables and payables. The movement in foreign currency exchange rates has resulted in a $9.0 million increase in other income (expense), net. We will continue to experience fluctuations in foreign currency exchange rates. If a hypothetical ten percent change in foreign exchange rates were to occur in the future, the resulting transaction gain or loss would be approximately $18.9 million. As our international operations grow, we will continue to assess our approach to managing our risk relating to fluctuations in currency rates. </w:t>
      </w:r>
    </w:p>
    <w:p>
      <w:pPr>
        <w:pStyle w:val="TextBody"/>
        <w:spacing w:before="0" w:after="0"/>
        <w:ind w:left="0" w:right="0" w:firstLine="450"/>
        <w:jc w:val="both"/>
        <w:rPr/>
      </w:pPr>
      <w:r>
        <w:rPr/>
      </w:r>
    </w:p>
    <w:p>
      <w:pPr>
        <w:pStyle w:val="TextBody"/>
        <w:spacing w:lineRule="auto" w:line="288" w:before="280" w:after="283"/>
        <w:ind w:left="0" w:right="0" w:firstLine="225"/>
        <w:rPr/>
      </w:pPr>
      <w:r>
        <w:rPr>
          <w:rFonts w:ascii="Times New Roman;sans-serif" w:hAnsi="Times New Roman;sans-serif"/>
          <w:b/>
          <w:i/>
          <w:color w:val="000000"/>
          <w:sz w:val="20"/>
        </w:rPr>
        <w:t>Fair Value of Financial Instrument</w:t>
      </w:r>
      <w:r>
        <w:rPr>
          <w:rFonts w:ascii="Times New Roman;sans-serif" w:hAnsi="Times New Roman;sans-serif"/>
          <w:b/>
          <w:color w:val="000000"/>
          <w:sz w:val="20"/>
        </w:rPr>
        <w:t>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material exposure to market risk with respect to investments in financial instruments, as our investments primarily consist of highly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strategic investments in privately held securities are in various classes of equity and convertible debt that may have different rights and preferences.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event reflecting appreciation to the cost of our investment. All of our investments, particularly those in privately held companies, are therefore subject to a risk of partial or total loss of invested capital.</w:t>
      </w:r>
    </w:p>
    <w:p>
      <w:pPr>
        <w:pStyle w:val="TextBody"/>
        <w:spacing w:before="100" w:after="283"/>
        <w:ind w:left="0" w:right="0" w:firstLine="495"/>
        <w:rPr/>
      </w:pPr>
      <w:r>
        <w:rPr/>
      </w:r>
    </w:p>
    <w:p>
      <w:pPr>
        <w:pStyle w:val="TextBody"/>
        <w:spacing w:before="100" w:after="283"/>
        <w:ind w:left="0" w:right="0" w:firstLine="495"/>
        <w:rPr/>
      </w:pPr>
      <w:r>
        <w:rPr/>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8.Financial Statements and Supplemental Data</w:t>
      </w: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lineRule="auto" w:line="288" w:before="0" w:after="0"/>
        <w:rPr>
          <w:color w:val="000000"/>
        </w:rPr>
      </w:pPr>
      <w:r>
        <w:rPr>
          <w:color w:val="000000"/>
        </w:rPr>
        <w:t> </w:t>
      </w:r>
    </w:p>
    <w:tbl>
      <w:tblPr>
        <w:tblW w:w="5232" w:type="dxa"/>
        <w:jc w:val="center"/>
        <w:tblInd w:w="0" w:type="dxa"/>
        <w:tblCellMar>
          <w:top w:w="28" w:type="dxa"/>
          <w:left w:w="28" w:type="dxa"/>
          <w:bottom w:w="28" w:type="dxa"/>
          <w:right w:w="28" w:type="dxa"/>
        </w:tblCellMar>
      </w:tblPr>
      <w:tblGrid>
        <w:gridCol w:w="1759"/>
        <w:gridCol w:w="1546"/>
        <w:gridCol w:w="1555"/>
        <w:gridCol w:w="109"/>
        <w:gridCol w:w="109"/>
        <w:gridCol w:w="154"/>
      </w:tblGrid>
      <w:tr>
        <w:trPr/>
        <w:tc>
          <w:tcPr>
            <w:tcW w:w="175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73">
              <w:r>
                <w:rPr>
                  <w:rStyle w:val="InternetLink"/>
                  <w:rFonts w:ascii="Times New Roman;sans-serif" w:hAnsi="Times New Roman;sans-serif"/>
                  <w:b w:val="false"/>
                  <w:color w:val="0000FF"/>
                  <w:sz w:val="20"/>
                  <w:u w:val="single"/>
                </w:rPr>
                <w:t>Report of Independent Registered Public Accounting Firm</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73">
              <w:r>
                <w:rPr>
                  <w:rStyle w:val="InternetLink"/>
                  <w:rFonts w:ascii="Times New Roman;sans-serif" w:hAnsi="Times New Roman;sans-serif"/>
                  <w:b w:val="false"/>
                  <w:color w:val="0033CC"/>
                  <w:sz w:val="20"/>
                  <w:u w:val="single"/>
                </w:rPr>
                <w:t>58</w:t>
              </w:r>
            </w:hyperlink>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76">
              <w:r>
                <w:rPr>
                  <w:rStyle w:val="InternetLink"/>
                  <w:rFonts w:ascii="Times New Roman;sans-serif" w:hAnsi="Times New Roman;sans-serif"/>
                  <w:b w:val="false"/>
                  <w:color w:val="0000FF"/>
                  <w:sz w:val="20"/>
                  <w:u w:val="single"/>
                </w:rPr>
                <w:t>Consolidated Balance Sheets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76">
              <w:r>
                <w:rPr>
                  <w:rStyle w:val="InternetLink"/>
                  <w:rFonts w:ascii="Times New Roman;sans-serif" w:hAnsi="Times New Roman;sans-serif"/>
                  <w:b w:val="false"/>
                  <w:color w:val="0033CC"/>
                  <w:sz w:val="20"/>
                  <w:u w:val="single"/>
                </w:rPr>
                <w:t>60</w:t>
              </w:r>
            </w:hyperlink>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70">
              <w:r>
                <w:rPr>
                  <w:rStyle w:val="InternetLink"/>
                  <w:rFonts w:ascii="Times New Roman;sans-serif" w:hAnsi="Times New Roman;sans-serif"/>
                  <w:b w:val="false"/>
                  <w:color w:val="0000FF"/>
                  <w:sz w:val="20"/>
                  <w:u w:val="single"/>
                </w:rPr>
                <w:t>Consolidated Statements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82">
              <w:r>
                <w:rPr>
                  <w:rStyle w:val="InternetLink"/>
                  <w:rFonts w:ascii="Times New Roman;sans-serif" w:hAnsi="Times New Roman;sans-serif"/>
                  <w:b w:val="false"/>
                  <w:color w:val="0033CC"/>
                  <w:sz w:val="20"/>
                  <w:u w:val="single"/>
                </w:rPr>
                <w:t>61</w:t>
              </w:r>
            </w:hyperlink>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85">
              <w:r>
                <w:rPr>
                  <w:rStyle w:val="InternetLink"/>
                  <w:rFonts w:ascii="Times New Roman;sans-serif" w:hAnsi="Times New Roman;sans-serif"/>
                  <w:b w:val="false"/>
                  <w:color w:val="0000FF"/>
                  <w:sz w:val="20"/>
                  <w:u w:val="single"/>
                </w:rPr>
                <w:t>Consolidated Statements of Comprehensive Income (Loss)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85">
              <w:r>
                <w:rPr>
                  <w:rStyle w:val="InternetLink"/>
                  <w:rFonts w:ascii="Times New Roman;sans-serif" w:hAnsi="Times New Roman;sans-serif"/>
                  <w:b w:val="false"/>
                  <w:color w:val="0033CC"/>
                  <w:sz w:val="20"/>
                  <w:u w:val="single"/>
                </w:rPr>
                <w:t>62</w:t>
              </w:r>
            </w:hyperlink>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88">
              <w:r>
                <w:rPr>
                  <w:rStyle w:val="InternetLink"/>
                  <w:rFonts w:ascii="Times New Roman;sans-serif" w:hAnsi="Times New Roman;sans-serif"/>
                  <w:b w:val="false"/>
                  <w:color w:val="0000FF"/>
                  <w:sz w:val="20"/>
                  <w:u w:val="single"/>
                </w:rPr>
                <w:t>Consolidated Statements of Stockholders’ Equity</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88">
              <w:r>
                <w:rPr>
                  <w:rStyle w:val="InternetLink"/>
                  <w:rFonts w:ascii="Times New Roman;sans-serif" w:hAnsi="Times New Roman;sans-serif"/>
                  <w:b w:val="false"/>
                  <w:color w:val="0033CC"/>
                  <w:sz w:val="20"/>
                  <w:u w:val="single"/>
                </w:rPr>
                <w:t>63</w:t>
              </w:r>
            </w:hyperlink>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91">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91">
              <w:r>
                <w:rPr>
                  <w:rStyle w:val="InternetLink"/>
                  <w:rFonts w:ascii="Times New Roman;sans-serif" w:hAnsi="Times New Roman;sans-serif"/>
                  <w:b w:val="false"/>
                  <w:color w:val="0033CC"/>
                  <w:sz w:val="20"/>
                  <w:u w:val="single"/>
                </w:rPr>
                <w:t>64</w:t>
              </w:r>
            </w:hyperlink>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f9b1b0ea548470ab2e3cd5bd5a07a5c_94">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f9b1b0ea548470ab2e3cd5bd5a07a5c_94">
              <w:r>
                <w:rPr>
                  <w:rStyle w:val="InternetLink"/>
                  <w:rFonts w:ascii="Times New Roman;sans-serif" w:hAnsi="Times New Roman;sans-serif"/>
                  <w:b w:val="false"/>
                  <w:color w:val="0033CC"/>
                  <w:sz w:val="20"/>
                  <w:u w:val="single"/>
                </w:rPr>
                <w:t>65</w:t>
              </w:r>
            </w:hyperlink>
          </w:p>
        </w:tc>
      </w:tr>
    </w:tbl>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The supplementary financial information required by this Item 8 is included in Item 7 under the caption “Quarterly Results of Operations.”</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40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Guidewire Software, Inc.:</w:t>
      </w:r>
    </w:p>
    <w:p>
      <w:pPr>
        <w:pStyle w:val="TextBody"/>
        <w:spacing w:before="0" w:after="0"/>
        <w:jc w:val="both"/>
        <w:rPr/>
      </w:pPr>
      <w:r>
        <w:rPr/>
      </w:r>
    </w:p>
    <w:p>
      <w:pPr>
        <w:pStyle w:val="TextBody"/>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Opinions on the Consolidated Financial Statements and Internal Control Over Financial Reporting </w:t>
      </w:r>
    </w:p>
    <w:p>
      <w:pPr>
        <w:pStyle w:val="TextBody"/>
        <w:spacing w:lineRule="auto" w:line="288" w:before="0" w:after="200"/>
        <w:jc w:val="both"/>
        <w:rPr/>
      </w:pPr>
      <w:r>
        <w:rPr>
          <w:rFonts w:ascii="Times New Roman;sans-serif" w:hAnsi="Times New Roman;sans-serif"/>
          <w:b w:val="false"/>
          <w:color w:val="000000"/>
          <w:sz w:val="20"/>
        </w:rPr>
        <w:t xml:space="preserve">We have audited the accompanying consolidated balance sheets of Guidewire Software, Inc. and subsidiaries (the Company) as of July 31, 2021 and 2020, the related consolidated statements of operations, comprehensive income (loss), stockholders’ equity, and cash flows for each of the years in the three-year period ended July 31, 2021, and the related notes (collectively, the consolidated financial statements). We also have audited the Company’s internal control over financial reporting as of July 31, 2021,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i/>
          <w:color w:val="000000"/>
          <w:sz w:val="20"/>
        </w:rPr>
        <w:t>(2013)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w:t>
      </w:r>
    </w:p>
    <w:p>
      <w:pPr>
        <w:pStyle w:val="TextBody"/>
        <w:spacing w:lineRule="auto" w:line="288" w:before="0" w:after="200"/>
        <w:jc w:val="both"/>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July 31, 2021 and 2020, and the results of its operations and its cash flows for each of the years in the three-year period ended July 31, 2021, in conformity with U.S. generally accepted accounting principles. Also in our opinion, the Company maintained, in all material respects, effective internal control over financial reporting as of July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for Opinions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Definition and Limitations of Internal Control Over Financial Reporting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Evaluation of revenue related to software licensing arrangements and subscriptions to cloud services with non-standard terms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Notes 1 and 2 to the consolidated financial statements, revenue was derived principally from software licensing arrangements, subscriptions to cloud services, and implementation and other professional services. The Company recognized total revenue of $743.3 million for the year ended July 31, 2021. The Company’s software licensing arrangements generally have a two-year initial term and subscriptions to cloud services generally have a three-to five-year term, with a customer option to renew on an annual basis after the initial term. Consideration for software licensing arrangements and subscriptions to cloud services is typically billed in advance on an annual basis over the term. </w:t>
      </w:r>
    </w:p>
    <w:p>
      <w:pPr>
        <w:pStyle w:val="TextBody"/>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revenue from software licensing arrangements and subscriptions to cloud services with non-standard terms and conditions as a critical audit matter. Significant auditor judgment was required to evaluate the Company’s assessment of the impact on revenue recognition of non-standard terms and conditions, specifically, the identification and evaluation of the accounting impact of contract modifications related to software licensing term extensions, and arrangements that provide a customer with the ability to transition from a software licensing arrangement to a subscription to cloud services during the contractual term.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the primary procedures we performed to address this critical audit matter. We evaluated the design and tested the operating effectiveness of certain internal controls related to the critical audit matter. This included controls related to the identification and evaluation of software licensing arrangements and subscriptions to cloud services with non-standard terms and conditions. We tested certain software licensing arrangements and subscriptions to cloud services by reading the underlying customer agreements and evaluating the Company’s assessment of the contractual terms and conditions in accordance with revenue recognition requirements. Specifically, this included an evaluation of the Company’s identification and assessment of non-standard terms and conditions that could give rise to special accounting consideration. </w:t>
      </w:r>
    </w:p>
    <w:p>
      <w:pPr>
        <w:pStyle w:val="TextBody"/>
        <w:spacing w:before="0" w:after="0"/>
        <w:rPr/>
      </w:pPr>
      <w:r>
        <w:rPr/>
      </w:r>
    </w:p>
    <w:p>
      <w:pPr>
        <w:pStyle w:val="TextBody"/>
        <w:spacing w:before="0" w:after="0"/>
        <w:rPr/>
      </w:pPr>
      <w:r>
        <w:rPr/>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2006.</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Santa Clara, California</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September 24, 2021</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926"/>
        <w:gridCol w:w="2151"/>
        <w:gridCol w:w="2163"/>
        <w:gridCol w:w="211"/>
        <w:gridCol w:w="976"/>
        <w:gridCol w:w="109"/>
        <w:gridCol w:w="109"/>
        <w:gridCol w:w="109"/>
        <w:gridCol w:w="109"/>
        <w:gridCol w:w="211"/>
        <w:gridCol w:w="976"/>
        <w:gridCol w:w="155"/>
      </w:tblGrid>
      <w:tr>
        <w:trPr/>
        <w:tc>
          <w:tcPr>
            <w:tcW w:w="2926"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2020</w:t>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$1,057 and $1,276,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1,343,218 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2,364,852 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share—500,000,000 shares authorized as of July 31, 2021 and 2020; 83,194,157 and 83,461,925 shares issued and outstanding as of July 31, 2021 and 2020, respectively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1,499,050 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(accumulated deficit)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1,656,768 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2,364,852 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spacing w:lineRule="auto" w:line="288" w:before="0" w:after="0"/>
        <w:rPr>
          <w:color w:val="000000"/>
        </w:rPr>
      </w:pPr>
      <w:r>
        <w:rPr>
          <w:color w:val="000000"/>
        </w:rPr>
        <w:t> </w:t>
      </w:r>
    </w:p>
    <w:tbl>
      <w:tblPr>
        <w:tblW w:w="9384" w:type="dxa"/>
        <w:jc w:val="left"/>
        <w:tblInd w:w="0" w:type="dxa"/>
        <w:tblCellMar>
          <w:top w:w="28" w:type="dxa"/>
          <w:left w:w="28" w:type="dxa"/>
          <w:bottom w:w="28" w:type="dxa"/>
          <w:right w:w="28" w:type="dxa"/>
        </w:tblCellMar>
      </w:tblPr>
      <w:tblGrid>
        <w:gridCol w:w="1845"/>
        <w:gridCol w:w="1628"/>
        <w:gridCol w:w="1642"/>
        <w:gridCol w:w="219"/>
        <w:gridCol w:w="862"/>
        <w:gridCol w:w="109"/>
        <w:gridCol w:w="109"/>
        <w:gridCol w:w="109"/>
        <w:gridCol w:w="109"/>
        <w:gridCol w:w="219"/>
        <w:gridCol w:w="862"/>
        <w:gridCol w:w="109"/>
        <w:gridCol w:w="109"/>
        <w:gridCol w:w="109"/>
        <w:gridCol w:w="109"/>
        <w:gridCol w:w="219"/>
        <w:gridCol w:w="862"/>
        <w:gridCol w:w="154"/>
      </w:tblGrid>
      <w:tr>
        <w:trPr/>
        <w:tc>
          <w:tcPr>
            <w:tcW w:w="1845"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6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r>
      <w:tr>
        <w:trPr/>
        <w:tc>
          <w:tcPr>
            <w:tcW w:w="5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(benefit from)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income (loss) per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83,577,375 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82,855,392 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81,447,998 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83,577,375 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82,855,392 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82,681,214 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2282"/>
        <w:gridCol w:w="1984"/>
        <w:gridCol w:w="1980"/>
        <w:gridCol w:w="211"/>
        <w:gridCol w:w="789"/>
        <w:gridCol w:w="109"/>
        <w:gridCol w:w="109"/>
        <w:gridCol w:w="109"/>
        <w:gridCol w:w="109"/>
        <w:gridCol w:w="211"/>
        <w:gridCol w:w="789"/>
        <w:gridCol w:w="109"/>
        <w:gridCol w:w="109"/>
        <w:gridCol w:w="109"/>
        <w:gridCol w:w="109"/>
        <w:gridCol w:w="211"/>
        <w:gridCol w:w="721"/>
        <w:gridCol w:w="155"/>
      </w:tblGrid>
      <w:tr>
        <w:trPr/>
        <w:tc>
          <w:tcPr>
            <w:tcW w:w="2282" w:type="dxa"/>
            <w:tcBorders/>
            <w:shd w:fill="auto" w:val="clear"/>
            <w:vAlign w:val="center"/>
          </w:tcPr>
          <w:p>
            <w:pPr>
              <w:pStyle w:val="TableContents"/>
              <w:spacing w:before="0" w:after="283"/>
              <w:rPr>
                <w:sz w:val="4"/>
                <w:szCs w:val="4"/>
              </w:rPr>
            </w:pPr>
            <w:r>
              <w:rPr>
                <w:sz w:val="4"/>
                <w:szCs w:val="4"/>
              </w:rPr>
            </w:r>
          </w:p>
        </w:tc>
        <w:tc>
          <w:tcPr>
            <w:tcW w:w="1984"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years ended July 31,</w:t>
            </w:r>
          </w:p>
        </w:tc>
      </w:tr>
      <w:tr>
        <w:trPr/>
        <w:tc>
          <w:tcPr>
            <w:tcW w:w="6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available-for-sale securities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(expense) on unrealized gains (losses) on available-for-sale securities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realized gains (losses) included in net income (loss)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6246"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GUIDEWIRE SOFTWARE, INC.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STOCKHOLDERS’ EQUITY</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for share data)</w:t>
      </w:r>
    </w:p>
    <w:tbl>
      <w:tblPr>
        <w:tblW w:w="10205" w:type="dxa"/>
        <w:jc w:val="center"/>
        <w:tblInd w:w="0" w:type="dxa"/>
        <w:tblCellMar>
          <w:top w:w="28" w:type="dxa"/>
          <w:left w:w="28" w:type="dxa"/>
          <w:bottom w:w="28" w:type="dxa"/>
          <w:right w:w="28" w:type="dxa"/>
        </w:tblCellMar>
      </w:tblPr>
      <w:tblGrid>
        <w:gridCol w:w="1093"/>
        <w:gridCol w:w="468"/>
        <w:gridCol w:w="470"/>
        <w:gridCol w:w="109"/>
        <w:gridCol w:w="109"/>
        <w:gridCol w:w="109"/>
        <w:gridCol w:w="488"/>
        <w:gridCol w:w="488"/>
        <w:gridCol w:w="171"/>
        <w:gridCol w:w="109"/>
        <w:gridCol w:w="109"/>
        <w:gridCol w:w="109"/>
        <w:gridCol w:w="199"/>
        <w:gridCol w:w="260"/>
        <w:gridCol w:w="112"/>
        <w:gridCol w:w="109"/>
        <w:gridCol w:w="109"/>
        <w:gridCol w:w="109"/>
        <w:gridCol w:w="196"/>
        <w:gridCol w:w="886"/>
        <w:gridCol w:w="109"/>
        <w:gridCol w:w="109"/>
        <w:gridCol w:w="109"/>
        <w:gridCol w:w="109"/>
        <w:gridCol w:w="221"/>
        <w:gridCol w:w="645"/>
        <w:gridCol w:w="125"/>
        <w:gridCol w:w="109"/>
        <w:gridCol w:w="109"/>
        <w:gridCol w:w="109"/>
        <w:gridCol w:w="199"/>
        <w:gridCol w:w="763"/>
        <w:gridCol w:w="110"/>
        <w:gridCol w:w="109"/>
        <w:gridCol w:w="109"/>
        <w:gridCol w:w="109"/>
        <w:gridCol w:w="196"/>
        <w:gridCol w:w="886"/>
        <w:gridCol w:w="158"/>
      </w:tblGrid>
      <w:tr>
        <w:trPr/>
        <w:tc>
          <w:tcPr>
            <w:tcW w:w="1093"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7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4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80,611,698</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1,296,380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(7,748)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124,976</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1,413,616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20,732 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20,732 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301,901 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1,276,252 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91,570 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common stock for Cyence acquisition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(48,968)</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Accounting Standards Update ("ASU") (Topic 606)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44,339 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44,339 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82,140,883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1,391,904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(7,758)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190,047</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1,574,201</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132,573 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1,188,469 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102,191 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ASU 2018-02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83,461,925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1,499,050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(5,246)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162,956</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1,656,768</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(66,507)</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(66,507)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53,932 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1,167,291 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116,222 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(1,488,991)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(162,549)</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(162,549)</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83,194,157</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1,617,204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(6,218)</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(66,100)</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1,544,894</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2319"/>
        <w:gridCol w:w="2008"/>
        <w:gridCol w:w="2018"/>
        <w:gridCol w:w="197"/>
        <w:gridCol w:w="746"/>
        <w:gridCol w:w="109"/>
        <w:gridCol w:w="109"/>
        <w:gridCol w:w="109"/>
        <w:gridCol w:w="109"/>
        <w:gridCol w:w="197"/>
        <w:gridCol w:w="746"/>
        <w:gridCol w:w="109"/>
        <w:gridCol w:w="109"/>
        <w:gridCol w:w="109"/>
        <w:gridCol w:w="109"/>
        <w:gridCol w:w="197"/>
        <w:gridCol w:w="746"/>
        <w:gridCol w:w="159"/>
      </w:tblGrid>
      <w:tr>
        <w:trPr/>
        <w:tc>
          <w:tcPr>
            <w:tcW w:w="2319"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6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6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20,732 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39,953 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discount and issuance costs</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contract costs</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91,516 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to allowance for credit losses and revenue reserves</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 (accretion of discount) on available-for-sale securities, net</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fair value of strategic investments</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items affecting net income (loss)</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accounts receivable</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(17,341)</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employee compensation</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22,600 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116,126 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available-for-sale securities</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(1,033,095)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(1,280,755)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(1,209,312)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available-for-sale securities</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77,204 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available-for-sale securities</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879,532 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(44,921)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cloud software development costs</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strategic investments</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(301,433)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upon exercise of stock options</w:t>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 and cash equivalents</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(183,039)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EQUIVALENTS—Beginning of period</w:t>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437,140 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EQUIVALENTS—End of period</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254,101 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 net of tax refunds</w:t>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Accruals for purchase of property and equipment</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Accruals for capitalized cloud software development costs</w:t>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Accrual for shares repurchased</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The Company and Summary of Significant Accounting Policies and Estimates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Company</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Guidewire Software, Inc., a Delaware corporation, was incorporated on September 20, 2001. Guidewire Software, Inc., together with its subsidiaries (the “Company”), provides a technology platform which combines core operations, digital engagement, analytics, and artificial intelligence (“AI”) applications. The Company’s technology platform supports core insurance operations, including underwriting and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pStyle w:val="TextBody"/>
        <w:spacing w:before="100" w:after="283"/>
        <w:ind w:left="0" w:right="0" w:firstLine="495"/>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Basis of Presentation and Consolidation</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have been prepared in accordance with generally accepted accounting principles in the United States of America (“GAAP”). The consolidated financial statements and notes include the Company and its wholly-owned subsidiaries and reflect all adjustments (all of which are normal and recurring in nature) that, in the opinion of management, are necessary for a fair presentation of the periods presented. All intercompany balances and transactions have been eliminated in consolidation.</w:t>
      </w:r>
    </w:p>
    <w:p>
      <w:pPr>
        <w:pStyle w:val="TextBody"/>
        <w:spacing w:before="100" w:after="283"/>
        <w:ind w:left="0" w:right="0" w:firstLine="45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with the Annual Report on Form 10-K for fiscal year 2020, the Company changed the presentation in the consolidated statements of operations for revenue and cost of revenue to include subtotals for “subscription and support,” “license,” and “services.” The Company's previous presentation included subtotals for “license and subscription,” “maintenance” (now referred to as “support”), and “services”. Accordingly, fiscal year 2019 amounts have been reclassified to conform to the current period presentation in the Company's consolidated financial statements. Additionally, certain prior period amounts within operating activities in the consolidated statements of cash flows have been reclassified to conform to the current period presentation.</w:t>
      </w:r>
    </w:p>
    <w:p>
      <w:pPr>
        <w:pStyle w:val="TextBody"/>
        <w:spacing w:before="100" w:after="283"/>
        <w:ind w:left="0" w:right="0" w:firstLine="45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accompanying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leases,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pStyle w:val="TextBody"/>
        <w:spacing w:before="100" w:after="283"/>
        <w:ind w:left="0" w:right="0" w:firstLine="495"/>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Foreign Currency </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consolidated balance sheets. Transaction gains and losses that arise from exchange rate fluctuations on transactions denominated in a currency other than the functional currency of the recording entity are included in other income (expense) in the consolidated statements of operations.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are comprised of cash and highly liquid investments with remaining maturities of 90 days or less at the date of purchase. Cash equivalents primarily consist of commercial paper and money market funds.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Investments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determines the appropriate classification of investments at the time of purchase based upon management’s intent with regard to such investments. All investments in the periods presented have been classified as available-for-sale.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holding gains and losses, net of taxes, generally included in accumulated other comprehensive income (loss). Unrealized losses related to the credit worthiness of an investment, if any, are recorded in other income (expense), net on the consolidated statements of operations. </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Property and Equipment</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estimated useful lives of property and equipment are as follows:</w:t>
      </w:r>
    </w:p>
    <w:tbl>
      <w:tblPr>
        <w:tblW w:w="6191" w:type="dxa"/>
        <w:jc w:val="left"/>
        <w:tblInd w:w="0" w:type="dxa"/>
        <w:tblCellMar>
          <w:top w:w="28" w:type="dxa"/>
          <w:left w:w="28" w:type="dxa"/>
          <w:bottom w:w="28" w:type="dxa"/>
          <w:right w:w="28" w:type="dxa"/>
        </w:tblCellMar>
      </w:tblPr>
      <w:tblGrid>
        <w:gridCol w:w="820"/>
        <w:gridCol w:w="719"/>
        <w:gridCol w:w="725"/>
        <w:gridCol w:w="109"/>
        <w:gridCol w:w="109"/>
        <w:gridCol w:w="109"/>
        <w:gridCol w:w="1051"/>
        <w:gridCol w:w="1051"/>
        <w:gridCol w:w="1498"/>
      </w:tblGrid>
      <w:tr>
        <w:trPr/>
        <w:tc>
          <w:tcPr>
            <w:tcW w:w="820"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machinery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10 years or remaining lease term</w:t>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Software Development Costs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development costs related to software delivered to customers (“self-managed software”) incurred subsequent to the establishment of technological feasibility are subject to capitalization and amortized over the estimated lives of the related services or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accompanying consolidated statements of operations as incurred.</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software development costs for technology applications that the Company will offer solely as cloud-based subscriptions, which is primarily comprised of compensation for employees who are directly associated with cloud software development projects.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which is typically once the technology applications are available for general release, capitalized costs are amortized to cost of revenue over the estimated useful lives of the related assets, generally estimated to be three to five years. Costs incurred prior to meeting these capitalization criteria and costs incurred for training and maintenance are expensed as incurred and recorded in research and development expense in the Company’s consolidated statements of operations. Capitalized software development costs are recorded in property and equipment in the Company’s consolidated balance sheets.</w:t>
      </w:r>
    </w:p>
    <w:p>
      <w:pPr>
        <w:pStyle w:val="TextBody"/>
        <w:spacing w:before="100" w:after="283"/>
        <w:ind w:left="0" w:right="0" w:firstLine="45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2019, the Company adopted the Financial Accounting Standards Board (“FASB”) Accounting Standards Codification Topic 842: Leases (“ASC 842”) using the modified retrospective transition approach by applying the new standard to all leases existing at the date of initial application.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and maintenance costs,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Company's lease term used to calculate the lease liability and operating lease asset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consolidated statements of operations in each of the cost of revenue and operating expense categories.</w:t>
      </w:r>
    </w:p>
    <w:p>
      <w:pPr>
        <w:pStyle w:val="TextBody"/>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enters into agreements to sublease unoccupied office space. Any sublease payments received in excess of the straight-line rent expense related to the subleased space are recorded as an offset to operating expenses over the sublease term.</w:t>
      </w:r>
    </w:p>
    <w:p>
      <w:pPr>
        <w:pStyle w:val="TextBody"/>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operating lease assets, other current liabilities, and lease liabilities on the consolidated balance sheets.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Impairment of Long-Lived Assets, Intangible Assets, and Goodwill</w:t>
      </w:r>
    </w:p>
    <w:p>
      <w:pPr>
        <w:pStyle w:val="TextBody"/>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w:t>
      </w:r>
    </w:p>
    <w:p>
      <w:pPr>
        <w:pStyle w:val="TextBody"/>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goodwill impairment test is not performed. There have been no goodwill impairments during the periods presented.</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Convertible Senior Notes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its best estimates and assumptions to assign fair value to the tangible and intangible assets acquired and liabilities assumed at the acquisition date. Goodwill is calculated as the difference between the acquisition-date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to the Company’s consolidated statements of operations.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institutions in the event of a default to the extent that such amounts recorded on the consolidated balance sheets are in excess of amounts that are insured by the Federal Deposit Insurance Corporation.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customer individually accounted for 10% or more of the Company’s revenue for the years ended July 31, 2021, 2020, and 2019. As of July 31, 2021 and July 31, 2020, no customer accounted for 10% or more of the Company’s total accounts receivable.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Accounts Receivable and Allowances</w:t>
      </w:r>
    </w:p>
    <w:p>
      <w:pPr>
        <w:pStyle w:val="TextBody"/>
        <w:spacing w:before="0" w:after="0"/>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Accounts receivable are recorded at invoiced amounts and do not bear interest. While the Company does not require collateral, the Company performs ongoing credit evaluations of its customers. The Company maintains an allowance for credit losses based upon the expected collectability of its accounts receivable. The expectation of collectability is based on historical loss patterns, the number of days that billings are past due, and an evaluation of the potential risk of loss associated with delinquent accounts. Credit losses are recorded in general and administrative expense while billing and other revenue adjustments are recorded against the corresponding revenue financial statement line item in the consolidated statements of operations.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 The core principle of ASC 606 is to recognize revenue upon the transfer of services or products to customers in an amount that reflects the consideration the Company expects to be entitled to in exchange for those services or products. </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following framework to recognize revenue:</w:t>
      </w:r>
    </w:p>
    <w:p>
      <w:pPr>
        <w:pStyle w:val="TextBody"/>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Identification of the contract, or contracts, with the customer</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terms and conditions of written contracts and its customary business practices in identifying its contracts.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services and products that are distinct from the existing contract and are priced commensurate with their standalone selling price are treated as separate contracts, and are accounted for prospectively. Contract modifications for services and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recognized revenue may be adjusted.</w:t>
      </w:r>
    </w:p>
    <w:p>
      <w:pPr>
        <w:pStyle w:val="TextBody"/>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Identification of the performance obligation in the contract</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obligations promised in a contract are identified based on the services or products that will be transferred to the customer that are both: </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i.capable of being distinct, whereby the customer can benefit from the service or product either on its own or together with other resources that are readily available from the Company or third parties, and </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ii.distinct in the context of the contract, whereby the transfer of the services or products is separately identifiable from other promises in the contract.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from the following sources, which represent the performance obligations of the Company:</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i.Subscription services related to the Company’s Software-as-a-Service (“SaaS”) offerings, including hosting;</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ii.Support activities that consist of email and phone support, bug fixes, and unspecified software updates and upgrades released when, and if, available during the support term;</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iii.Self-managed software licenses related to term or perpetual agreements;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iv.Services related to the implementation and configuration of the Company’s services and products, reimbursable travel, and training.</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Subscriptions are typically sold with a three- to five-year initial term with a customer option to renew on an annual basis after the initial term. Term licenses generally have a two-year initial term with a customer option to renew on an annual basis after the initial term. In certain circumstances, the Company will enter into term licenses with an initial term of more than two years or a renewal period longer than one year. Support for term licenses follows the same contract periods. Professional services typically are time and materials contracts that last for an average period of approximately one year. </w:t>
      </w:r>
    </w:p>
    <w:p>
      <w:pPr>
        <w:pStyle w:val="TextBody"/>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Determination of the transaction price</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 </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 </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 and the Company’s typical subscription services are generally billed in advance of providing the services. </w:t>
      </w:r>
    </w:p>
    <w:p>
      <w:pPr>
        <w:pStyle w:val="TextBody"/>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Allocation of the transaction price to the performance obligations in the contract</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the Company’s contracts contain multiple performance obligations, such as when licenses are sold with support, implementation services, or training services. Additionally, as customers enter into subscription agreements to migrate from an existing term license agreement, customers may be under contract for self-managed licenses and support, in addition to subscription services, for a period of time, which may require an allocation of the transaction price to each performance obligation. Some of the Company’s performance obligations, such as support,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pStyle w:val="TextBody"/>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Recognition of revenue when, or as, the Company satisfies a performance obligation</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control of the services or products are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 </w:t>
      </w:r>
    </w:p>
    <w:p>
      <w:pPr>
        <w:pStyle w:val="TextBody"/>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 satisfied at a point in time</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 </w:t>
      </w:r>
    </w:p>
    <w:p>
      <w:pPr>
        <w:pStyle w:val="TextBody"/>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 satisfied over a period of time</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Subscriptions, support activities, and professional service arrangements comprise the majority of distinct performance obligations that are satisfied over a period of time.</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subscription arrangements is recognized ratably over the subscription period using a time-based measure of progress as customers receive the benefits from their subscriptions over the contractually agreed-upon term. The Company’s subscription arrangements are generally three to five years in duration. Consideration for subscription arrangements is typically billed in advance on an annual basis over the contract period. </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support activities associated with self-managed licenses is a stand-ready obligation, which is generally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professional service arrangements is recognized over the service period as the underlying services are performed. </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substantially all of the Company’s professional service contracts, services are separately identifiable performance obligations for which related revenue and costs are recognized according to when each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pStyle w:val="TextBody"/>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Balance Sheet Presentation</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are reflected in the consolidated balance sheets as follows: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Accounts receivable, net represents amounts billed to customers in accordance with contract terms for which payment has not yet been received. It is presented net of the allowances as part of current assets in the consolidated balance sheets.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Unbilled accounts receivable is classified as either current or non-current based on the duration of remaining time between the date of the consolidated balance sheets and the anticipated due date of the underlying receivables. Unbilled accounts receivable is evaluated for credit losses based upon the expected collectibility of future accounts receivable, customer payment history, global economic conditions, and ongoing credit evaluations of customers. Unbilled accounts receivable is presented net of allowance for credit losses, if applicable, in the consolidated balance sheets. This balance represents contract assets.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Contract costs include customer acquisition costs, which consist primarily of sales commissions paid to sales personnel and their related payroll taxes and referral fees paid to third-parties, and costs to fulfill a contract, which consist primarily of royalties payable to third-party software providers that support both the Company’s software offerings and support services. The short-term portion is presented as prepaid and other current assets. The long-term portion is presented as other assets.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Deferred costs represent costs related to our professional services that have been deferred to align with revenue recognition. The short-term portion is presented as prepaid and other current assets. The long-term portion is presented as other assets.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Deferred revenue, net represents amounts that have been invoiced and for which the Company has the right to bill, but that have not been recognized as revenue because the related services or products have not been transferred to the customer. Deferred revenue that will be realized during the 12-month period following the date of the consolidated balance sheets is recorded as current. The remaining deferred revenue is recorded as non-current. This balance represents contract liabilities.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receive consideration from its customers in advance of performance on a portion of the contract and, on another portion of the contract, perform in advance of receiving consideration.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 </w:t>
      </w:r>
    </w:p>
    <w:p>
      <w:pPr>
        <w:pStyle w:val="TextBody"/>
        <w:spacing w:lineRule="auto" w:line="288" w:before="18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pStyle w:val="TextBody"/>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Contract Costs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costs consists of two components, customer acquisition costs and costs to fulfill a contract. </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consolidated statement of operations.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consolidated statement of operations. </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Warranties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generally provides a warranty for its software services and products to its customers for periods ranging from three to twelve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 or services. Warranty expense has been insignificant to date.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Advertising Costs</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and amounts incurred were not material during the years ended July 31, 2021, 2020, and 2019.</w:t>
      </w:r>
    </w:p>
    <w:p>
      <w:pPr>
        <w:pStyle w:val="TextBody"/>
        <w:spacing w:before="100" w:after="283"/>
        <w:ind w:left="0" w:right="0" w:firstLine="495"/>
        <w:rPr/>
      </w:pPr>
      <w:r>
        <w:rPr/>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To date, the Company has granted or assumed stock options, restricted stock awards (“RSAs”), time-based restricted stock units (“RSUs”), performance-based restricted stock units (“PSUs”), and restricted stock units that may be earned subject to the Company’s total shareholder return ranking relative to the software companies in the S&amp;P Software and Services Select Industry Index (“S&amp;P Index”) over a specified performance period or periods, service periods and, in select cases, subject to certain performance conditions (“TSR PSUs”). RSAs, RSUs, PSUs, and TSR PSUs are collectively referred to as “Stock Awards.”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RSAs, RSUs, and PSUs is equal to the market value of the Company’s common stock on the date of grant. These awards are subject to time-based vesting, which generally occurs over a period of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 and a portion of the expense may fluctuate depending on changing estimates of the achievement of the performance conditions.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stock options and TSR PSUs are estimated at the grant date using the Black-Scholes model and Monte Carlo simulation method, respectively. The assumptions utilized under these methods require judgments and estimates. Changes in these inputs and assumptions could affect the measurement of the estimated fair value of the related compensation expense of these stock options and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estimates of the achievement of the performance conditions. All TSR PSUs will vest at the end of a three-year period.</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Company’s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 </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and penalties related to unrecognized tax benefits as income tax expense in its consolidated statement of operations.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spacing w:before="0" w:after="0"/>
        <w:ind w:left="0" w:right="0" w:firstLine="27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Intangibles, Goodwill and Other (Subtopic 350-40): Customer’s Accounting for Implementation Costs Incurred in a Cloud Computing Arrangement that is a Service Contract</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2018, the FASB issued ASU No. 2018-15, Intangibles, Goodwill and Other (Subtopic 350-40): Customer’s Accounting for Implementation Costs Incurred in a Cloud Computing Arrangement that is a Service Contract, which requires implementation costs incurred in cloud computing arrangements to be deferred and recognized over the term of the arrangement if those costs would be capitalized in a software licensing arrangement under the internal-use software guidance in ASC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350-40. On August 1, 2020 the Company adopted this ASU prospectively. The adoption of this standard did not have a material impact on the consolidated financial statements and related disclosures.</w:t>
      </w:r>
    </w:p>
    <w:p>
      <w:pPr>
        <w:pStyle w:val="TextBody"/>
        <w:spacing w:before="0" w:after="0"/>
        <w:jc w:val="both"/>
        <w:rPr/>
      </w:pPr>
      <w:r>
        <w:rPr/>
      </w:r>
    </w:p>
    <w:p>
      <w:pPr>
        <w:pStyle w:val="TextBody"/>
        <w:spacing w:lineRule="auto" w:line="288" w:before="0" w:after="0"/>
        <w:ind w:left="0" w:right="0" w:firstLine="450"/>
        <w:jc w:val="both"/>
        <w:rPr/>
      </w:pPr>
      <w:r>
        <w:rPr>
          <w:rFonts w:ascii="Times New Roman;sans-serif" w:hAnsi="Times New Roman;sans-serif"/>
          <w:b/>
          <w:i/>
          <w:color w:val="000000"/>
          <w:sz w:val="20"/>
        </w:rPr>
        <w:t>Financial Instruments—Credit Losses (Topic 326): Measurement of Credit Losses on Financial Instrument</w:t>
      </w:r>
      <w:r>
        <w:rPr>
          <w:rFonts w:ascii="Times New Roman;sans-serif" w:hAnsi="Times New Roman;sans-serif"/>
          <w:b/>
          <w:color w:val="000000"/>
          <w:sz w:val="20"/>
        </w:rPr>
        <w: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model which requires the use of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On August 1, 2020, the Company adopted this ASU using the modified retrospective method. The adoption of this standard did not have a material impact on the consolidated financial statements and related disclosures.</w:t>
      </w:r>
    </w:p>
    <w:p>
      <w:pPr>
        <w:pStyle w:val="TextBody"/>
        <w:spacing w:lineRule="auto" w:line="417" w:before="18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Recent Accounting Pronouncements Not Yet Adopted</w:t>
      </w:r>
    </w:p>
    <w:p>
      <w:pPr>
        <w:pStyle w:val="TextBody"/>
        <w:spacing w:lineRule="auto" w:line="288" w:before="1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Debt—Debt with Conversion and Other Options (Subtopic 470-20) and Derivatives and Hedging—Contracts in Entity’s Own Equity (Subtopic 815-40): Accounting for Convertible Instruments and Contracts in an Entity’s Own Equity</w:t>
      </w:r>
    </w:p>
    <w:p>
      <w:pPr>
        <w:pStyle w:val="TextBody"/>
        <w:spacing w:lineRule="auto" w:line="288" w:before="180" w:after="283"/>
        <w:ind w:left="0" w:right="0" w:firstLine="450"/>
        <w:jc w:val="both"/>
        <w:rPr/>
      </w:pPr>
      <w:r>
        <w:rPr>
          <w:rFonts w:ascii="Times New Roman;sans-serif" w:hAnsi="Times New Roman;sans-serif"/>
          <w:b w:val="false"/>
          <w:color w:val="000000"/>
          <w:sz w:val="20"/>
        </w:rPr>
        <w:t>In August 2020, the FASB issued ASU No. 2020-06, “Debt</w:t>
      </w:r>
      <w:r>
        <w:rPr>
          <w:color w:val="000000"/>
        </w:rPr>
        <w:t>—</w:t>
      </w:r>
      <w:r>
        <w:rPr>
          <w:rFonts w:ascii="Times New Roman;sans-serif" w:hAnsi="Times New Roman;sans-serif"/>
          <w:b w:val="false"/>
          <w:color w:val="000000"/>
          <w:sz w:val="20"/>
        </w:rPr>
        <w:t>Debt with Conversion and Other Options (Subtopic 470-20) and Derivatives and Hedging</w:t>
      </w:r>
      <w:r>
        <w:rPr>
          <w:color w:val="000000"/>
        </w:rPr>
        <w:t>—</w:t>
      </w:r>
      <w:r>
        <w:rPr>
          <w:rFonts w:ascii="Times New Roman;sans-serif" w:hAnsi="Times New Roman;sans-serif"/>
          <w:b w:val="false"/>
          <w:color w:val="000000"/>
          <w:sz w:val="20"/>
        </w:rPr>
        <w:t>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simplifies the diluted earnings per share calculations by requiring that an entity use the if-converted method and that the effect of potential share settlement be included in diluted earnings per share calculations. The standard will be effective for the Company beginning August 1, 2022. The Company is currently assessing the impact of adopting this standard on its consolidated financial statements but believes that it will negatively impact its earnings per share calculations.</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Accounting Pronouncements</w:t>
      </w:r>
    </w:p>
    <w:p>
      <w:pPr>
        <w:pStyle w:val="TextBody"/>
        <w:spacing w:lineRule="auto" w:line="288" w:before="1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Other recent accounting pronouncements that will be applicable to the Company are not expected to have a material impact on its present or future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ind w:left="0" w:right="0" w:hanging="270"/>
        <w:rPr>
          <w:rFonts w:ascii="Times New Roman;sans-serif" w:hAnsi="Times New Roman;sans-serif"/>
          <w:b/>
          <w:color w:val="000000"/>
          <w:sz w:val="20"/>
        </w:rPr>
      </w:pPr>
      <w:r>
        <w:rPr>
          <w:rFonts w:ascii="Times New Roman;sans-serif" w:hAnsi="Times New Roman;sans-serif"/>
          <w:b/>
          <w:color w:val="000000"/>
          <w:sz w:val="20"/>
        </w:rPr>
        <w:t>2.Revenue</w:t>
      </w:r>
    </w:p>
    <w:p>
      <w:pPr>
        <w:pStyle w:val="TextBody"/>
        <w:spacing w:before="0" w:after="160"/>
        <w:ind w:left="0" w:right="0" w:firstLine="180"/>
        <w:jc w:val="both"/>
        <w:rPr/>
      </w:pPr>
      <w:r>
        <w:rPr/>
      </w:r>
    </w:p>
    <w:p>
      <w:pPr>
        <w:pStyle w:val="TextBody"/>
        <w:spacing w:lineRule="auto" w:line="288" w:before="0" w:after="16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license or service type is as follows (in thousands):</w:t>
      </w:r>
    </w:p>
    <w:tbl>
      <w:tblPr>
        <w:tblW w:w="6327" w:type="dxa"/>
        <w:jc w:val="left"/>
        <w:tblInd w:w="0" w:type="dxa"/>
        <w:tblCellMar>
          <w:top w:w="28" w:type="dxa"/>
          <w:left w:w="28" w:type="dxa"/>
          <w:bottom w:w="28" w:type="dxa"/>
          <w:right w:w="28" w:type="dxa"/>
        </w:tblCellMar>
      </w:tblPr>
      <w:tblGrid>
        <w:gridCol w:w="794"/>
        <w:gridCol w:w="697"/>
        <w:gridCol w:w="699"/>
        <w:gridCol w:w="211"/>
        <w:gridCol w:w="826"/>
        <w:gridCol w:w="109"/>
        <w:gridCol w:w="109"/>
        <w:gridCol w:w="109"/>
        <w:gridCol w:w="109"/>
        <w:gridCol w:w="211"/>
        <w:gridCol w:w="826"/>
        <w:gridCol w:w="109"/>
        <w:gridCol w:w="109"/>
        <w:gridCol w:w="109"/>
        <w:gridCol w:w="109"/>
        <w:gridCol w:w="211"/>
        <w:gridCol w:w="826"/>
        <w:gridCol w:w="154"/>
      </w:tblGrid>
      <w:tr>
        <w:trPr/>
        <w:tc>
          <w:tcPr>
            <w:tcW w:w="7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years ended July 31,</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revenue type and by geography is as follows (in thousands):</w:t>
      </w:r>
    </w:p>
    <w:tbl>
      <w:tblPr>
        <w:tblW w:w="7186" w:type="dxa"/>
        <w:jc w:val="center"/>
        <w:tblInd w:w="0" w:type="dxa"/>
        <w:tblCellMar>
          <w:top w:w="28" w:type="dxa"/>
          <w:left w:w="28" w:type="dxa"/>
          <w:bottom w:w="28" w:type="dxa"/>
          <w:right w:w="28" w:type="dxa"/>
        </w:tblCellMar>
      </w:tblPr>
      <w:tblGrid>
        <w:gridCol w:w="538"/>
        <w:gridCol w:w="472"/>
        <w:gridCol w:w="474"/>
        <w:gridCol w:w="407"/>
        <w:gridCol w:w="1600"/>
        <w:gridCol w:w="212"/>
        <w:gridCol w:w="211"/>
        <w:gridCol w:w="826"/>
        <w:gridCol w:w="109"/>
        <w:gridCol w:w="211"/>
        <w:gridCol w:w="826"/>
        <w:gridCol w:w="109"/>
        <w:gridCol w:w="211"/>
        <w:gridCol w:w="826"/>
        <w:gridCol w:w="154"/>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 July 31, 2021</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167,920 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35,465 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207,619 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2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EMEA</w:t>
            </w:r>
          </w:p>
        </w:tc>
        <w:tc>
          <w:tcPr>
            <w:tcW w:w="2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20,449 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0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252,358 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186" w:type="dxa"/>
        <w:jc w:val="left"/>
        <w:tblInd w:w="0" w:type="dxa"/>
        <w:tblCellMar>
          <w:top w:w="28" w:type="dxa"/>
          <w:left w:w="28" w:type="dxa"/>
          <w:bottom w:w="28" w:type="dxa"/>
          <w:right w:w="28" w:type="dxa"/>
        </w:tblCellMar>
      </w:tblPr>
      <w:tblGrid>
        <w:gridCol w:w="538"/>
        <w:gridCol w:w="472"/>
        <w:gridCol w:w="474"/>
        <w:gridCol w:w="407"/>
        <w:gridCol w:w="1600"/>
        <w:gridCol w:w="212"/>
        <w:gridCol w:w="211"/>
        <w:gridCol w:w="826"/>
        <w:gridCol w:w="109"/>
        <w:gridCol w:w="211"/>
        <w:gridCol w:w="826"/>
        <w:gridCol w:w="109"/>
        <w:gridCol w:w="211"/>
        <w:gridCol w:w="826"/>
        <w:gridCol w:w="154"/>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 July 31, 2020</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139,059 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18,216 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161,729 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2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EMEA</w:t>
            </w:r>
          </w:p>
        </w:tc>
        <w:tc>
          <w:tcPr>
            <w:tcW w:w="2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19,544 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15,258 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0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203,473 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tbl>
      <w:tblPr>
        <w:tblW w:w="7186" w:type="dxa"/>
        <w:jc w:val="left"/>
        <w:tblInd w:w="0" w:type="dxa"/>
        <w:tblCellMar>
          <w:top w:w="28" w:type="dxa"/>
          <w:left w:w="28" w:type="dxa"/>
          <w:bottom w:w="28" w:type="dxa"/>
          <w:right w:w="28" w:type="dxa"/>
        </w:tblCellMar>
      </w:tblPr>
      <w:tblGrid>
        <w:gridCol w:w="538"/>
        <w:gridCol w:w="472"/>
        <w:gridCol w:w="474"/>
        <w:gridCol w:w="407"/>
        <w:gridCol w:w="1600"/>
        <w:gridCol w:w="212"/>
        <w:gridCol w:w="211"/>
        <w:gridCol w:w="826"/>
        <w:gridCol w:w="109"/>
        <w:gridCol w:w="211"/>
        <w:gridCol w:w="826"/>
        <w:gridCol w:w="109"/>
        <w:gridCol w:w="211"/>
        <w:gridCol w:w="826"/>
        <w:gridCol w:w="154"/>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 July 31, 2019</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100,136 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2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EMEA</w:t>
            </w:r>
          </w:p>
        </w:tc>
        <w:tc>
          <w:tcPr>
            <w:tcW w:w="2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2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0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150,474 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country or region other than those listed above accounted for more than 10% of revenue during the years ended July 31, 2021, 2020, and 2019.</w:t>
      </w:r>
    </w:p>
    <w:p>
      <w:pPr>
        <w:pStyle w:val="TextBody"/>
        <w:spacing w:lineRule="auto" w:line="288" w:before="0" w:after="16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Customer Contract - Related Balance Sheet Amounts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Amounts related to customer contract-related arrangements are included on the consolidated balance sheets as follows (in thousands):</w:t>
      </w:r>
    </w:p>
    <w:tbl>
      <w:tblPr>
        <w:tblW w:w="5768" w:type="dxa"/>
        <w:jc w:val="center"/>
        <w:tblInd w:w="0" w:type="dxa"/>
        <w:tblCellMar>
          <w:top w:w="28" w:type="dxa"/>
          <w:left w:w="28" w:type="dxa"/>
          <w:bottom w:w="28" w:type="dxa"/>
          <w:right w:w="28" w:type="dxa"/>
        </w:tblCellMar>
      </w:tblPr>
      <w:tblGrid>
        <w:gridCol w:w="1026"/>
        <w:gridCol w:w="902"/>
        <w:gridCol w:w="907"/>
        <w:gridCol w:w="414"/>
        <w:gridCol w:w="414"/>
        <w:gridCol w:w="417"/>
        <w:gridCol w:w="109"/>
        <w:gridCol w:w="109"/>
        <w:gridCol w:w="109"/>
        <w:gridCol w:w="431"/>
        <w:gridCol w:w="395"/>
        <w:gridCol w:w="535"/>
      </w:tblGrid>
      <w:tr>
        <w:trPr/>
        <w:tc>
          <w:tcPr>
            <w:tcW w:w="102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2020</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84,228 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 net</w:t>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42,235 </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34,809 </w:t>
            </w:r>
          </w:p>
        </w:tc>
        <w:tc>
          <w:tcPr>
            <w:tcW w:w="5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1" w:type="dxa"/>
            <w:gridSpan w:val="3"/>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145,936 </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132,996 </w:t>
            </w:r>
          </w:p>
        </w:tc>
        <w:tc>
          <w:tcPr>
            <w:tcW w:w="5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88" w:before="0" w:after="16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Unbilled accounts receivable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unbilled accounts receivable, net is primarily impacted by new term license deals and multi-year term license renewals, less any current year billings, of approximately $11 million and, to a lesser extent, cloud subscription orders with ramped billing schedules of approximately $8 million. Revenue from these arrangements is recognized prior to billing. Arrangements are generally billed on an annual basis over the contract term which generally ranges from two to five years.</w:t>
      </w:r>
    </w:p>
    <w:p>
      <w:pPr>
        <w:pStyle w:val="TextBody"/>
        <w:spacing w:lineRule="auto" w:line="288" w:before="0" w:after="16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July 31, 2021 and 2020, there was no allowance for credit losses associated with unbilled accounts receivable.</w:t>
      </w:r>
    </w:p>
    <w:p>
      <w:pPr>
        <w:pStyle w:val="TextBody"/>
        <w:spacing w:lineRule="auto" w:line="288" w:before="0" w:after="16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 of contract costs of $13.4 million and $9.6 million is included in prepaid and other current assets on the Company’s consolidated balance sheets as of July 31, 2021 and 2020, respectively. The non-current portion of contract costs of $28.9 million and $25.2 million is included in other assets on the Company’s consolidated balance sheets as of July 31, 2021 and 2020. The Company amortized $11.4 million and $9.9 million of contract costs during the fiscal year ended July 31, 2021 and 2020, respectively.</w:t>
      </w:r>
    </w:p>
    <w:p>
      <w:pPr>
        <w:pStyle w:val="TextBody"/>
        <w:spacing w:lineRule="auto" w:line="288" w:before="0" w:after="16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July 31, 2021, the Company recognized revenue of $116.2 million related to the Company’s deferred revenue balance reported as of July 31, 2020. </w:t>
      </w:r>
    </w:p>
    <w:p>
      <w:pPr>
        <w:pStyle w:val="TextBody"/>
        <w:spacing w:lineRule="auto" w:line="288" w:before="0" w:after="16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of consideration allocated to performance obligations either not satisfied or partially satisfied, was approximately $844.0 million as of July 31, 2021. Subscription services are typically satisfied over three to five years, support services are generally satisfied within one year, and professional services are typically satisfied within one year. Professional services under time and material contracts are not included in the performance obligations calculations as these arrangements can be cancelled at any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3. Fair Value of Financial Instruments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Available-for-sale investments within cash equivalents and investments consist of the following (in thousands): </w:t>
      </w:r>
    </w:p>
    <w:tbl>
      <w:tblPr>
        <w:tblW w:w="10205" w:type="dxa"/>
        <w:jc w:val="center"/>
        <w:tblInd w:w="0" w:type="dxa"/>
        <w:tblCellMar>
          <w:top w:w="28" w:type="dxa"/>
          <w:left w:w="28" w:type="dxa"/>
          <w:bottom w:w="28" w:type="dxa"/>
          <w:right w:w="28" w:type="dxa"/>
        </w:tblCellMar>
      </w:tblPr>
      <w:tblGrid>
        <w:gridCol w:w="1172"/>
        <w:gridCol w:w="1028"/>
        <w:gridCol w:w="1033"/>
        <w:gridCol w:w="214"/>
        <w:gridCol w:w="993"/>
        <w:gridCol w:w="110"/>
        <w:gridCol w:w="109"/>
        <w:gridCol w:w="109"/>
        <w:gridCol w:w="109"/>
        <w:gridCol w:w="378"/>
        <w:gridCol w:w="838"/>
        <w:gridCol w:w="198"/>
        <w:gridCol w:w="109"/>
        <w:gridCol w:w="109"/>
        <w:gridCol w:w="109"/>
        <w:gridCol w:w="427"/>
        <w:gridCol w:w="823"/>
        <w:gridCol w:w="223"/>
        <w:gridCol w:w="109"/>
        <w:gridCol w:w="109"/>
        <w:gridCol w:w="109"/>
        <w:gridCol w:w="279"/>
        <w:gridCol w:w="1293"/>
        <w:gridCol w:w="215"/>
      </w:tblGrid>
      <w:tr>
        <w:trPr/>
        <w:tc>
          <w:tcPr>
            <w:tcW w:w="117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r>
      <w:tr>
        <w:trPr/>
        <w:tc>
          <w:tcPr>
            <w:tcW w:w="3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389,837 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389,837 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371,374 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371,960 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64,462 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47,947 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33,185 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82,250 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125,118 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convertible debt investment*</w:t>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1,201,932 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1,202,624 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3"/>
        </w:rPr>
      </w:pPr>
      <w:r>
        <w:rPr>
          <w:rFonts w:ascii="Times New Roman;sans-serif" w:hAnsi="Times New Roman;sans-serif"/>
          <w:b w:val="false"/>
          <w:color w:val="000000"/>
          <w:sz w:val="13"/>
        </w:rPr>
        <w:t>*At original cost</w:t>
      </w:r>
    </w:p>
    <w:tbl>
      <w:tblPr>
        <w:tblW w:w="9969" w:type="dxa"/>
        <w:jc w:val="center"/>
        <w:tblInd w:w="0" w:type="dxa"/>
        <w:tblCellMar>
          <w:top w:w="28" w:type="dxa"/>
          <w:left w:w="28" w:type="dxa"/>
          <w:bottom w:w="28" w:type="dxa"/>
          <w:right w:w="28" w:type="dxa"/>
        </w:tblCellMar>
      </w:tblPr>
      <w:tblGrid>
        <w:gridCol w:w="1184"/>
        <w:gridCol w:w="1040"/>
        <w:gridCol w:w="1045"/>
        <w:gridCol w:w="211"/>
        <w:gridCol w:w="976"/>
        <w:gridCol w:w="109"/>
        <w:gridCol w:w="109"/>
        <w:gridCol w:w="109"/>
        <w:gridCol w:w="109"/>
        <w:gridCol w:w="304"/>
        <w:gridCol w:w="889"/>
        <w:gridCol w:w="157"/>
        <w:gridCol w:w="109"/>
        <w:gridCol w:w="109"/>
        <w:gridCol w:w="109"/>
        <w:gridCol w:w="359"/>
        <w:gridCol w:w="834"/>
        <w:gridCol w:w="186"/>
        <w:gridCol w:w="109"/>
        <w:gridCol w:w="109"/>
        <w:gridCol w:w="109"/>
        <w:gridCol w:w="266"/>
        <w:gridCol w:w="1234"/>
        <w:gridCol w:w="194"/>
      </w:tblGrid>
      <w:tr>
        <w:trPr/>
        <w:tc>
          <w:tcPr>
            <w:tcW w:w="118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242,274 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222,578 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478,056 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68,808 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56,296 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231,063 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convertible debt investment*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1,358,945 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*At original cost</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45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does not consider any portion of the unrealized losses at July 31, 2021 to be credit losses. The Company has recorded the securities at fair value in its consolidated balance sheets, with unrealized gains and losses reported as a component of accumulated other comprehensive income (loss). The amount of unrealized gains and losses reclassified into earnings are based on the specific identification of the securities sold. The realized gains and losses from sales of securities are presented in the consolidated statements of comprehensive income (loss).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maturities of the Company’s available-for-sale investments measured at fair value (in thousands):</w:t>
      </w:r>
    </w:p>
    <w:tbl>
      <w:tblPr>
        <w:tblW w:w="8443" w:type="dxa"/>
        <w:jc w:val="left"/>
        <w:tblInd w:w="0" w:type="dxa"/>
        <w:tblCellMar>
          <w:top w:w="28" w:type="dxa"/>
          <w:left w:w="28" w:type="dxa"/>
          <w:bottom w:w="28" w:type="dxa"/>
          <w:right w:w="28" w:type="dxa"/>
        </w:tblCellMar>
      </w:tblPr>
      <w:tblGrid>
        <w:gridCol w:w="1146"/>
        <w:gridCol w:w="1006"/>
        <w:gridCol w:w="1012"/>
        <w:gridCol w:w="301"/>
        <w:gridCol w:w="1179"/>
        <w:gridCol w:w="155"/>
        <w:gridCol w:w="109"/>
        <w:gridCol w:w="109"/>
        <w:gridCol w:w="109"/>
        <w:gridCol w:w="303"/>
        <w:gridCol w:w="1189"/>
        <w:gridCol w:w="157"/>
        <w:gridCol w:w="109"/>
        <w:gridCol w:w="109"/>
        <w:gridCol w:w="109"/>
        <w:gridCol w:w="211"/>
        <w:gridCol w:w="976"/>
        <w:gridCol w:w="154"/>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389,837 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225,384 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146,576 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convertible debt investment</w:t>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975,460 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70" w:after="160"/>
        <w:ind w:left="0" w:right="0" w:firstLine="495"/>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three-level valuation hierarchy when measuring the fair value of certain assets and liabilities:</w:t>
      </w:r>
    </w:p>
    <w:p>
      <w:pPr>
        <w:pStyle w:val="TextBody"/>
        <w:spacing w:lineRule="auto" w:line="288" w:before="10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Level 1—Unadjusted quoted prices in active markets for identical assets or liabilities;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2—Inputs other than quoted prices included within Level 1 that are observable, unadjusted quoted prices in markets that are not active, or other inputs that are observable or can be corroborated by observable market data; and</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3—Unobservable inputs that are supported by little or no market activity, which require the Company to develop its own assumptions. </w:t>
      </w:r>
    </w:p>
    <w:p>
      <w:pPr>
        <w:pStyle w:val="TextBody"/>
        <w:spacing w:before="180" w:after="283"/>
        <w:ind w:left="0" w:right="0" w:firstLine="450"/>
        <w:jc w:val="both"/>
        <w:rPr/>
      </w:pPr>
      <w:r>
        <w:rPr/>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Available-for-sale investments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Company’s available-for-sale investments measured at fair value, by level within the fair value hierarchy (in thousands): </w:t>
      </w:r>
    </w:p>
    <w:tbl>
      <w:tblPr>
        <w:tblW w:w="8864" w:type="dxa"/>
        <w:jc w:val="left"/>
        <w:tblInd w:w="0" w:type="dxa"/>
        <w:tblCellMar>
          <w:top w:w="28" w:type="dxa"/>
          <w:left w:w="28" w:type="dxa"/>
          <w:bottom w:w="28" w:type="dxa"/>
          <w:right w:w="28" w:type="dxa"/>
        </w:tblCellMar>
      </w:tblPr>
      <w:tblGrid>
        <w:gridCol w:w="1144"/>
        <w:gridCol w:w="1007"/>
        <w:gridCol w:w="1013"/>
        <w:gridCol w:w="211"/>
        <w:gridCol w:w="826"/>
        <w:gridCol w:w="109"/>
        <w:gridCol w:w="109"/>
        <w:gridCol w:w="109"/>
        <w:gridCol w:w="109"/>
        <w:gridCol w:w="211"/>
        <w:gridCol w:w="976"/>
        <w:gridCol w:w="109"/>
        <w:gridCol w:w="109"/>
        <w:gridCol w:w="109"/>
        <w:gridCol w:w="109"/>
        <w:gridCol w:w="211"/>
        <w:gridCol w:w="616"/>
        <w:gridCol w:w="109"/>
        <w:gridCol w:w="109"/>
        <w:gridCol w:w="109"/>
        <w:gridCol w:w="109"/>
        <w:gridCol w:w="211"/>
        <w:gridCol w:w="976"/>
        <w:gridCol w:w="154"/>
      </w:tblGrid>
      <w:tr>
        <w:trPr/>
        <w:tc>
          <w:tcPr>
            <w:tcW w:w="1144"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convertible debt investment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investments: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tbl>
      <w:tblPr>
        <w:tblW w:w="8864" w:type="dxa"/>
        <w:jc w:val="center"/>
        <w:tblInd w:w="0" w:type="dxa"/>
        <w:tblCellMar>
          <w:top w:w="28" w:type="dxa"/>
          <w:left w:w="28" w:type="dxa"/>
          <w:bottom w:w="28" w:type="dxa"/>
          <w:right w:w="28" w:type="dxa"/>
        </w:tblCellMar>
      </w:tblPr>
      <w:tblGrid>
        <w:gridCol w:w="1144"/>
        <w:gridCol w:w="1007"/>
        <w:gridCol w:w="1013"/>
        <w:gridCol w:w="211"/>
        <w:gridCol w:w="826"/>
        <w:gridCol w:w="109"/>
        <w:gridCol w:w="109"/>
        <w:gridCol w:w="109"/>
        <w:gridCol w:w="109"/>
        <w:gridCol w:w="211"/>
        <w:gridCol w:w="976"/>
        <w:gridCol w:w="109"/>
        <w:gridCol w:w="109"/>
        <w:gridCol w:w="109"/>
        <w:gridCol w:w="109"/>
        <w:gridCol w:w="211"/>
        <w:gridCol w:w="616"/>
        <w:gridCol w:w="109"/>
        <w:gridCol w:w="109"/>
        <w:gridCol w:w="109"/>
        <w:gridCol w:w="109"/>
        <w:gridCol w:w="211"/>
        <w:gridCol w:w="976"/>
        <w:gridCol w:w="154"/>
      </w:tblGrid>
      <w:tr>
        <w:trPr/>
        <w:tc>
          <w:tcPr>
            <w:tcW w:w="1144"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investments: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convertible debt investment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1,358,945 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spacing w:before="0" w:after="0"/>
        <w:ind w:left="0" w:right="0" w:firstLine="45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The fair value of the Convertible Senior Notes was $452.0 million and $480.0 million at July 31, 2021 and 2020, respectively.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unamortized debt discount and issuance costs on its consolidated balance sheets. For further information on the Convertible Senior Notes, see Note 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4. Balance Sheet Components</w:t>
      </w:r>
    </w:p>
    <w:p>
      <w:pPr>
        <w:pStyle w:val="TextBody"/>
        <w:spacing w:lineRule="auto" w:line="417" w:before="28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Accounts Receivables, Net</w:t>
      </w:r>
    </w:p>
    <w:p>
      <w:pPr>
        <w:pStyle w:val="TextBody"/>
        <w:spacing w:lineRule="auto" w:line="417" w:before="2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consists of the following (in thousands):</w:t>
      </w:r>
    </w:p>
    <w:tbl>
      <w:tblPr>
        <w:tblW w:w="6684" w:type="dxa"/>
        <w:jc w:val="left"/>
        <w:tblInd w:w="0" w:type="dxa"/>
        <w:tblCellMar>
          <w:top w:w="28" w:type="dxa"/>
          <w:left w:w="28" w:type="dxa"/>
          <w:bottom w:w="28" w:type="dxa"/>
          <w:right w:w="28" w:type="dxa"/>
        </w:tblCellMar>
      </w:tblPr>
      <w:tblGrid>
        <w:gridCol w:w="1457"/>
        <w:gridCol w:w="1279"/>
        <w:gridCol w:w="1284"/>
        <w:gridCol w:w="211"/>
        <w:gridCol w:w="826"/>
        <w:gridCol w:w="109"/>
        <w:gridCol w:w="109"/>
        <w:gridCol w:w="109"/>
        <w:gridCol w:w="109"/>
        <w:gridCol w:w="211"/>
        <w:gridCol w:w="826"/>
        <w:gridCol w:w="154"/>
      </w:tblGrid>
      <w:tr>
        <w:trPr/>
        <w:tc>
          <w:tcPr>
            <w:tcW w:w="1457"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and revenue reserves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180" w:after="283"/>
        <w:ind w:left="0" w:right="0" w:firstLine="27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Allowance for Credit Losses and Revenue Reserves</w:t>
      </w:r>
    </w:p>
    <w:p>
      <w:pPr>
        <w:pStyle w:val="TextBody"/>
        <w:spacing w:lineRule="auto" w:line="417" w:before="2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Changes to the allowance for credit losses and revenue reserves consists of the following (in thousands):</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tbl>
      <w:tblPr>
        <w:tblW w:w="3680" w:type="dxa"/>
        <w:jc w:val="left"/>
        <w:tblInd w:w="0" w:type="dxa"/>
        <w:tblCellMar>
          <w:top w:w="28" w:type="dxa"/>
          <w:left w:w="28" w:type="dxa"/>
          <w:bottom w:w="28" w:type="dxa"/>
          <w:right w:w="28" w:type="dxa"/>
        </w:tblCellMar>
      </w:tblPr>
      <w:tblGrid>
        <w:gridCol w:w="978"/>
        <w:gridCol w:w="857"/>
        <w:gridCol w:w="864"/>
        <w:gridCol w:w="211"/>
        <w:gridCol w:w="616"/>
        <w:gridCol w:w="154"/>
      </w:tblGrid>
      <w:tr>
        <w:trPr/>
        <w:tc>
          <w:tcPr>
            <w:tcW w:w="978"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2020</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to credit losses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to revenue reserves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417" w:before="18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spacing w:lineRule="auto" w:line="417" w:before="2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w:t>
      </w:r>
    </w:p>
    <w:tbl>
      <w:tblPr>
        <w:tblW w:w="6011" w:type="dxa"/>
        <w:jc w:val="left"/>
        <w:tblInd w:w="0" w:type="dxa"/>
        <w:tblCellMar>
          <w:top w:w="28" w:type="dxa"/>
          <w:left w:w="28" w:type="dxa"/>
          <w:bottom w:w="28" w:type="dxa"/>
          <w:right w:w="28" w:type="dxa"/>
        </w:tblCellMar>
      </w:tblPr>
      <w:tblGrid>
        <w:gridCol w:w="1250"/>
        <w:gridCol w:w="1095"/>
        <w:gridCol w:w="1105"/>
        <w:gridCol w:w="222"/>
        <w:gridCol w:w="759"/>
        <w:gridCol w:w="114"/>
        <w:gridCol w:w="109"/>
        <w:gridCol w:w="109"/>
        <w:gridCol w:w="109"/>
        <w:gridCol w:w="221"/>
        <w:gridCol w:w="757"/>
        <w:gridCol w:w="161"/>
      </w:tblGrid>
      <w:tr>
        <w:trPr/>
        <w:tc>
          <w:tcPr>
            <w:tcW w:w="1250"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and other receivables</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 (in thousands):</w:t>
      </w:r>
    </w:p>
    <w:tbl>
      <w:tblPr>
        <w:tblW w:w="5905" w:type="dxa"/>
        <w:jc w:val="left"/>
        <w:tblInd w:w="0" w:type="dxa"/>
        <w:tblCellMar>
          <w:top w:w="28" w:type="dxa"/>
          <w:left w:w="28" w:type="dxa"/>
          <w:bottom w:w="28" w:type="dxa"/>
          <w:right w:w="28" w:type="dxa"/>
        </w:tblCellMar>
      </w:tblPr>
      <w:tblGrid>
        <w:gridCol w:w="1211"/>
        <w:gridCol w:w="1063"/>
        <w:gridCol w:w="1070"/>
        <w:gridCol w:w="222"/>
        <w:gridCol w:w="759"/>
        <w:gridCol w:w="114"/>
        <w:gridCol w:w="109"/>
        <w:gridCol w:w="109"/>
        <w:gridCol w:w="109"/>
        <w:gridCol w:w="221"/>
        <w:gridCol w:w="757"/>
        <w:gridCol w:w="161"/>
      </w:tblGrid>
      <w:tr>
        <w:trPr/>
        <w:tc>
          <w:tcPr>
            <w:tcW w:w="121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machinery</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(50,878)</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(36,016)</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2021 and 2020, no property and equipment was pledged as collateral. Depreciation expense, excluding the amortization of capitalized software development costs, was $14.0 million, $14.5 million and $9.7 million for the fiscal years ended July 31, 2021, 2020, and 2019, respectively.</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of capitalized software development costs in cost of subscription and support revenue on the consolidated statements of operations of $3.4 million, $1.4 million and $1.0 million during the fiscal years ended July 31, 2021, 2020, and 2019 respectively.</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was no change to the carrying amount of goodwill of $340.9 million for fiscal years ending July 31, 2021 and 2020 respectively.</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are amortized over their estimated useful lives. Intangible assets consist of the following (in thousands):</w:t>
      </w:r>
    </w:p>
    <w:tbl>
      <w:tblPr>
        <w:tblW w:w="11315" w:type="dxa"/>
        <w:jc w:val="center"/>
        <w:tblInd w:w="0" w:type="dxa"/>
        <w:tblCellMar>
          <w:top w:w="28" w:type="dxa"/>
          <w:left w:w="28" w:type="dxa"/>
          <w:bottom w:w="28" w:type="dxa"/>
          <w:right w:w="28" w:type="dxa"/>
        </w:tblCellMar>
      </w:tblPr>
      <w:tblGrid>
        <w:gridCol w:w="501"/>
        <w:gridCol w:w="334"/>
        <w:gridCol w:w="336"/>
        <w:gridCol w:w="490"/>
        <w:gridCol w:w="490"/>
        <w:gridCol w:w="49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50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Weighted-Average Useful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relationships</w:t>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Order backlog</w:t>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$20.0 million, $26.8 million, and $29.1 million during the years ended July 31, 2021, 2020, and 2019, respectively. The future amortization expense for existing intangible assets as of July 31, 2021, based on their current useful lives, is as follows (in thousands):</w:t>
      </w:r>
    </w:p>
    <w:tbl>
      <w:tblPr>
        <w:tblW w:w="4278" w:type="dxa"/>
        <w:jc w:val="left"/>
        <w:tblInd w:w="0" w:type="dxa"/>
        <w:tblCellMar>
          <w:top w:w="28" w:type="dxa"/>
          <w:left w:w="28" w:type="dxa"/>
          <w:bottom w:w="28" w:type="dxa"/>
          <w:right w:w="28" w:type="dxa"/>
        </w:tblCellMar>
      </w:tblPr>
      <w:tblGrid>
        <w:gridCol w:w="1036"/>
        <w:gridCol w:w="912"/>
        <w:gridCol w:w="917"/>
        <w:gridCol w:w="109"/>
        <w:gridCol w:w="109"/>
        <w:gridCol w:w="109"/>
        <w:gridCol w:w="211"/>
        <w:gridCol w:w="721"/>
        <w:gridCol w:w="154"/>
      </w:tblGrid>
      <w:tr>
        <w:trPr/>
        <w:tc>
          <w:tcPr>
            <w:tcW w:w="1036"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July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Other assets consist of the following (in thousands):</w:t>
      </w:r>
    </w:p>
    <w:tbl>
      <w:tblPr>
        <w:tblW w:w="4990" w:type="dxa"/>
        <w:jc w:val="left"/>
        <w:tblInd w:w="0" w:type="dxa"/>
        <w:tblCellMar>
          <w:top w:w="28" w:type="dxa"/>
          <w:left w:w="28" w:type="dxa"/>
          <w:bottom w:w="28" w:type="dxa"/>
          <w:right w:w="28" w:type="dxa"/>
        </w:tblCellMar>
      </w:tblPr>
      <w:tblGrid>
        <w:gridCol w:w="880"/>
        <w:gridCol w:w="771"/>
        <w:gridCol w:w="778"/>
        <w:gridCol w:w="222"/>
        <w:gridCol w:w="759"/>
        <w:gridCol w:w="114"/>
        <w:gridCol w:w="109"/>
        <w:gridCol w:w="109"/>
        <w:gridCol w:w="109"/>
        <w:gridCol w:w="221"/>
        <w:gridCol w:w="757"/>
        <w:gridCol w:w="161"/>
      </w:tblGrid>
      <w:tr>
        <w:trPr/>
        <w:tc>
          <w:tcPr>
            <w:tcW w:w="88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equity investments</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other assets include strategic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The Company invested $2.4 million and $1.2 million in new strategic equity investments during the fiscal year ended July 31, 2021 and 2020, respectively. No impairment charges were recognized during the fiscal year ended July 31, 2021 while an impairment charge of $10.7 million was recognized during the fiscal year ended July 31, 2020 primarily due to liquidity constraints in the economic environment that limited the investee’s ability to raise funds.</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Accrued Employee Compensation</w:t>
      </w:r>
    </w:p>
    <w:p>
      <w:pPr>
        <w:pStyle w:val="TextBody"/>
        <w:spacing w:lineRule="auto" w:line="288" w:before="10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 consists of the following (in thousands):</w:t>
      </w:r>
    </w:p>
    <w:tbl>
      <w:tblPr>
        <w:tblW w:w="5582" w:type="dxa"/>
        <w:jc w:val="left"/>
        <w:tblInd w:w="0" w:type="dxa"/>
        <w:tblCellMar>
          <w:top w:w="28" w:type="dxa"/>
          <w:left w:w="28" w:type="dxa"/>
          <w:bottom w:w="28" w:type="dxa"/>
          <w:right w:w="28" w:type="dxa"/>
        </w:tblCellMar>
      </w:tblPr>
      <w:tblGrid>
        <w:gridCol w:w="1075"/>
        <w:gridCol w:w="942"/>
        <w:gridCol w:w="953"/>
        <w:gridCol w:w="211"/>
        <w:gridCol w:w="826"/>
        <w:gridCol w:w="109"/>
        <w:gridCol w:w="109"/>
        <w:gridCol w:w="109"/>
        <w:gridCol w:w="109"/>
        <w:gridCol w:w="221"/>
        <w:gridCol w:w="757"/>
        <w:gridCol w:w="161"/>
      </w:tblGrid>
      <w:tr>
        <w:trPr/>
        <w:tc>
          <w:tcPr>
            <w:tcW w:w="1075"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payroll taxes, and benefits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spacing w:lineRule="auto" w:line="288" w:before="10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 of the following (in thousands):</w:t>
      </w:r>
    </w:p>
    <w:tbl>
      <w:tblPr>
        <w:tblW w:w="4570" w:type="dxa"/>
        <w:jc w:val="left"/>
        <w:tblInd w:w="0" w:type="dxa"/>
        <w:tblCellMar>
          <w:top w:w="28" w:type="dxa"/>
          <w:left w:w="28" w:type="dxa"/>
          <w:bottom w:w="28" w:type="dxa"/>
          <w:right w:w="28" w:type="dxa"/>
        </w:tblCellMar>
      </w:tblPr>
      <w:tblGrid>
        <w:gridCol w:w="727"/>
        <w:gridCol w:w="640"/>
        <w:gridCol w:w="642"/>
        <w:gridCol w:w="222"/>
        <w:gridCol w:w="759"/>
        <w:gridCol w:w="114"/>
        <w:gridCol w:w="109"/>
        <w:gridCol w:w="109"/>
        <w:gridCol w:w="109"/>
        <w:gridCol w:w="221"/>
        <w:gridCol w:w="757"/>
        <w:gridCol w:w="161"/>
      </w:tblGrid>
      <w:tr>
        <w:trPr/>
        <w:tc>
          <w:tcPr>
            <w:tcW w:w="727"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royalties</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5. Net Income (Loss) per Share</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basic earnings per share by dividing the net income (loss) by the weighted average number of shares of common stock outstanding for the period. The diluted earnings per share is computed by giving effect to all potentially dilutive common stock equivalents outstanding for the period using the treasury stock method. For purposes of this calculation, options to purchase common stock, stock awards, and the Convertible Senior Notes are considered to be common stock equivalents.</w:t>
      </w:r>
    </w:p>
    <w:p>
      <w:pPr>
        <w:pStyle w:val="TextBody"/>
        <w:spacing w:before="0" w:after="0"/>
        <w:ind w:left="0" w:right="0" w:firstLine="450"/>
        <w:jc w:val="both"/>
        <w:rPr/>
      </w:pPr>
      <w:r>
        <w:rPr/>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income (loss) per share for the years ended July 31, 2021, 2020, and 2019 (in thousands, except share and per share amounts):</w:t>
      </w:r>
    </w:p>
    <w:tbl>
      <w:tblPr>
        <w:tblW w:w="10205" w:type="dxa"/>
        <w:jc w:val="left"/>
        <w:tblInd w:w="0" w:type="dxa"/>
        <w:tblCellMar>
          <w:top w:w="28" w:type="dxa"/>
          <w:left w:w="28" w:type="dxa"/>
          <w:bottom w:w="28" w:type="dxa"/>
          <w:right w:w="28" w:type="dxa"/>
        </w:tblCellMar>
      </w:tblPr>
      <w:tblGrid>
        <w:gridCol w:w="2145"/>
        <w:gridCol w:w="1891"/>
        <w:gridCol w:w="1899"/>
        <w:gridCol w:w="240"/>
        <w:gridCol w:w="841"/>
        <w:gridCol w:w="109"/>
        <w:gridCol w:w="109"/>
        <w:gridCol w:w="109"/>
        <w:gridCol w:w="109"/>
        <w:gridCol w:w="240"/>
        <w:gridCol w:w="841"/>
        <w:gridCol w:w="109"/>
        <w:gridCol w:w="109"/>
        <w:gridCol w:w="109"/>
        <w:gridCol w:w="109"/>
        <w:gridCol w:w="244"/>
        <w:gridCol w:w="837"/>
        <w:gridCol w:w="155"/>
      </w:tblGrid>
      <w:tr>
        <w:trPr/>
        <w:tc>
          <w:tcPr>
            <w:tcW w:w="2145"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189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7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5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income (loss) per share:</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83,577,375 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82,855,392 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81,447,998 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effect of dilutive stock options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effect of dilutive stock awards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1,004,181 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5"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83,577,375 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82,855,392 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82,681,214 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weighted shares outstanding of potential common stock were excluded from the computation of diluted income (loss) per share for the periods presented because including them would have been anti-dilutive:</w:t>
      </w:r>
    </w:p>
    <w:tbl>
      <w:tblPr>
        <w:tblW w:w="6129" w:type="dxa"/>
        <w:jc w:val="left"/>
        <w:tblInd w:w="0" w:type="dxa"/>
        <w:tblCellMar>
          <w:top w:w="28" w:type="dxa"/>
          <w:left w:w="28" w:type="dxa"/>
          <w:bottom w:w="28" w:type="dxa"/>
          <w:right w:w="28" w:type="dxa"/>
        </w:tblCellMar>
      </w:tblPr>
      <w:tblGrid>
        <w:gridCol w:w="764"/>
        <w:gridCol w:w="673"/>
        <w:gridCol w:w="678"/>
        <w:gridCol w:w="487"/>
        <w:gridCol w:w="489"/>
        <w:gridCol w:w="156"/>
        <w:gridCol w:w="136"/>
        <w:gridCol w:w="136"/>
        <w:gridCol w:w="136"/>
        <w:gridCol w:w="488"/>
        <w:gridCol w:w="488"/>
        <w:gridCol w:w="156"/>
        <w:gridCol w:w="136"/>
        <w:gridCol w:w="136"/>
        <w:gridCol w:w="136"/>
        <w:gridCol w:w="360"/>
        <w:gridCol w:w="361"/>
        <w:gridCol w:w="213"/>
      </w:tblGrid>
      <w:tr>
        <w:trPr/>
        <w:tc>
          <w:tcPr>
            <w:tcW w:w="764"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1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2,737,597 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2,559,214 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44,196 </w:t>
            </w:r>
          </w:p>
        </w:tc>
        <w:tc>
          <w:tcPr>
            <w:tcW w:w="21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diluted net income per share, if applicable. The conversion spread will have a dilutive impact on net income (loss) per share of common stock when the average market price of the Company’s common stock for a given quarterly period exceeds the conversion price of $113.75 per share for the Convertible Senior Notes. In fiscal year 2021, the average market price of the Company’s common stock exceeded the conversion price only in the second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6. Convertible Senior Notes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are unsecured obligations of the Company and interest is payable semi-annually in arrears at a rate of 1.25% per year, on March 15th and September 15th of each year.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value of the liability component, unamortized debt discount and unamortized debt issuance costs of the Convertible Senior Notes was as follows (in thousands):</w:t>
      </w:r>
    </w:p>
    <w:tbl>
      <w:tblPr>
        <w:tblW w:w="4646" w:type="dxa"/>
        <w:jc w:val="left"/>
        <w:tblInd w:w="0" w:type="dxa"/>
        <w:tblCellMar>
          <w:top w:w="28" w:type="dxa"/>
          <w:left w:w="28" w:type="dxa"/>
          <w:bottom w:w="28" w:type="dxa"/>
          <w:right w:w="28" w:type="dxa"/>
        </w:tblCellMar>
      </w:tblPr>
      <w:tblGrid>
        <w:gridCol w:w="646"/>
        <w:gridCol w:w="566"/>
        <w:gridCol w:w="573"/>
        <w:gridCol w:w="229"/>
        <w:gridCol w:w="898"/>
        <w:gridCol w:w="118"/>
        <w:gridCol w:w="109"/>
        <w:gridCol w:w="109"/>
        <w:gridCol w:w="109"/>
        <w:gridCol w:w="228"/>
        <w:gridCol w:w="895"/>
        <w:gridCol w:w="166"/>
      </w:tblGrid>
      <w:tr>
        <w:trPr/>
        <w:tc>
          <w:tcPr>
            <w:tcW w:w="64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2020</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w:t>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343,825 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330,208 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of the liability is 5.53%. The following table sets forth the interest expense recognized related to the Convertible Senior Notes (in thousands):</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tbl>
      <w:tblPr>
        <w:tblW w:w="6821" w:type="dxa"/>
        <w:jc w:val="center"/>
        <w:tblInd w:w="0" w:type="dxa"/>
        <w:tblCellMar>
          <w:top w:w="28" w:type="dxa"/>
          <w:left w:w="28" w:type="dxa"/>
          <w:bottom w:w="28" w:type="dxa"/>
          <w:right w:w="28" w:type="dxa"/>
        </w:tblCellMar>
      </w:tblPr>
      <w:tblGrid>
        <w:gridCol w:w="1085"/>
        <w:gridCol w:w="954"/>
        <w:gridCol w:w="960"/>
        <w:gridCol w:w="211"/>
        <w:gridCol w:w="721"/>
        <w:gridCol w:w="109"/>
        <w:gridCol w:w="109"/>
        <w:gridCol w:w="109"/>
        <w:gridCol w:w="109"/>
        <w:gridCol w:w="211"/>
        <w:gridCol w:w="721"/>
        <w:gridCol w:w="109"/>
        <w:gridCol w:w="109"/>
        <w:gridCol w:w="109"/>
        <w:gridCol w:w="109"/>
        <w:gridCol w:w="211"/>
        <w:gridCol w:w="721"/>
        <w:gridCol w:w="154"/>
      </w:tblGrid>
      <w:tr>
        <w:trPr/>
        <w:tc>
          <w:tcPr>
            <w:tcW w:w="108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years ended July 31,</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Capped Call</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in the period purchased as a reduction of the Company’s additional paid-in capital in the accompanying consolidated balance sheets.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7" w:before="0" w:after="0"/>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operating lease costs were as follows (in thousands):</w:t>
      </w:r>
    </w:p>
    <w:tbl>
      <w:tblPr>
        <w:tblW w:w="4726" w:type="dxa"/>
        <w:jc w:val="left"/>
        <w:tblInd w:w="0" w:type="dxa"/>
        <w:tblCellMar>
          <w:top w:w="28" w:type="dxa"/>
          <w:left w:w="28" w:type="dxa"/>
          <w:bottom w:w="28" w:type="dxa"/>
          <w:right w:w="28" w:type="dxa"/>
        </w:tblCellMar>
      </w:tblPr>
      <w:tblGrid>
        <w:gridCol w:w="743"/>
        <w:gridCol w:w="653"/>
        <w:gridCol w:w="658"/>
        <w:gridCol w:w="211"/>
        <w:gridCol w:w="721"/>
        <w:gridCol w:w="109"/>
        <w:gridCol w:w="109"/>
        <w:gridCol w:w="109"/>
        <w:gridCol w:w="109"/>
        <w:gridCol w:w="211"/>
        <w:gridCol w:w="721"/>
        <w:gridCol w:w="109"/>
        <w:gridCol w:w="109"/>
        <w:gridCol w:w="154"/>
      </w:tblGrid>
      <w:tr>
        <w:trPr/>
        <w:tc>
          <w:tcPr>
            <w:tcW w:w="74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years ended July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08"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lease cost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both"/>
        <w:rPr>
          <w:rFonts w:ascii="Times New Roman;sans-serif" w:hAnsi="Times New Roman;sans-serif"/>
          <w:b w:val="false"/>
          <w:color w:val="000000"/>
          <w:sz w:val="13"/>
        </w:rPr>
      </w:pPr>
      <w:r>
        <w:rPr>
          <w:rFonts w:ascii="Times New Roman;sans-serif" w:hAnsi="Times New Roman;sans-serif"/>
          <w:b w:val="false"/>
          <w:color w:val="000000"/>
          <w:sz w:val="13"/>
        </w:rPr>
        <w:t>(1) Lease expense for leases with an initial term of 12 months or less is excluded from the table above and was $1.0 million and $0.9 million for the fiscal years ended July 31, 2021 and 2020, respectively.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Lease expense for all worldwide facilities and equipment based on the previous lease accounting standards, which was recognized on a straight-line basis over the terms of the various leases, was $15.5 million in fiscal year 2019.</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Future operating lease payments as of July 31, 2021 were as follows (in thousands):</w:t>
      </w:r>
    </w:p>
    <w:tbl>
      <w:tblPr>
        <w:tblW w:w="3794" w:type="dxa"/>
        <w:jc w:val="left"/>
        <w:tblInd w:w="0" w:type="dxa"/>
        <w:tblCellMar>
          <w:top w:w="28" w:type="dxa"/>
          <w:left w:w="28" w:type="dxa"/>
          <w:bottom w:w="28" w:type="dxa"/>
          <w:right w:w="28" w:type="dxa"/>
        </w:tblCellMar>
      </w:tblPr>
      <w:tblGrid>
        <w:gridCol w:w="863"/>
        <w:gridCol w:w="759"/>
        <w:gridCol w:w="763"/>
        <w:gridCol w:w="211"/>
        <w:gridCol w:w="826"/>
        <w:gridCol w:w="109"/>
        <w:gridCol w:w="109"/>
        <w:gridCol w:w="154"/>
      </w:tblGrid>
      <w:tr>
        <w:trPr/>
        <w:tc>
          <w:tcPr>
            <w:tcW w:w="86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July 31,</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 balance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126,998 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operating leases was as follows (in thousands, except for lease term and discount rate):</w:t>
      </w:r>
    </w:p>
    <w:tbl>
      <w:tblPr>
        <w:tblW w:w="6423" w:type="dxa"/>
        <w:jc w:val="left"/>
        <w:tblInd w:w="0" w:type="dxa"/>
        <w:tblCellMar>
          <w:top w:w="28" w:type="dxa"/>
          <w:left w:w="28" w:type="dxa"/>
          <w:bottom w:w="28" w:type="dxa"/>
          <w:right w:w="28" w:type="dxa"/>
        </w:tblCellMar>
      </w:tblPr>
      <w:tblGrid>
        <w:gridCol w:w="1412"/>
        <w:gridCol w:w="1240"/>
        <w:gridCol w:w="1248"/>
        <w:gridCol w:w="249"/>
        <w:gridCol w:w="262"/>
        <w:gridCol w:w="559"/>
        <w:gridCol w:w="109"/>
        <w:gridCol w:w="109"/>
        <w:gridCol w:w="109"/>
        <w:gridCol w:w="255"/>
        <w:gridCol w:w="256"/>
        <w:gridCol w:w="615"/>
      </w:tblGrid>
      <w:tr>
        <w:trPr/>
        <w:tc>
          <w:tcPr>
            <w:tcW w:w="1412"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July 31,</w:t>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103,797</w:t>
            </w:r>
          </w:p>
        </w:tc>
      </w:tr>
      <w:tr>
        <w:trPr/>
        <w:tc>
          <w:tcPr>
            <w:tcW w:w="3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1070" w:type="dxa"/>
            <w:gridSpan w:val="3"/>
            <w:tcBorders/>
            <w:shd w:fill="CCEEFF" w:val="clear"/>
            <w:tcMar>
              <w:top w:w="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lease liabilities</w:t>
            </w:r>
          </w:p>
        </w:tc>
        <w:tc>
          <w:tcPr>
            <w:tcW w:w="1070" w:type="dxa"/>
            <w:gridSpan w:val="3"/>
            <w:tcBorders/>
            <w:shd w:fill="FFFFFF" w:val="clear"/>
            <w:tcMar>
              <w:top w:w="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199" w:before="0" w:after="283"/>
              <w:ind w:left="0" w:right="0" w:firstLine="180"/>
              <w:jc w:val="right"/>
              <w:rPr>
                <w:rFonts w:ascii="Times New Roman;sans-serif" w:hAnsi="Times New Roman;sans-serif"/>
                <w:b w:val="false"/>
                <w:color w:val="000000"/>
                <w:sz w:val="20"/>
              </w:rPr>
            </w:pPr>
            <w:r>
              <w:rPr>
                <w:rFonts w:ascii="Times New Roman;sans-serif" w:hAnsi="Times New Roman;sans-serif"/>
                <w:b w:val="false"/>
                <w:color w:val="000000"/>
                <w:sz w:val="20"/>
              </w:rPr>
              <w:t>119,408</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130,344</w:t>
            </w:r>
          </w:p>
        </w:tc>
      </w:tr>
      <w:tr>
        <w:trPr/>
        <w:tc>
          <w:tcPr>
            <w:tcW w:w="3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070" w:type="dxa"/>
            <w:gridSpan w:val="3"/>
            <w:tcBorders/>
            <w:shd w:fill="CCEEFF" w:val="clear"/>
            <w:tcMar>
              <w:top w:w="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199" w:before="0" w:after="283"/>
              <w:ind w:left="0" w:right="0" w:firstLine="90"/>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559" w:type="dxa"/>
            <w:tcBorders/>
            <w:shd w:fill="FFFFFF" w:val="clear"/>
            <w:tcMar>
              <w:top w:w="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615" w:type="dxa"/>
            <w:tcBorders/>
            <w:shd w:fill="FFFFFF" w:val="clear"/>
            <w:tcMar>
              <w:top w:w="0" w:type="dxa"/>
              <w:left w:w="0" w:type="dxa"/>
              <w:bottom w:w="0" w:type="dxa"/>
              <w:right w:w="0" w:type="dxa"/>
            </w:tcMar>
            <w:vAlign w:val="center"/>
          </w:tcPr>
          <w:p>
            <w:pPr>
              <w:pStyle w:val="TableContents"/>
              <w:spacing w:lineRule="auto" w:line="19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36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and non-cash information related to operating leases was as follows (in thousands):</w:t>
      </w:r>
    </w:p>
    <w:p>
      <w:pPr>
        <w:pStyle w:val="TextBody"/>
        <w:spacing w:before="0" w:after="0"/>
        <w:ind w:left="0" w:right="0" w:firstLine="360"/>
        <w:rPr/>
      </w:pPr>
      <w:r>
        <w:rPr/>
      </w:r>
    </w:p>
    <w:tbl>
      <w:tblPr>
        <w:tblW w:w="8732" w:type="dxa"/>
        <w:jc w:val="left"/>
        <w:tblInd w:w="0" w:type="dxa"/>
        <w:tblCellMar>
          <w:top w:w="28" w:type="dxa"/>
          <w:left w:w="28" w:type="dxa"/>
          <w:bottom w:w="28" w:type="dxa"/>
          <w:right w:w="28" w:type="dxa"/>
        </w:tblCellMar>
      </w:tblPr>
      <w:tblGrid>
        <w:gridCol w:w="2192"/>
        <w:gridCol w:w="1931"/>
        <w:gridCol w:w="1937"/>
        <w:gridCol w:w="211"/>
        <w:gridCol w:w="721"/>
        <w:gridCol w:w="109"/>
        <w:gridCol w:w="109"/>
        <w:gridCol w:w="109"/>
        <w:gridCol w:w="109"/>
        <w:gridCol w:w="211"/>
        <w:gridCol w:w="721"/>
        <w:gridCol w:w="109"/>
        <w:gridCol w:w="109"/>
        <w:gridCol w:w="154"/>
      </w:tblGrid>
      <w:tr>
        <w:trPr/>
        <w:tc>
          <w:tcPr>
            <w:tcW w:w="2192"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years ended July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operating leases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obtained in exchange for operating lease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8. Commitments and Contingencies</w:t>
      </w:r>
    </w:p>
    <w:p>
      <w:pPr>
        <w:pStyle w:val="TextBody"/>
        <w:spacing w:lineRule="auto" w:line="288" w:before="280" w:after="283"/>
        <w:ind w:left="0" w:right="0" w:firstLine="225"/>
        <w:rPr>
          <w:rFonts w:ascii="Times New Roman;sans-serif" w:hAnsi="Times New Roman;sans-serif"/>
          <w:b w:val="false"/>
          <w:color w:val="000000"/>
          <w:sz w:val="20"/>
        </w:rPr>
      </w:pPr>
      <w:r>
        <w:rPr>
          <w:rFonts w:ascii="Times New Roman;sans-serif" w:hAnsi="Times New Roman;sans-serif"/>
          <w:b w:val="false"/>
          <w:color w:val="000000"/>
          <w:sz w:val="20"/>
        </w:rPr>
        <w:t>The Company’s contractual obligations and commitments as of July 31, 2021 are as follows (in thousands):</w:t>
      </w:r>
    </w:p>
    <w:tbl>
      <w:tblPr>
        <w:tblW w:w="10205" w:type="dxa"/>
        <w:jc w:val="left"/>
        <w:tblInd w:w="0" w:type="dxa"/>
        <w:tblCellMar>
          <w:top w:w="28" w:type="dxa"/>
          <w:left w:w="28" w:type="dxa"/>
          <w:bottom w:w="28" w:type="dxa"/>
          <w:right w:w="28" w:type="dxa"/>
        </w:tblCellMar>
      </w:tblPr>
      <w:tblGrid>
        <w:gridCol w:w="599"/>
        <w:gridCol w:w="397"/>
        <w:gridCol w:w="400"/>
        <w:gridCol w:w="109"/>
        <w:gridCol w:w="109"/>
        <w:gridCol w:w="109"/>
        <w:gridCol w:w="246"/>
        <w:gridCol w:w="965"/>
        <w:gridCol w:w="127"/>
        <w:gridCol w:w="109"/>
        <w:gridCol w:w="109"/>
        <w:gridCol w:w="109"/>
        <w:gridCol w:w="312"/>
        <w:gridCol w:w="912"/>
        <w:gridCol w:w="162"/>
        <w:gridCol w:w="109"/>
        <w:gridCol w:w="109"/>
        <w:gridCol w:w="109"/>
        <w:gridCol w:w="296"/>
        <w:gridCol w:w="1162"/>
        <w:gridCol w:w="155"/>
        <w:gridCol w:w="109"/>
        <w:gridCol w:w="109"/>
        <w:gridCol w:w="109"/>
        <w:gridCol w:w="239"/>
        <w:gridCol w:w="939"/>
        <w:gridCol w:w="123"/>
        <w:gridCol w:w="109"/>
        <w:gridCol w:w="109"/>
        <w:gridCol w:w="109"/>
        <w:gridCol w:w="211"/>
        <w:gridCol w:w="826"/>
        <w:gridCol w:w="499"/>
      </w:tblGrid>
      <w:tr>
        <w:trPr/>
        <w:tc>
          <w:tcPr>
            <w:tcW w:w="59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Lease Obligations</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Royalty Obligations</w:t>
            </w:r>
            <w:r>
              <w:rPr>
                <w:rFonts w:ascii="Times New Roman;sans-serif" w:hAnsi="Times New Roman;sans-serif"/>
                <w:b/>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Purchase Commitments</w:t>
            </w:r>
            <w:r>
              <w:rPr>
                <w:rFonts w:ascii="Times New Roman;sans-serif" w:hAnsi="Times New Roman;sans-serif"/>
                <w:b/>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Long Term Debt</w:t>
            </w:r>
            <w:r>
              <w:rPr>
                <w:rFonts w:ascii="Times New Roman;sans-serif" w:hAnsi="Times New Roman;sans-serif"/>
                <w:b/>
                <w:color w:val="000000"/>
                <w:sz w:val="13"/>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Fiscal Year Ending July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115,659 </w:t>
            </w:r>
          </w:p>
        </w:tc>
        <w:tc>
          <w:tcPr>
            <w:tcW w:w="499"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16,679 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58,545 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80,990 </w:t>
            </w:r>
          </w:p>
        </w:tc>
        <w:tc>
          <w:tcPr>
            <w:tcW w:w="499" w:type="dxa"/>
            <w:tcBorders/>
            <w:shd w:fill="auto"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57,958 </w:t>
            </w:r>
          </w:p>
        </w:tc>
        <w:tc>
          <w:tcPr>
            <w:tcW w:w="499"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16,943 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405,000 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427,598 </w:t>
            </w:r>
          </w:p>
        </w:tc>
        <w:tc>
          <w:tcPr>
            <w:tcW w:w="499" w:type="dxa"/>
            <w:tcBorders/>
            <w:shd w:fill="auto"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17,281 </w:t>
            </w:r>
          </w:p>
        </w:tc>
        <w:tc>
          <w:tcPr>
            <w:tcW w:w="499"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68,481 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68,481 </w:t>
            </w:r>
          </w:p>
        </w:tc>
        <w:tc>
          <w:tcPr>
            <w:tcW w:w="499" w:type="dxa"/>
            <w:tcBorders/>
            <w:shd w:fill="auto" w:val="clear"/>
            <w:tcMar>
              <w:top w:w="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767,967 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ind w:left="0" w:right="0" w:hanging="18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Lease obligations primarily represent payments required under the Company’s non-cancellable lease agreements for the Company’s corporate headquarters and worldwide offices through 2032. </w:t>
      </w:r>
    </w:p>
    <w:p>
      <w:pPr>
        <w:pStyle w:val="TextBody"/>
        <w:spacing w:lineRule="auto" w:line="288" w:before="280" w:after="283"/>
        <w:ind w:left="0" w:right="0" w:hanging="18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Royalty obligations primarily represent the Company’s obligations under non-cancellable agreements related to software used in certain revenue-generating agreements.</w:t>
      </w:r>
    </w:p>
    <w:p>
      <w:pPr>
        <w:pStyle w:val="TextBody"/>
        <w:spacing w:lineRule="auto" w:line="288" w:before="280" w:after="283"/>
        <w:ind w:left="0" w:right="0" w:hanging="180"/>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Purchase commitments consisted of commitments to purchase goods and services, entered into in the ordinary course of business, for which a penalty could be imposed if the agreement was cancelled for any reason other than an event of default as described by the agreement.</w:t>
      </w:r>
    </w:p>
    <w:p>
      <w:pPr>
        <w:pStyle w:val="TextBody"/>
        <w:spacing w:lineRule="auto" w:line="288" w:before="280" w:after="283"/>
        <w:ind w:left="0" w:right="0" w:hanging="180"/>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Long-term debt consists of principal and interest payments on the Company’s Convertible Senior Notes. The $400 million in principal will be due in March 2025. </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legal proceedings and receives claims, arising from the normal course of business activities. The Company has not recorded any accrual for claims as of July 31, 2021 and 2020, respectively. The Company has not accrued for estimated losses in the accompanying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pStyle w:val="TextBody"/>
        <w:spacing w:lineRule="auto" w:line="288" w:before="2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judgements, settlements, fines, penalties, costs, and expenses resulting from a claim (“Losses”) against the customer in the event the Company’s software is found to infringe upon such third-party rights.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had to reimburse any of its customers for Losses related to indemnification provisions and no material claims against the Company were outstanding as of July 31, 2021 and 2020.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agreed to indemnify its directors and executive officers for costs associated with any fees, expenses, judgments, fines, and settlement amounts incurred by any of these persons in any action or proceeding to which any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9. Stock-Based Compensation Expense and Shareholders’ Equity</w:t>
      </w:r>
    </w:p>
    <w:p>
      <w:pPr>
        <w:pStyle w:val="TextBody"/>
        <w:spacing w:lineRule="auto" w:line="288" w:before="28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options and Stock Awards is included in the Company’s consolidated statements of operations as follows (in thousands):</w:t>
      </w:r>
    </w:p>
    <w:tbl>
      <w:tblPr>
        <w:tblW w:w="8142" w:type="dxa"/>
        <w:jc w:val="left"/>
        <w:tblInd w:w="0" w:type="dxa"/>
        <w:tblCellMar>
          <w:top w:w="28" w:type="dxa"/>
          <w:left w:w="28" w:type="dxa"/>
          <w:bottom w:w="28" w:type="dxa"/>
          <w:right w:w="28" w:type="dxa"/>
        </w:tblCellMar>
      </w:tblPr>
      <w:tblGrid>
        <w:gridCol w:w="1489"/>
        <w:gridCol w:w="1307"/>
        <w:gridCol w:w="1314"/>
        <w:gridCol w:w="211"/>
        <w:gridCol w:w="826"/>
        <w:gridCol w:w="109"/>
        <w:gridCol w:w="109"/>
        <w:gridCol w:w="109"/>
        <w:gridCol w:w="109"/>
        <w:gridCol w:w="211"/>
        <w:gridCol w:w="826"/>
        <w:gridCol w:w="109"/>
        <w:gridCol w:w="109"/>
        <w:gridCol w:w="109"/>
        <w:gridCol w:w="109"/>
        <w:gridCol w:w="211"/>
        <w:gridCol w:w="721"/>
        <w:gridCol w:w="154"/>
      </w:tblGrid>
      <w:tr>
        <w:trPr/>
        <w:tc>
          <w:tcPr>
            <w:tcW w:w="1489"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impact of deferred stock-based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42" w:type="dxa"/>
            <w:gridSpan w:val="18"/>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included in the following categories:</w:t>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support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license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net of tax effect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80" w:after="283"/>
        <w:ind w:left="0" w:right="0" w:firstLine="450"/>
        <w:jc w:val="both"/>
        <w:rPr/>
      </w:pPr>
      <w:r>
        <w:rPr/>
      </w:r>
    </w:p>
    <w:p>
      <w:pPr>
        <w:pStyle w:val="TextBody"/>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as of July 31, 2021 related to Stock Awards is $220.3 million, that will be recognized over a weighted averaged period of 2.4 years.</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Stock Awards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Awards activity under the Company’s equity incentive plans is as follows:</w:t>
      </w:r>
    </w:p>
    <w:tbl>
      <w:tblPr>
        <w:tblW w:w="10205" w:type="dxa"/>
        <w:jc w:val="center"/>
        <w:tblInd w:w="0" w:type="dxa"/>
        <w:tblCellMar>
          <w:top w:w="28" w:type="dxa"/>
          <w:left w:w="28" w:type="dxa"/>
          <w:bottom w:w="28" w:type="dxa"/>
          <w:right w:w="28" w:type="dxa"/>
        </w:tblCellMar>
      </w:tblPr>
      <w:tblGrid>
        <w:gridCol w:w="1006"/>
        <w:gridCol w:w="870"/>
        <w:gridCol w:w="877"/>
        <w:gridCol w:w="644"/>
        <w:gridCol w:w="604"/>
        <w:gridCol w:w="591"/>
        <w:gridCol w:w="109"/>
        <w:gridCol w:w="109"/>
        <w:gridCol w:w="109"/>
        <w:gridCol w:w="583"/>
        <w:gridCol w:w="1994"/>
        <w:gridCol w:w="301"/>
        <w:gridCol w:w="109"/>
        <w:gridCol w:w="109"/>
        <w:gridCol w:w="109"/>
        <w:gridCol w:w="348"/>
        <w:gridCol w:w="1364"/>
        <w:gridCol w:w="369"/>
      </w:tblGrid>
      <w:tr>
        <w:trPr/>
        <w:tc>
          <w:tcPr>
            <w:tcW w:w="100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r>
      <w:tr>
        <w:trPr/>
        <w:tc>
          <w:tcPr>
            <w:tcW w:w="2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 Outstanding</w:t>
            </w:r>
          </w:p>
        </w:tc>
      </w:tr>
      <w:tr>
        <w:trPr/>
        <w:tc>
          <w:tcPr>
            <w:tcW w:w="2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Stock Awards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color w:val="000000"/>
              </w:rPr>
              <w:t> </w:t>
            </w:r>
            <w:r>
              <w:rPr>
                <w:rFonts w:ascii="Times New Roman;sans-serif" w:hAnsi="Times New Roman;sans-serif"/>
                <w:b/>
                <w:color w:val="000000"/>
                <w:sz w:val="16"/>
              </w:rPr>
              <w:t>Aggregate Intrinsic Value</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53" w:type="dxa"/>
            <w:gridSpan w:val="3"/>
            <w:tcBorders/>
            <w:shd w:fill="auto" w:val="clear"/>
            <w:vAlign w:val="center"/>
          </w:tcPr>
          <w:p>
            <w:pPr>
              <w:pStyle w:val="TableContents"/>
              <w:spacing w:before="0" w:after="283"/>
              <w:rPr>
                <w:sz w:val="4"/>
                <w:szCs w:val="4"/>
              </w:rPr>
            </w:pPr>
            <w:r>
              <w:rPr>
                <w:sz w:val="4"/>
                <w:szCs w:val="4"/>
              </w:rPr>
            </w:r>
          </w:p>
        </w:tc>
        <w:tc>
          <w:tcPr>
            <w:tcW w:w="1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1" w:type="dxa"/>
            <w:gridSpan w:val="3"/>
            <w:tcBorders/>
            <w:shd w:fill="auto" w:val="clear"/>
            <w:vAlign w:val="center"/>
          </w:tcPr>
          <w:p>
            <w:pPr>
              <w:pStyle w:val="TableContents"/>
              <w:spacing w:before="0" w:after="283"/>
              <w:rPr>
                <w:sz w:val="4"/>
                <w:szCs w:val="4"/>
              </w:rPr>
            </w:pPr>
            <w:r>
              <w:rPr>
                <w:sz w:val="4"/>
                <w:szCs w:val="4"/>
              </w:rPr>
            </w:r>
          </w:p>
        </w:tc>
      </w:tr>
      <w:tr>
        <w:trPr/>
        <w:tc>
          <w:tcPr>
            <w:tcW w:w="2753" w:type="dxa"/>
            <w:gridSpan w:val="3"/>
            <w:tcBorders/>
            <w:shd w:fill="auto" w:val="clear"/>
            <w:vAlign w:val="center"/>
          </w:tcPr>
          <w:p>
            <w:pPr>
              <w:pStyle w:val="TableContents"/>
              <w:spacing w:before="0" w:after="283"/>
              <w:rPr>
                <w:sz w:val="4"/>
                <w:szCs w:val="4"/>
              </w:rPr>
            </w:pPr>
            <w:r>
              <w:rPr>
                <w:sz w:val="4"/>
                <w:szCs w:val="4"/>
              </w:rPr>
            </w:r>
          </w:p>
        </w:tc>
        <w:tc>
          <w:tcPr>
            <w:tcW w:w="1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1" w:type="dxa"/>
            <w:gridSpan w:val="3"/>
            <w:tcBorders/>
            <w:shd w:fill="auto" w:val="clear"/>
            <w:vAlign w:val="center"/>
          </w:tcPr>
          <w:p>
            <w:pPr>
              <w:pStyle w:val="TableContents"/>
              <w:spacing w:before="0" w:after="283"/>
              <w:rPr>
                <w:sz w:val="4"/>
                <w:szCs w:val="4"/>
              </w:rPr>
            </w:pPr>
            <w:r>
              <w:rPr>
                <w:sz w:val="4"/>
                <w:szCs w:val="4"/>
              </w:rPr>
            </w:r>
          </w:p>
        </w:tc>
      </w:tr>
      <w:tr>
        <w:trPr/>
        <w:tc>
          <w:tcPr>
            <w:tcW w:w="2753" w:type="dxa"/>
            <w:gridSpan w:val="3"/>
            <w:tcBorders/>
            <w:shd w:fill="auto" w:val="clear"/>
            <w:vAlign w:val="center"/>
          </w:tcPr>
          <w:p>
            <w:pPr>
              <w:pStyle w:val="TableContents"/>
              <w:spacing w:before="0" w:after="283"/>
              <w:rPr>
                <w:sz w:val="4"/>
                <w:szCs w:val="4"/>
              </w:rPr>
            </w:pPr>
            <w:r>
              <w:rPr>
                <w:sz w:val="4"/>
                <w:szCs w:val="4"/>
              </w:rPr>
            </w:r>
          </w:p>
        </w:tc>
        <w:tc>
          <w:tcPr>
            <w:tcW w:w="1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1" w:type="dxa"/>
            <w:gridSpan w:val="3"/>
            <w:tcBorders/>
            <w:shd w:fill="auto" w:val="clear"/>
            <w:vAlign w:val="center"/>
          </w:tcPr>
          <w:p>
            <w:pPr>
              <w:pStyle w:val="TableContents"/>
              <w:spacing w:before="0" w:after="283"/>
              <w:rPr>
                <w:sz w:val="4"/>
                <w:szCs w:val="4"/>
              </w:rPr>
            </w:pPr>
            <w:r>
              <w:rPr>
                <w:sz w:val="4"/>
                <w:szCs w:val="4"/>
              </w:rPr>
            </w:r>
          </w:p>
        </w:tc>
      </w:tr>
      <w:tr>
        <w:trPr/>
        <w:tc>
          <w:tcPr>
            <w:tcW w:w="2753" w:type="dxa"/>
            <w:gridSpan w:val="3"/>
            <w:tcBorders/>
            <w:shd w:fill="auto" w:val="clear"/>
            <w:vAlign w:val="center"/>
          </w:tcPr>
          <w:p>
            <w:pPr>
              <w:pStyle w:val="TableContents"/>
              <w:spacing w:before="0" w:after="283"/>
              <w:rPr>
                <w:sz w:val="4"/>
                <w:szCs w:val="4"/>
              </w:rPr>
            </w:pPr>
            <w:r>
              <w:rPr>
                <w:sz w:val="4"/>
                <w:szCs w:val="4"/>
              </w:rPr>
            </w:r>
          </w:p>
        </w:tc>
        <w:tc>
          <w:tcPr>
            <w:tcW w:w="1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1" w:type="dxa"/>
            <w:gridSpan w:val="3"/>
            <w:tcBorders/>
            <w:shd w:fill="auto" w:val="clear"/>
            <w:vAlign w:val="center"/>
          </w:tcPr>
          <w:p>
            <w:pPr>
              <w:pStyle w:val="TableContents"/>
              <w:spacing w:before="0" w:after="283"/>
              <w:rPr>
                <w:sz w:val="4"/>
                <w:szCs w:val="4"/>
              </w:rPr>
            </w:pPr>
            <w:r>
              <w:rPr>
                <w:sz w:val="4"/>
                <w:szCs w:val="4"/>
              </w:rPr>
            </w:r>
          </w:p>
        </w:tc>
      </w:tr>
      <w:tr>
        <w:trPr/>
        <w:tc>
          <w:tcPr>
            <w:tcW w:w="2753" w:type="dxa"/>
            <w:gridSpan w:val="3"/>
            <w:tcBorders/>
            <w:shd w:fill="auto" w:val="clear"/>
            <w:vAlign w:val="center"/>
          </w:tcPr>
          <w:p>
            <w:pPr>
              <w:pStyle w:val="TableContents"/>
              <w:spacing w:before="0" w:after="283"/>
              <w:rPr>
                <w:sz w:val="4"/>
                <w:szCs w:val="4"/>
              </w:rPr>
            </w:pPr>
            <w:r>
              <w:rPr>
                <w:sz w:val="4"/>
                <w:szCs w:val="4"/>
              </w:rPr>
            </w:r>
          </w:p>
        </w:tc>
        <w:tc>
          <w:tcPr>
            <w:tcW w:w="1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1" w:type="dxa"/>
            <w:gridSpan w:val="3"/>
            <w:tcBorders/>
            <w:shd w:fill="auto" w:val="clear"/>
            <w:vAlign w:val="center"/>
          </w:tcPr>
          <w:p>
            <w:pPr>
              <w:pStyle w:val="TableContents"/>
              <w:spacing w:before="0" w:after="283"/>
              <w:rPr>
                <w:sz w:val="4"/>
                <w:szCs w:val="4"/>
              </w:rPr>
            </w:pPr>
            <w:r>
              <w:rPr>
                <w:sz w:val="4"/>
                <w:szCs w:val="4"/>
              </w:rPr>
            </w:r>
          </w:p>
        </w:tc>
      </w:tr>
      <w:tr>
        <w:trPr/>
        <w:tc>
          <w:tcPr>
            <w:tcW w:w="2753" w:type="dxa"/>
            <w:gridSpan w:val="3"/>
            <w:tcBorders/>
            <w:shd w:fill="auto" w:val="clear"/>
            <w:vAlign w:val="center"/>
          </w:tcPr>
          <w:p>
            <w:pPr>
              <w:pStyle w:val="TableContents"/>
              <w:spacing w:before="0" w:after="283"/>
              <w:rPr>
                <w:sz w:val="4"/>
                <w:szCs w:val="4"/>
              </w:rPr>
            </w:pPr>
            <w:r>
              <w:rPr>
                <w:sz w:val="4"/>
                <w:szCs w:val="4"/>
              </w:rPr>
            </w:r>
          </w:p>
        </w:tc>
        <w:tc>
          <w:tcPr>
            <w:tcW w:w="1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1" w:type="dxa"/>
            <w:gridSpan w:val="3"/>
            <w:tcBorders/>
            <w:shd w:fill="auto" w:val="clear"/>
            <w:vAlign w:val="center"/>
          </w:tcPr>
          <w:p>
            <w:pPr>
              <w:pStyle w:val="TableContents"/>
              <w:spacing w:before="0" w:after="283"/>
              <w:rPr>
                <w:sz w:val="4"/>
                <w:szCs w:val="4"/>
              </w:rPr>
            </w:pPr>
            <w:r>
              <w:rPr>
                <w:sz w:val="4"/>
                <w:szCs w:val="4"/>
              </w:rPr>
            </w:r>
          </w:p>
        </w:tc>
      </w:tr>
      <w:tr>
        <w:trPr/>
        <w:tc>
          <w:tcPr>
            <w:tcW w:w="2753" w:type="dxa"/>
            <w:gridSpan w:val="3"/>
            <w:tcBorders/>
            <w:shd w:fill="auto" w:val="clear"/>
            <w:vAlign w:val="center"/>
          </w:tcPr>
          <w:p>
            <w:pPr>
              <w:pStyle w:val="TableContents"/>
              <w:spacing w:before="0" w:after="283"/>
              <w:rPr>
                <w:sz w:val="4"/>
                <w:szCs w:val="4"/>
              </w:rPr>
            </w:pPr>
            <w:r>
              <w:rPr>
                <w:sz w:val="4"/>
                <w:szCs w:val="4"/>
              </w:rPr>
            </w:r>
          </w:p>
        </w:tc>
        <w:tc>
          <w:tcPr>
            <w:tcW w:w="1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1" w:type="dxa"/>
            <w:gridSpan w:val="3"/>
            <w:tcBorders/>
            <w:shd w:fill="auto" w:val="clear"/>
            <w:vAlign w:val="center"/>
          </w:tcPr>
          <w:p>
            <w:pPr>
              <w:pStyle w:val="TableContents"/>
              <w:spacing w:before="0" w:after="283"/>
              <w:rPr>
                <w:sz w:val="4"/>
                <w:szCs w:val="4"/>
              </w:rPr>
            </w:pPr>
            <w:r>
              <w:rPr>
                <w:sz w:val="4"/>
                <w:szCs w:val="4"/>
              </w:rPr>
            </w:r>
          </w:p>
        </w:tc>
      </w:tr>
      <w:tr>
        <w:trPr/>
        <w:tc>
          <w:tcPr>
            <w:tcW w:w="2753" w:type="dxa"/>
            <w:gridSpan w:val="3"/>
            <w:tcBorders/>
            <w:shd w:fill="auto" w:val="clear"/>
            <w:vAlign w:val="center"/>
          </w:tcPr>
          <w:p>
            <w:pPr>
              <w:pStyle w:val="TableContents"/>
              <w:spacing w:before="0" w:after="283"/>
              <w:rPr>
                <w:sz w:val="4"/>
                <w:szCs w:val="4"/>
              </w:rPr>
            </w:pPr>
            <w:r>
              <w:rPr>
                <w:sz w:val="4"/>
                <w:szCs w:val="4"/>
              </w:rPr>
            </w:r>
          </w:p>
        </w:tc>
        <w:tc>
          <w:tcPr>
            <w:tcW w:w="1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1" w:type="dxa"/>
            <w:gridSpan w:val="3"/>
            <w:tcBorders/>
            <w:shd w:fill="auto" w:val="clear"/>
            <w:vAlign w:val="center"/>
          </w:tcPr>
          <w:p>
            <w:pPr>
              <w:pStyle w:val="TableContents"/>
              <w:spacing w:before="0" w:after="283"/>
              <w:rPr>
                <w:sz w:val="4"/>
                <w:szCs w:val="4"/>
              </w:rPr>
            </w:pPr>
            <w:r>
              <w:rPr>
                <w:sz w:val="4"/>
                <w:szCs w:val="4"/>
              </w:rPr>
            </w:r>
          </w:p>
        </w:tc>
      </w:tr>
      <w:tr>
        <w:trPr/>
        <w:tc>
          <w:tcPr>
            <w:tcW w:w="2753" w:type="dxa"/>
            <w:gridSpan w:val="3"/>
            <w:tcBorders/>
            <w:shd w:fill="auto" w:val="clear"/>
            <w:vAlign w:val="center"/>
          </w:tcPr>
          <w:p>
            <w:pPr>
              <w:pStyle w:val="TableContents"/>
              <w:spacing w:before="0" w:after="283"/>
              <w:rPr>
                <w:sz w:val="4"/>
                <w:szCs w:val="4"/>
              </w:rPr>
            </w:pPr>
            <w:r>
              <w:rPr>
                <w:sz w:val="4"/>
                <w:szCs w:val="4"/>
              </w:rPr>
            </w:r>
          </w:p>
        </w:tc>
        <w:tc>
          <w:tcPr>
            <w:tcW w:w="1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1" w:type="dxa"/>
            <w:gridSpan w:val="3"/>
            <w:tcBorders/>
            <w:shd w:fill="auto" w:val="clear"/>
            <w:vAlign w:val="center"/>
          </w:tcPr>
          <w:p>
            <w:pPr>
              <w:pStyle w:val="TableContents"/>
              <w:spacing w:before="0" w:after="283"/>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2018</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2,932,155 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252,752 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1,238,700 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(1,398,676)</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133,050 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(387,506)</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2019</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2,384,673 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243,427 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1,587,664 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Released </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(1,217,337)</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121,915 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(309,302)</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2020</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2,445,698 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287,761 </w:t>
            </w:r>
          </w:p>
        </w:tc>
        <w:tc>
          <w:tcPr>
            <w:tcW w:w="369"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1,429,325 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(1,167,291)</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131,188 </w:t>
            </w:r>
          </w:p>
        </w:tc>
        <w:tc>
          <w:tcPr>
            <w:tcW w:w="369"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(312,764)</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2021</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2,394,968 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107.15 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275,900 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July 31, 2021</w:t>
            </w:r>
          </w:p>
        </w:tc>
        <w:tc>
          <w:tcPr>
            <w:tcW w:w="124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2,394,968 </w:t>
            </w:r>
          </w:p>
        </w:tc>
        <w:tc>
          <w:tcPr>
            <w:tcW w:w="5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107.15 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275,900 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Aggregate intrinsic value at each fiscal year end represents the total market value of Stock Awards at the Company’s closing stock price of $115.20, $117.66, and $102.08 on July 31, 2021, 2020, and 2019, respectively. Aggregate intrinsic value for released Stock Awards represents the total market value of released Stock Awards at their respective date of release.</w:t>
      </w:r>
    </w:p>
    <w:p>
      <w:pPr>
        <w:pStyle w:val="TextBody"/>
        <w:spacing w:before="0" w:after="0"/>
        <w:ind w:left="0" w:right="0" w:hanging="360"/>
        <w:rPr/>
      </w:pPr>
      <w:r>
        <w:rPr/>
      </w:r>
    </w:p>
    <w:p>
      <w:pPr>
        <w:pStyle w:val="TextBody"/>
        <w:spacing w:lineRule="auto" w:line="288" w:before="18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executives and employees of the Company received PSUs and TSR PSUs in addition to RSUs. PSUs awarded in September 2020 will vest over three years with 50% vesting annually over the three year period and the remaining 50% vesting at the end of the third year. The TSR PSUs are subject to total shareholder return rankings of the Company’s common stock relative to the software companies in the S&amp;P Index for a specified period or periods, and vest at the end of three years. The Company recognized stock-based compensation related to these performance-based and market-based stock awards of $13.9 million, $13.1 million, and $19.1 million in fiscal years 2021, 2020, and 2019, respectively.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18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Stock option activity under the Company’s equity incentive plans is as follows:</w:t>
      </w:r>
    </w:p>
    <w:tbl>
      <w:tblPr>
        <w:tblW w:w="10205" w:type="dxa"/>
        <w:jc w:val="left"/>
        <w:tblInd w:w="0" w:type="dxa"/>
        <w:tblCellMar>
          <w:top w:w="28" w:type="dxa"/>
          <w:left w:w="28" w:type="dxa"/>
          <w:bottom w:w="28" w:type="dxa"/>
          <w:right w:w="28" w:type="dxa"/>
        </w:tblCellMar>
      </w:tblPr>
      <w:tblGrid>
        <w:gridCol w:w="897"/>
        <w:gridCol w:w="632"/>
        <w:gridCol w:w="637"/>
        <w:gridCol w:w="688"/>
        <w:gridCol w:w="582"/>
        <w:gridCol w:w="583"/>
        <w:gridCol w:w="109"/>
        <w:gridCol w:w="109"/>
        <w:gridCol w:w="109"/>
        <w:gridCol w:w="351"/>
        <w:gridCol w:w="1028"/>
        <w:gridCol w:w="181"/>
        <w:gridCol w:w="109"/>
        <w:gridCol w:w="109"/>
        <w:gridCol w:w="109"/>
        <w:gridCol w:w="653"/>
        <w:gridCol w:w="653"/>
        <w:gridCol w:w="655"/>
        <w:gridCol w:w="109"/>
        <w:gridCol w:w="109"/>
        <w:gridCol w:w="109"/>
        <w:gridCol w:w="324"/>
        <w:gridCol w:w="1113"/>
        <w:gridCol w:w="247"/>
      </w:tblGrid>
      <w:tr>
        <w:trPr/>
        <w:tc>
          <w:tcPr>
            <w:tcW w:w="89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21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Number of Stock 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color w:val="000000"/>
              </w:rPr>
              <w:t> </w:t>
            </w:r>
            <w:r>
              <w:rPr>
                <w:rFonts w:ascii="Times New Roman;sans-serif" w:hAnsi="Times New Roman;sans-serif"/>
                <w:b/>
                <w:color w:val="000000"/>
                <w:sz w:val="20"/>
              </w:rPr>
              <w:t>Aggregate Intrinsic Value</w:t>
            </w:r>
            <w:r>
              <w:rPr>
                <w:color w:val="000000"/>
              </w:rPr>
              <w:t xml:space="preserve"> </w:t>
            </w:r>
            <w:r>
              <w:rPr>
                <w:rFonts w:ascii="Times New Roman;sans-serif" w:hAnsi="Times New Roman;sans-serif"/>
                <w:b/>
                <w:color w:val="000000"/>
                <w:sz w:val="13"/>
              </w:rPr>
              <w:t>(1)</w:t>
            </w:r>
          </w:p>
        </w:tc>
      </w:tr>
      <w:tr>
        <w:trPr/>
        <w:tc>
          <w:tcPr>
            <w:tcW w:w="21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(in thousands)</w:t>
            </w:r>
          </w:p>
        </w:tc>
      </w:tr>
      <w:tr>
        <w:trPr/>
        <w:tc>
          <w:tcPr>
            <w:tcW w:w="2166" w:type="dxa"/>
            <w:gridSpan w:val="3"/>
            <w:tcBorders/>
            <w:shd w:fill="auto" w:val="clear"/>
            <w:vAlign w:val="center"/>
          </w:tcPr>
          <w:p>
            <w:pPr>
              <w:pStyle w:val="TableContents"/>
              <w:spacing w:before="0" w:after="283"/>
              <w:rPr>
                <w:sz w:val="4"/>
                <w:szCs w:val="4"/>
              </w:rPr>
            </w:pPr>
            <w:r>
              <w:rPr>
                <w:sz w:val="4"/>
                <w:szCs w:val="4"/>
              </w:rPr>
            </w:r>
          </w:p>
        </w:tc>
        <w:tc>
          <w:tcPr>
            <w:tcW w:w="18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4" w:type="dxa"/>
            <w:gridSpan w:val="3"/>
            <w:tcBorders/>
            <w:shd w:fill="auto" w:val="clear"/>
            <w:vAlign w:val="center"/>
          </w:tcPr>
          <w:p>
            <w:pPr>
              <w:pStyle w:val="TableContents"/>
              <w:spacing w:before="0" w:after="283"/>
              <w:rPr>
                <w:sz w:val="4"/>
                <w:szCs w:val="4"/>
              </w:rPr>
            </w:pPr>
            <w:r>
              <w:rPr>
                <w:sz w:val="4"/>
                <w:szCs w:val="4"/>
              </w:rPr>
            </w:r>
          </w:p>
        </w:tc>
      </w:tr>
      <w:tr>
        <w:trPr/>
        <w:tc>
          <w:tcPr>
            <w:tcW w:w="2166" w:type="dxa"/>
            <w:gridSpan w:val="3"/>
            <w:tcBorders/>
            <w:shd w:fill="auto" w:val="clear"/>
            <w:vAlign w:val="center"/>
          </w:tcPr>
          <w:p>
            <w:pPr>
              <w:pStyle w:val="TableContents"/>
              <w:spacing w:before="0" w:after="283"/>
              <w:rPr>
                <w:sz w:val="4"/>
                <w:szCs w:val="4"/>
              </w:rPr>
            </w:pPr>
            <w:r>
              <w:rPr>
                <w:sz w:val="4"/>
                <w:szCs w:val="4"/>
              </w:rPr>
            </w:r>
          </w:p>
        </w:tc>
        <w:tc>
          <w:tcPr>
            <w:tcW w:w="18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4" w:type="dxa"/>
            <w:gridSpan w:val="3"/>
            <w:tcBorders/>
            <w:shd w:fill="auto" w:val="clear"/>
            <w:vAlign w:val="center"/>
          </w:tcPr>
          <w:p>
            <w:pPr>
              <w:pStyle w:val="TableContents"/>
              <w:spacing w:before="0" w:after="283"/>
              <w:rPr>
                <w:sz w:val="4"/>
                <w:szCs w:val="4"/>
              </w:rPr>
            </w:pPr>
            <w:r>
              <w:rPr>
                <w:sz w:val="4"/>
                <w:szCs w:val="4"/>
              </w:rPr>
            </w:r>
          </w:p>
        </w:tc>
      </w:tr>
      <w:tr>
        <w:trPr/>
        <w:tc>
          <w:tcPr>
            <w:tcW w:w="2166" w:type="dxa"/>
            <w:gridSpan w:val="3"/>
            <w:tcBorders/>
            <w:shd w:fill="auto" w:val="clear"/>
            <w:vAlign w:val="center"/>
          </w:tcPr>
          <w:p>
            <w:pPr>
              <w:pStyle w:val="TableContents"/>
              <w:spacing w:before="0" w:after="283"/>
              <w:rPr>
                <w:sz w:val="4"/>
                <w:szCs w:val="4"/>
              </w:rPr>
            </w:pPr>
            <w:r>
              <w:rPr>
                <w:sz w:val="4"/>
                <w:szCs w:val="4"/>
              </w:rPr>
            </w:r>
          </w:p>
        </w:tc>
        <w:tc>
          <w:tcPr>
            <w:tcW w:w="18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4" w:type="dxa"/>
            <w:gridSpan w:val="3"/>
            <w:tcBorders/>
            <w:shd w:fill="auto" w:val="clear"/>
            <w:vAlign w:val="center"/>
          </w:tcPr>
          <w:p>
            <w:pPr>
              <w:pStyle w:val="TableContents"/>
              <w:spacing w:before="0" w:after="283"/>
              <w:rPr>
                <w:sz w:val="4"/>
                <w:szCs w:val="4"/>
              </w:rPr>
            </w:pPr>
            <w:r>
              <w:rPr>
                <w:sz w:val="4"/>
                <w:szCs w:val="4"/>
              </w:rPr>
            </w:r>
          </w:p>
        </w:tc>
      </w:tr>
      <w:tr>
        <w:trPr/>
        <w:tc>
          <w:tcPr>
            <w:tcW w:w="2166" w:type="dxa"/>
            <w:gridSpan w:val="3"/>
            <w:tcBorders/>
            <w:shd w:fill="auto" w:val="clear"/>
            <w:vAlign w:val="center"/>
          </w:tcPr>
          <w:p>
            <w:pPr>
              <w:pStyle w:val="TableContents"/>
              <w:spacing w:before="0" w:after="283"/>
              <w:rPr>
                <w:sz w:val="4"/>
                <w:szCs w:val="4"/>
              </w:rPr>
            </w:pPr>
            <w:r>
              <w:rPr>
                <w:sz w:val="4"/>
                <w:szCs w:val="4"/>
              </w:rPr>
            </w:r>
          </w:p>
        </w:tc>
        <w:tc>
          <w:tcPr>
            <w:tcW w:w="18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4" w:type="dxa"/>
            <w:gridSpan w:val="3"/>
            <w:tcBorders/>
            <w:shd w:fill="auto" w:val="clear"/>
            <w:vAlign w:val="center"/>
          </w:tcPr>
          <w:p>
            <w:pPr>
              <w:pStyle w:val="TableContents"/>
              <w:spacing w:before="0" w:after="283"/>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2018</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537,064 </w:t>
            </w:r>
          </w:p>
        </w:tc>
        <w:tc>
          <w:tcPr>
            <w:tcW w:w="5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(301,901)</w:t>
            </w:r>
          </w:p>
        </w:tc>
        <w:tc>
          <w:tcPr>
            <w:tcW w:w="5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24,731 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(18,436)</w:t>
            </w:r>
          </w:p>
        </w:tc>
        <w:tc>
          <w:tcPr>
            <w:tcW w:w="5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2019</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216,727 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14,733 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(132,573)</w:t>
            </w:r>
          </w:p>
        </w:tc>
        <w:tc>
          <w:tcPr>
            <w:tcW w:w="5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8,917 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w:t>
            </w:r>
          </w:p>
        </w:tc>
        <w:tc>
          <w:tcPr>
            <w:tcW w:w="5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2020</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80,332 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w:t>
            </w:r>
          </w:p>
        </w:tc>
        <w:tc>
          <w:tcPr>
            <w:tcW w:w="5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5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2021</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25,278 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July 31, 2021</w:t>
            </w:r>
          </w:p>
        </w:tc>
        <w:tc>
          <w:tcPr>
            <w:tcW w:w="127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25,278 </w:t>
            </w:r>
          </w:p>
        </w:tc>
        <w:tc>
          <w:tcPr>
            <w:tcW w:w="58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July 31, 2021</w:t>
            </w:r>
          </w:p>
        </w:tc>
        <w:tc>
          <w:tcPr>
            <w:tcW w:w="127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25,278 </w:t>
            </w:r>
          </w:p>
        </w:tc>
        <w:tc>
          <w:tcPr>
            <w:tcW w:w="5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18"/>
        </w:rPr>
        <w:t>Aggregate intrinsic value at each fiscal year end represents the difference between the Company’s closing stock price of $115.20, $117.66, and $102.08 on July 31, 2021, 2020, and 2019, respectively, and the exercise price of the option. Aggregate intrinsic value for exercised options represents the difference between the Company’s stock price at date of exercise and the exercise price.</w:t>
      </w:r>
    </w:p>
    <w:p>
      <w:pPr>
        <w:pStyle w:val="TextBody"/>
        <w:spacing w:lineRule="auto" w:line="288" w:before="28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Valuation of Awards</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    </w:t>
      </w:r>
      <w:r>
        <w:rPr>
          <w:rFonts w:ascii="Times New Roman;sans-serif" w:hAnsi="Times New Roman;sans-serif"/>
          <w:b w:val="false"/>
          <w:i/>
          <w:color w:val="000000"/>
          <w:sz w:val="20"/>
        </w:rPr>
        <w:t>TSR PSUs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TSR PSUs is estimated at the grant date using a Monte Carlo simulation model which included the following assumptions:</w:t>
      </w:r>
    </w:p>
    <w:tbl>
      <w:tblPr>
        <w:tblW w:w="8210" w:type="dxa"/>
        <w:jc w:val="center"/>
        <w:tblInd w:w="0" w:type="dxa"/>
        <w:tblCellMar>
          <w:top w:w="28" w:type="dxa"/>
          <w:left w:w="28" w:type="dxa"/>
          <w:bottom w:w="28" w:type="dxa"/>
          <w:right w:w="28" w:type="dxa"/>
        </w:tblCellMar>
      </w:tblPr>
      <w:tblGrid>
        <w:gridCol w:w="2037"/>
        <w:gridCol w:w="1790"/>
        <w:gridCol w:w="1797"/>
        <w:gridCol w:w="155"/>
        <w:gridCol w:w="155"/>
        <w:gridCol w:w="156"/>
        <w:gridCol w:w="136"/>
        <w:gridCol w:w="136"/>
        <w:gridCol w:w="136"/>
        <w:gridCol w:w="209"/>
        <w:gridCol w:w="209"/>
        <w:gridCol w:w="211"/>
        <w:gridCol w:w="136"/>
        <w:gridCol w:w="136"/>
        <w:gridCol w:w="136"/>
        <w:gridCol w:w="197"/>
        <w:gridCol w:w="197"/>
        <w:gridCol w:w="281"/>
      </w:tblGrid>
      <w:tr>
        <w:trPr/>
        <w:tc>
          <w:tcPr>
            <w:tcW w:w="2037"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5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5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2.88</w:t>
            </w:r>
          </w:p>
        </w:tc>
      </w:tr>
      <w:tr>
        <w:trPr/>
        <w:tc>
          <w:tcPr>
            <w:tcW w:w="5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2.79%</w:t>
            </w:r>
          </w:p>
        </w:tc>
      </w:tr>
      <w:tr>
        <w:trPr/>
        <w:tc>
          <w:tcPr>
            <w:tcW w:w="5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the Company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w:t>
            </w:r>
          </w:p>
        </w:tc>
      </w:tr>
      <w:tr>
        <w:trPr/>
        <w:tc>
          <w:tcPr>
            <w:tcW w:w="5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expected volatility of the peer companies in the S&amp;P Index</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5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3"/>
        </w:rPr>
      </w:pPr>
      <w:r>
        <w:rPr>
          <w:rFonts w:ascii="Times New Roman;sans-serif" w:hAnsi="Times New Roman;sans-serif"/>
          <w:b w:val="false"/>
          <w:color w:val="000000"/>
          <w:sz w:val="13"/>
        </w:rPr>
        <w:t>*There were no TSR PSUs granted during fiscal year 2021.</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TSR PSUs that may ultimately vest will vary based on the performance of the Company’s common stock relative to the shareholder return of the software companies in the S&amp;P Index for a specified period or periods. The Monte Carlo methodology incorporates into the valuation all possible outcomes, including that the Company’s relative performance may result in no shares vesting. As a result, stock-based compensation expense is recognized regardless of the Company’s ultimate achievement of the plan’s metrics. The expense will be reversed only in the event that a grantee is terminated prior to satisfying the requisite service period.</w:t>
      </w:r>
    </w:p>
    <w:p>
      <w:pPr>
        <w:pStyle w:val="TextBody"/>
        <w:spacing w:lineRule="auto" w:line="288" w:before="28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Common Stock Reserved for Issuance</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2021 and 2020, the Company was authorized to issue 500,000,000 shares of common stock with a par value of $0.0001 per share and, of these, 83,194,157 and 83,461,925 shares of common stock were issued and outstanding, respectively. As of July 31, 2021 and 2020, the Company had reserved shares of common stock for future issuance as follows:</w:t>
      </w:r>
    </w:p>
    <w:tbl>
      <w:tblPr>
        <w:tblW w:w="7591" w:type="dxa"/>
        <w:jc w:val="left"/>
        <w:tblInd w:w="0" w:type="dxa"/>
        <w:tblCellMar>
          <w:top w:w="28" w:type="dxa"/>
          <w:left w:w="28" w:type="dxa"/>
          <w:bottom w:w="28" w:type="dxa"/>
          <w:right w:w="28" w:type="dxa"/>
        </w:tblCellMar>
      </w:tblPr>
      <w:tblGrid>
        <w:gridCol w:w="1578"/>
        <w:gridCol w:w="1391"/>
        <w:gridCol w:w="1396"/>
        <w:gridCol w:w="492"/>
        <w:gridCol w:w="484"/>
        <w:gridCol w:w="367"/>
        <w:gridCol w:w="109"/>
        <w:gridCol w:w="109"/>
        <w:gridCol w:w="109"/>
        <w:gridCol w:w="539"/>
        <w:gridCol w:w="542"/>
        <w:gridCol w:w="475"/>
      </w:tblGrid>
      <w:tr>
        <w:trPr/>
        <w:tc>
          <w:tcPr>
            <w:tcW w:w="1578"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2020</w:t>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to purchase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80,332 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stock awards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2,394,968 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2,445,698 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under stock plans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5,014,069 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23,460,234 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reserved for issuance</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7,434,315 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25,986,264 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2020, the Company’s stockholders adopted the 2020 Stock Plan (“2020 Plan”) for the purpose of granting equity-based incentive awards. The Company initially reserved 5,000,000 shares of its common stock for the issuance of awards under the 2020 Plan. The shares available for issuance are subject to adjustment in the event of a stock split, stock dividend or other defined changes in the Company’s capitalization. The 2020 Plan replaced the Company’s 2011 Stock Plan; however, awards outstanding under the 2011 Stock Plan will continue to be governed by their existing terms. </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the Company issues under the 2020 Plan will be from the Company's pool of authorized but unissued shares. The shares of common stock underlying any awards under the 2011 Plan that are forfeited, canceled, held back upon exercise or settlement of an award to cover the exercise price or tax withholding, reacquired by the Company prior to vesting, satisfied without any issuance of stock or are otherwise terminated (other than by exercise) are added back to the shares of stock available for issuance under the 2020 Plan. </w:t>
      </w:r>
    </w:p>
    <w:p>
      <w:pPr>
        <w:pStyle w:val="TextBody"/>
        <w:spacing w:before="100" w:after="283"/>
        <w:ind w:left="0" w:right="0" w:firstLine="360"/>
        <w:jc w:val="both"/>
        <w:rPr/>
      </w:pPr>
      <w:r>
        <w:rPr/>
      </w:r>
    </w:p>
    <w:p>
      <w:pPr>
        <w:pStyle w:val="TextBody"/>
        <w:spacing w:lineRule="auto" w:line="288" w:before="0" w:after="0"/>
        <w:ind w:left="0" w:right="0" w:firstLine="270"/>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2020, the Company's board of directors authorized and approved a stock repurchase program of up to $200.0 million of the Company's outstanding common stock. Stock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July 31, 2021, the Company repurchased 1,488,991 shares of common stock at an average price of $109.17 per share, for an aggregate purchase price of $162.5 million. As of July 31, 2021, $37.5 million remained available for future repurchases.</w:t>
      </w:r>
    </w:p>
    <w:p>
      <w:pPr>
        <w:pStyle w:val="TextBody"/>
        <w:spacing w:before="0" w:after="0"/>
        <w:ind w:left="0" w:right="0" w:firstLine="495"/>
        <w:rPr/>
      </w:pPr>
      <w:r>
        <w:rPr/>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an income tax benefit of $37.8 million for fiscal year 2021 compared to an income tax provision of $2.9 million for fiscal year 2020. The increase in our income tax benefit for fiscal year 2021 was primarily due to an increase in pre-tax net loss, the release of a reserve for an uncertain tax position, and the impact related to the tax status change of certain foreign subsidiaries for U.S. tax purposes, partially offset by an increase in the valuation allowance. </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of 36% for fiscal year 2021, differs from the statutory U.S. Federal income tax rate of 21% mainly due to permanent differences for stock-based compensation, including excess tax benefits, the release of a reserve for an uncertain tax position, research and development credits, the tax status change of certain foreign subsidiaries, change in valuation allowance, and certain non-deductible expenses including executive compensation limitation.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income (loss) before provision for (benefit from) income taxes is as follows (in thousands):</w:t>
      </w:r>
    </w:p>
    <w:tbl>
      <w:tblPr>
        <w:tblW w:w="9192" w:type="dxa"/>
        <w:jc w:val="left"/>
        <w:tblInd w:w="0" w:type="dxa"/>
        <w:tblCellMar>
          <w:top w:w="28" w:type="dxa"/>
          <w:left w:w="28" w:type="dxa"/>
          <w:bottom w:w="28" w:type="dxa"/>
          <w:right w:w="28" w:type="dxa"/>
        </w:tblCellMar>
      </w:tblPr>
      <w:tblGrid>
        <w:gridCol w:w="1852"/>
        <w:gridCol w:w="1625"/>
        <w:gridCol w:w="1638"/>
        <w:gridCol w:w="211"/>
        <w:gridCol w:w="901"/>
        <w:gridCol w:w="109"/>
        <w:gridCol w:w="109"/>
        <w:gridCol w:w="109"/>
        <w:gridCol w:w="109"/>
        <w:gridCol w:w="211"/>
        <w:gridCol w:w="796"/>
        <w:gridCol w:w="109"/>
        <w:gridCol w:w="109"/>
        <w:gridCol w:w="109"/>
        <w:gridCol w:w="109"/>
        <w:gridCol w:w="211"/>
        <w:gridCol w:w="721"/>
        <w:gridCol w:w="154"/>
      </w:tblGrid>
      <w:tr>
        <w:trPr/>
        <w:tc>
          <w:tcPr>
            <w:tcW w:w="1852"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5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consisted of the following (in thousands):</w:t>
      </w:r>
    </w:p>
    <w:tbl>
      <w:tblPr>
        <w:tblW w:w="7827" w:type="dxa"/>
        <w:jc w:val="left"/>
        <w:tblInd w:w="0" w:type="dxa"/>
        <w:tblCellMar>
          <w:top w:w="28" w:type="dxa"/>
          <w:left w:w="28" w:type="dxa"/>
          <w:bottom w:w="28" w:type="dxa"/>
          <w:right w:w="28" w:type="dxa"/>
        </w:tblCellMar>
      </w:tblPr>
      <w:tblGrid>
        <w:gridCol w:w="1430"/>
        <w:gridCol w:w="1260"/>
        <w:gridCol w:w="1270"/>
        <w:gridCol w:w="211"/>
        <w:gridCol w:w="796"/>
        <w:gridCol w:w="109"/>
        <w:gridCol w:w="109"/>
        <w:gridCol w:w="109"/>
        <w:gridCol w:w="109"/>
        <w:gridCol w:w="211"/>
        <w:gridCol w:w="721"/>
        <w:gridCol w:w="109"/>
        <w:gridCol w:w="109"/>
        <w:gridCol w:w="109"/>
        <w:gridCol w:w="109"/>
        <w:gridCol w:w="211"/>
        <w:gridCol w:w="691"/>
        <w:gridCol w:w="154"/>
      </w:tblGrid>
      <w:tr>
        <w:trPr/>
        <w:tc>
          <w:tcPr>
            <w:tcW w:w="1430"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provision for (benefit from)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Differences between income taxes calculated using the statutory federal income tax rate of 21% in the fiscal years ended July 31, 2021, 2020, and 2019, and the provision for income taxes are as follows (in thousands):</w:t>
      </w:r>
    </w:p>
    <w:tbl>
      <w:tblPr>
        <w:tblW w:w="7856" w:type="dxa"/>
        <w:jc w:val="left"/>
        <w:tblInd w:w="0" w:type="dxa"/>
        <w:tblCellMar>
          <w:top w:w="28" w:type="dxa"/>
          <w:left w:w="28" w:type="dxa"/>
          <w:bottom w:w="28" w:type="dxa"/>
          <w:right w:w="28" w:type="dxa"/>
        </w:tblCellMar>
      </w:tblPr>
      <w:tblGrid>
        <w:gridCol w:w="1454"/>
        <w:gridCol w:w="1278"/>
        <w:gridCol w:w="1287"/>
        <w:gridCol w:w="211"/>
        <w:gridCol w:w="796"/>
        <w:gridCol w:w="109"/>
        <w:gridCol w:w="109"/>
        <w:gridCol w:w="109"/>
        <w:gridCol w:w="109"/>
        <w:gridCol w:w="211"/>
        <w:gridCol w:w="691"/>
        <w:gridCol w:w="109"/>
        <w:gridCol w:w="109"/>
        <w:gridCol w:w="109"/>
        <w:gridCol w:w="109"/>
        <w:gridCol w:w="211"/>
        <w:gridCol w:w="691"/>
        <w:gridCol w:w="154"/>
      </w:tblGrid>
      <w:tr>
        <w:trPr/>
        <w:tc>
          <w:tcPr>
            <w:tcW w:w="1454"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officers' compensation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taxed at different rates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tax credits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erosion and anti-abuse tax</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status change of certain foreign subsidiaries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 and others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gave rise to significant portions of deferred tax assets and liabilities are as follows (in thousands):</w:t>
      </w:r>
    </w:p>
    <w:tbl>
      <w:tblPr>
        <w:tblW w:w="5288" w:type="dxa"/>
        <w:jc w:val="left"/>
        <w:tblInd w:w="0" w:type="dxa"/>
        <w:tblCellMar>
          <w:top w:w="28" w:type="dxa"/>
          <w:left w:w="28" w:type="dxa"/>
          <w:bottom w:w="28" w:type="dxa"/>
          <w:right w:w="28" w:type="dxa"/>
        </w:tblCellMar>
      </w:tblPr>
      <w:tblGrid>
        <w:gridCol w:w="1064"/>
        <w:gridCol w:w="936"/>
        <w:gridCol w:w="939"/>
        <w:gridCol w:w="211"/>
        <w:gridCol w:w="721"/>
        <w:gridCol w:w="109"/>
        <w:gridCol w:w="109"/>
        <w:gridCol w:w="109"/>
        <w:gridCol w:w="109"/>
        <w:gridCol w:w="211"/>
        <w:gridCol w:w="616"/>
        <w:gridCol w:w="154"/>
      </w:tblGrid>
      <w:tr>
        <w:trPr/>
        <w:tc>
          <w:tcPr>
            <w:tcW w:w="1064"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July 31,</w:t>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tax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Unremitted foreign earnings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foreign deferred tax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assets</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considered both positive and negative evidence, including future reversals of existing taxable temporary differences, projected future taxable income, tax planning strategies, and differences between prior book and tax profits/losses, and determined that a valuation allowance was not required for a significant portion of its deferred tax assets. A valuation allowance of $44.8 million and $37.2 million remained as of July 31, 2021 and 2020, respectively, primarily related to California and Federal deferred tax assets. The increase of $7.6 million in the valuation allowance in the current fiscal year relates primarily to net operating losses and income tax credits in certain tax jurisdictions for which no tax benefit is expected to be recognized.</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2021, the Company had U.S. Federal, California, and other states net operating loss (“NOL”) carryforwards of $282.2 million, $61.6 million and $144.0 million, respectively. The U.S. Federal and California NOL carryforwards will start to expire in 2029 and 2023, respectively.</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2021, the Company had research and development tax credits (“R&amp;D credit”) carryforwards of the following (in thousands):</w:t>
      </w:r>
    </w:p>
    <w:tbl>
      <w:tblPr>
        <w:tblW w:w="4083" w:type="dxa"/>
        <w:jc w:val="left"/>
        <w:tblInd w:w="0" w:type="dxa"/>
        <w:tblCellMar>
          <w:top w:w="28" w:type="dxa"/>
          <w:left w:w="28" w:type="dxa"/>
          <w:bottom w:w="28" w:type="dxa"/>
          <w:right w:w="28" w:type="dxa"/>
        </w:tblCellMar>
      </w:tblPr>
      <w:tblGrid>
        <w:gridCol w:w="1070"/>
        <w:gridCol w:w="862"/>
        <w:gridCol w:w="738"/>
        <w:gridCol w:w="109"/>
        <w:gridCol w:w="109"/>
        <w:gridCol w:w="109"/>
        <w:gridCol w:w="211"/>
        <w:gridCol w:w="721"/>
        <w:gridCol w:w="154"/>
      </w:tblGrid>
      <w:tr>
        <w:trPr/>
        <w:tc>
          <w:tcPr>
            <w:tcW w:w="107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R&amp;D credit carryforwards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U.S. Federal R&amp;D credits will start to expire in 2023 and the California R&amp;D tax credits do not expire.</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California laws impose restrictions on the utilization of NOL carryforwards and R&amp;D credit carryforwards in the event of a change in ownership of the Company, as defined by Internal Revenue Code 382 and 383. The Company experienced an ownership change in the past that does not materially impact the availability of its carryforwards. However, should there be an ownership change in the future, the Company’s ability to utilize existing carryforwards could be substantially restricted.</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2021, the Company has recorded a provisional estimate for foreign withholding taxes on undistributed earnings from foreign subsidiaries of $0.6 million. The Company may repatriate foreign earnings in the future to the extent that the repatriation is not restricted by local laws or there are no substantial incremental costs associated with such repatriation.</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Unrecognized Tax Benefits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Activity related to unrecognized tax benefits is as follows (in thousands):</w:t>
      </w:r>
    </w:p>
    <w:tbl>
      <w:tblPr>
        <w:tblW w:w="7842" w:type="dxa"/>
        <w:jc w:val="left"/>
        <w:tblInd w:w="0" w:type="dxa"/>
        <w:tblCellMar>
          <w:top w:w="28" w:type="dxa"/>
          <w:left w:w="28" w:type="dxa"/>
          <w:bottom w:w="28" w:type="dxa"/>
          <w:right w:w="28" w:type="dxa"/>
        </w:tblCellMar>
      </w:tblPr>
      <w:tblGrid>
        <w:gridCol w:w="1457"/>
        <w:gridCol w:w="1278"/>
        <w:gridCol w:w="1285"/>
        <w:gridCol w:w="211"/>
        <w:gridCol w:w="721"/>
        <w:gridCol w:w="109"/>
        <w:gridCol w:w="109"/>
        <w:gridCol w:w="109"/>
        <w:gridCol w:w="109"/>
        <w:gridCol w:w="211"/>
        <w:gridCol w:w="721"/>
        <w:gridCol w:w="109"/>
        <w:gridCol w:w="109"/>
        <w:gridCol w:w="109"/>
        <w:gridCol w:w="109"/>
        <w:gridCol w:w="211"/>
        <w:gridCol w:w="721"/>
        <w:gridCol w:w="154"/>
      </w:tblGrid>
      <w:tr>
        <w:trPr/>
        <w:tc>
          <w:tcPr>
            <w:tcW w:w="1457"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 July 31,</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2781" w:type="dxa"/>
            <w:gridSpan w:val="12"/>
            <w:tcBorders/>
            <w:shd w:fill="auto" w:val="clea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 beginning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prior period tax positions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 - prior period tax positions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current period tax positions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July 31, 2021, the Company’s unrecognized tax benefits decreased by $6.6 million. As of July 31, 2021, the Company had unrecognized tax benefits of $10.9 million that, if recognized, would affect the Company’s effective tax rate as certain unrecognized tax benefits have a valuation allowance. The Company recognizes interest and penalties related to unrecognized tax benefits as income tax expense in its consolidated statements of operations. As of July 31, 2021, the accrued interest and penalties related to unrecognized tax benefits was immaterial.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or one of its subsidiaries, files income taxes in the U.S. Federal jurisdiction and various state and foreign jurisdictions. If the Company utilizes NOL carryforwards or tax credits in future years, the U.S. Federal, state and local, and non-U.S. tax authorities may examine the tax returns covering the period in which the net operating losses and tax credits arose. As a result, the Company’s tax returns in the U.S. and California remain open to examination from fiscal years 2002 through 2021. </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an immaterial proposed assessment from the California Franchise Tax Board for the state income tax returns filed for fiscal years 2018 and 2017. The Company is currently reviewing this proposed assessment and may appeal. Any impact on the consolidated financial statements related to the assessment will be recorded in the quarter when the Company concludes the examination.</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Defined Contribution and Other Post-Retirement Plans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employee savings and retirement plan in the United States is qualified under Section 401(k) of the Internal Revenue Code. Employees on the Company’s U.S. payroll are automatically enrolled when they meet eligibility requirements, unless they decline participation. Upon enrollment employees are provided with tax-deferred salary deductions and various investment options. Employees may contribute up to 60% of their eligible salary up to the statutory prescribed annual limit. The Company matches employees’ contributions up to $5,000 per participant per calendar year. Certain of the Company’s foreign subsidiaries also have defined contribution plans in which a majority of its employees participate and the Company makes matching contributions. The Company’s contributions to its 401(k) and foreign subsidiaries’ plans were $11.8 million, $10.7 million, and $9.9 million for the fiscal years ended July 31, 2021, 2020, and 2019, respectively.</w:t>
      </w:r>
    </w:p>
    <w:p>
      <w:pPr>
        <w:pStyle w:val="TextBody"/>
        <w:spacing w:before="100" w:after="283"/>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12. Segment Information</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subscription, support, term license, perpetual license, and services offerings, while all other financial information is reviewed on a consolidated basis. The Company’s principal operations and decision-making functions are located in the United States.</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long-lived assets for this disclosure is defined as property and equipment and operating lease assets. The Company’s long-lived assets by geographic region is as follows (in thousands):</w:t>
      </w:r>
    </w:p>
    <w:tbl>
      <w:tblPr>
        <w:tblW w:w="3580" w:type="dxa"/>
        <w:jc w:val="left"/>
        <w:tblInd w:w="0" w:type="dxa"/>
        <w:tblCellMar>
          <w:top w:w="28" w:type="dxa"/>
          <w:left w:w="28" w:type="dxa"/>
          <w:bottom w:w="28" w:type="dxa"/>
          <w:right w:w="28" w:type="dxa"/>
        </w:tblCellMar>
      </w:tblPr>
      <w:tblGrid>
        <w:gridCol w:w="331"/>
        <w:gridCol w:w="291"/>
        <w:gridCol w:w="294"/>
        <w:gridCol w:w="211"/>
        <w:gridCol w:w="826"/>
        <w:gridCol w:w="109"/>
        <w:gridCol w:w="109"/>
        <w:gridCol w:w="109"/>
        <w:gridCol w:w="109"/>
        <w:gridCol w:w="211"/>
        <w:gridCol w:w="826"/>
        <w:gridCol w:w="154"/>
      </w:tblGrid>
      <w:tr>
        <w:trPr/>
        <w:tc>
          <w:tcPr>
            <w:tcW w:w="33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31, 2020</w:t>
            </w:r>
          </w:p>
        </w:tc>
      </w:tr>
      <w:tr>
        <w:trPr/>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2021, the Company completed an acquisition for net cash consideration of approximately $51 million, subject to customary transaction adjustments, of which approximately $8 million is subject to service conditions over the next three years. The acquisition will be accounted for as a business combination. The Company has not completed its acquisition accounting for this transaction, and is in the process of evaluating the impact of the business combination on its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 on Accounting and Financial Disclosure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spacing w:lineRule="auto" w:line="288" w:before="1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our disclosure controls and procedures were deemed effective as of July 31, 2021.</w:t>
      </w:r>
    </w:p>
    <w:p>
      <w:pPr>
        <w:pStyle w:val="TextBody"/>
        <w:spacing w:lineRule="auto" w:line="288" w:before="2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spacing w:before="0" w:after="0"/>
        <w:ind w:left="0" w:right="0" w:firstLine="22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our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assessed the effectiveness of our internal control over financial reporting as of July 31, 2021, using the criteria set forth in Internal Control—Integrated Framework issued by the Committee of Sponsoring Organizations of the Treadway Commission’s 2013 framework. Based on this assessment and those criteria, management concluded that our internal control over financial reporting was effective, at a reasonable level of assurance, as of July 31, 2021.</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has been audited by KPMG LLP, an independent registered public accounting firm, as stated in their report, which appears in Part II, Item 8 of this Annual Report on Form 10-K.</w:t>
      </w:r>
    </w:p>
    <w:p>
      <w:pPr>
        <w:pStyle w:val="TextBody"/>
        <w:spacing w:lineRule="auto" w:line="288" w:before="2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Inherent Limitations of Internal Controls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our most recent fiscal quarter identified in management’s evaluation pursuant to Rules 13a-15(d) or 15d-15(d) of the Exchange Act that materially affected, or are reasonably likely to materially affect, our internal control over financial reporting.</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9B.Other Information</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pPr>
      <w:r>
        <w:rPr>
          <w:rFonts w:ascii="Times New Roman;sans-serif" w:hAnsi="Times New Roman;sans-serif"/>
          <w:b/>
          <w:color w:val="000000"/>
          <w:sz w:val="20"/>
        </w:rPr>
        <w:t>Item 10.</w:t>
      </w:r>
      <w:r>
        <w:rPr>
          <w:rFonts w:ascii="Times New Roman;sans-serif" w:hAnsi="Times New Roman;sans-serif"/>
          <w:b/>
          <w:i/>
          <w:color w:val="000000"/>
          <w:sz w:val="20"/>
        </w:rPr>
        <w:t>Directors, Executive Officers and Corporate Governance</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all of our directors, officers, and employees, including our principal executive officer and principal financial officer. The Code of Business Conduct and Ethics is posted on our investor relations website.</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will post any amendments to, or waivers from, a provision of this Code of Business Conduct and Ethics by posting such information on our investor relations website.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other information required by this item will be contained in our definitive proxy statement to be filed with the SEC in connection with our 2021 Annual Meeting of Stockholders (the “Proxy Statement”), which is expected to be filed not later than 120 days after the end of our fiscal year ended July 31, 2021, and is incorporated in this report by reference.</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pPr>
      <w:r>
        <w:rPr>
          <w:rFonts w:ascii="Times New Roman;sans-serif" w:hAnsi="Times New Roman;sans-serif"/>
          <w:b/>
          <w:color w:val="000000"/>
          <w:sz w:val="20"/>
        </w:rPr>
        <w:t>Item 11.</w:t>
      </w:r>
      <w:r>
        <w:rPr>
          <w:rFonts w:ascii="Times New Roman;sans-serif" w:hAnsi="Times New Roman;sans-serif"/>
          <w:b/>
          <w:i/>
          <w:color w:val="000000"/>
          <w:sz w:val="20"/>
        </w:rPr>
        <w:t>Executive Compensation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and is incorporated herein by reference.</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pPr>
      <w:r>
        <w:rPr>
          <w:rFonts w:ascii="Times New Roman;sans-serif" w:hAnsi="Times New Roman;sans-serif"/>
          <w:b/>
          <w:color w:val="000000"/>
          <w:sz w:val="20"/>
        </w:rPr>
        <w:t>Item 12.</w:t>
      </w:r>
      <w:r>
        <w:rPr>
          <w:rFonts w:ascii="Times New Roman;sans-serif" w:hAnsi="Times New Roman;sans-serif"/>
          <w:b/>
          <w:i/>
          <w:color w:val="000000"/>
          <w:sz w:val="20"/>
        </w:rPr>
        <w:t>Security Ownership of Certain Beneficial Owners and Management and Related Stockholder Matters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and is incorporated herein by reference.</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pPr>
      <w:r>
        <w:rPr>
          <w:rFonts w:ascii="Times New Roman;sans-serif" w:hAnsi="Times New Roman;sans-serif"/>
          <w:b/>
          <w:color w:val="000000"/>
          <w:sz w:val="20"/>
        </w:rPr>
        <w:t>Item 13.</w:t>
      </w:r>
      <w:r>
        <w:rPr>
          <w:rFonts w:ascii="Times New Roman;sans-serif" w:hAnsi="Times New Roman;sans-serif"/>
          <w:b/>
          <w:i/>
          <w:color w:val="000000"/>
          <w:sz w:val="20"/>
        </w:rPr>
        <w:t>Certain Relationships and Related Transactions, and Director Independence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if any, required by this item will be set forth in the Proxy Statement and is incorporated herein by reference.</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pPr>
      <w:r>
        <w:rPr>
          <w:rFonts w:ascii="Times New Roman;sans-serif" w:hAnsi="Times New Roman;sans-serif"/>
          <w:b/>
          <w:color w:val="000000"/>
          <w:sz w:val="20"/>
        </w:rPr>
        <w:t>Item 14.</w:t>
      </w:r>
      <w:r>
        <w:rPr>
          <w:rFonts w:ascii="Times New Roman;sans-serif" w:hAnsi="Times New Roman;sans-serif"/>
          <w:b/>
          <w:i/>
          <w:color w:val="000000"/>
          <w:sz w:val="20"/>
        </w:rPr>
        <w:t>Principal Accountant Fees and Services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pPr>
      <w:r>
        <w:rPr>
          <w:rFonts w:ascii="Times New Roman;sans-serif" w:hAnsi="Times New Roman;sans-serif"/>
          <w:b/>
          <w:color w:val="000000"/>
          <w:sz w:val="20"/>
        </w:rPr>
        <w:t>Item 15.</w:t>
      </w:r>
      <w:r>
        <w:rPr>
          <w:rFonts w:ascii="Times New Roman;sans-serif" w:hAnsi="Times New Roman;sans-serif"/>
          <w:b/>
          <w:i/>
          <w:color w:val="000000"/>
          <w:sz w:val="20"/>
        </w:rPr>
        <w:t>Exhibits and Financial Statement Schedules</w:t>
      </w:r>
    </w:p>
    <w:p>
      <w:pPr>
        <w:pStyle w:val="TextBody"/>
        <w:spacing w:before="0" w:after="0"/>
        <w:rPr/>
      </w:pPr>
      <w:r>
        <w:rPr/>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spacing w:lineRule="auto" w:line="288" w:before="10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1. Consolidated Financial Statements</w:t>
      </w:r>
    </w:p>
    <w:p>
      <w:pPr>
        <w:pStyle w:val="TextBody"/>
        <w:spacing w:lineRule="auto" w:line="288" w:before="100" w:after="283"/>
        <w:ind w:left="0" w:right="0" w:firstLine="162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at Item 8 herein.</w:t>
      </w:r>
    </w:p>
    <w:p>
      <w:pPr>
        <w:pStyle w:val="TextBody"/>
        <w:spacing w:lineRule="auto" w:line="288" w:before="10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spacing w:lineRule="auto" w:line="288" w:before="100" w:after="283"/>
        <w:ind w:left="0" w:right="0" w:firstLine="1620"/>
        <w:jc w:val="both"/>
        <w:rPr>
          <w:rFonts w:ascii="Times New Roman;sans-serif" w:hAnsi="Times New Roman;sans-serif"/>
          <w:b w:val="false"/>
          <w:color w:val="000000"/>
          <w:sz w:val="20"/>
        </w:rPr>
      </w:pPr>
      <w:r>
        <w:rPr>
          <w:rFonts w:ascii="Times New Roman;sans-serif" w:hAnsi="Times New Roman;sans-serif"/>
          <w:b w:val="false"/>
          <w:color w:val="000000"/>
          <w:sz w:val="20"/>
        </w:rPr>
        <w:t>Schedules have been omitted because the information required to be set forth therein is not applicable or is shown in the financial statements or notes herein.</w:t>
      </w:r>
    </w:p>
    <w:p>
      <w:pPr>
        <w:pStyle w:val="TextBody"/>
        <w:spacing w:lineRule="auto" w:line="288" w:before="10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spacing w:before="180" w:after="283"/>
        <w:ind w:left="0" w:right="0" w:firstLine="495"/>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or incorporated by reference as part of this Annual Report on Form 10-K.</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1810"/>
        <w:gridCol w:w="1459"/>
        <w:gridCol w:w="1474"/>
        <w:gridCol w:w="109"/>
        <w:gridCol w:w="109"/>
        <w:gridCol w:w="109"/>
        <w:gridCol w:w="378"/>
        <w:gridCol w:w="378"/>
        <w:gridCol w:w="379"/>
        <w:gridCol w:w="109"/>
        <w:gridCol w:w="109"/>
        <w:gridCol w:w="109"/>
        <w:gridCol w:w="355"/>
        <w:gridCol w:w="355"/>
        <w:gridCol w:w="356"/>
        <w:gridCol w:w="109"/>
        <w:gridCol w:w="109"/>
        <w:gridCol w:w="109"/>
        <w:gridCol w:w="428"/>
        <w:gridCol w:w="428"/>
        <w:gridCol w:w="391"/>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0"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w:t>
              <w:br/>
              <w:t>Reference From</w:t>
              <w:br/>
              <w: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w:t>
              <w:br/>
              <w:t>by Reference</w:t>
              <w:br/>
              <w:t>From</w:t>
              <w:b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Filed</w:t>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14,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Common Stock certificate of Guidewire Software,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9, 2012</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between Guidewire Software, Inc. and U.S. Bank National Association, dated as of March 13,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2018</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4.3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between Guidewire Software, Inc. and U.S. Bank National Association, dated as of March 13,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2018</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4.4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1.25% Convertible Senior Note Due March 15, 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2018</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wre-7312021x10kex45.htm">
              <w:r>
                <w:rPr>
                  <w:rStyle w:val="InternetLink"/>
                  <w:rFonts w:ascii="Times New Roman;sans-serif" w:hAnsi="Times New Roman;sans-serif"/>
                  <w:b w:val="false"/>
                  <w:color w:val="0000FF"/>
                  <w:sz w:val="20"/>
                  <w:u w:val="single"/>
                </w:rPr>
                <w:t>4.5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Description of Guidewire Software, Inc.’s Securities Registered Pursuant to Section 12 of the Securities Exchange Act of 1934, as amended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2011 Stock Plan and Forms of Agreements Thereunder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13, 2011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10.2</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Performance-Based Restricted Stock Unit Award Agreement under the 2011 Stock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2015</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10.3</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Guidewire Software, Inc. Forms of Notice of Restricted Stock Unit Award and Restricted Stock Unit Award Agreement (Performance-Based)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10.4</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Restricted Stock Unit Award Agreement (Global Time-Based)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10.5</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Restricted Stock Unit Award Agreement (U.S. Time-Based)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10.6</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Restricted Stock Unit Award Agreement (U.S. Time-Based, Executives)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10.7</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Long Term Incentive Plan and Form of Notice and Restricted Stock Unit Award Agreement thereunder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10.8</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2020 Stock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10.9</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Senior Executive Incentive Bonus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13, 2011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10.10</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Executive Agreement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10.11</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Agreement between Guidewire Software, Inc. and Michael Rosenbaum, dated as of August 3,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2019</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10.12</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Executive Agreement between Guidewire Software, Inc. and Mike Rosenbaum, dated as of November 4,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9,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10.13</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for directors and executive officers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28, 2011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10.14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Inc. Form of Capped Call Confirmation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2018</w:t>
            </w:r>
          </w:p>
        </w:tc>
      </w:tr>
    </w:tbl>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tbl>
      <w:tblPr>
        <w:tblW w:w="10205" w:type="dxa"/>
        <w:jc w:val="left"/>
        <w:tblInd w:w="0" w:type="dxa"/>
        <w:tblCellMar>
          <w:top w:w="28" w:type="dxa"/>
          <w:left w:w="28" w:type="dxa"/>
          <w:bottom w:w="28" w:type="dxa"/>
          <w:right w:w="28" w:type="dxa"/>
        </w:tblCellMar>
      </w:tblPr>
      <w:tblGrid>
        <w:gridCol w:w="245"/>
        <w:gridCol w:w="215"/>
        <w:gridCol w:w="217"/>
        <w:gridCol w:w="109"/>
        <w:gridCol w:w="109"/>
        <w:gridCol w:w="109"/>
        <w:gridCol w:w="1697"/>
        <w:gridCol w:w="1435"/>
        <w:gridCol w:w="1439"/>
        <w:gridCol w:w="109"/>
        <w:gridCol w:w="109"/>
        <w:gridCol w:w="109"/>
        <w:gridCol w:w="553"/>
        <w:gridCol w:w="553"/>
        <w:gridCol w:w="560"/>
        <w:gridCol w:w="109"/>
        <w:gridCol w:w="109"/>
        <w:gridCol w:w="109"/>
        <w:gridCol w:w="308"/>
        <w:gridCol w:w="308"/>
        <w:gridCol w:w="109"/>
        <w:gridCol w:w="109"/>
        <w:gridCol w:w="109"/>
        <w:gridCol w:w="109"/>
        <w:gridCol w:w="366"/>
        <w:gridCol w:w="366"/>
        <w:gridCol w:w="526"/>
      </w:tblGrid>
      <w:tr>
        <w:trPr/>
        <w:tc>
          <w:tcPr>
            <w:tcW w:w="2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10.15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Agreement between Bay Meadows Station 2 Investors, LLC and Guidewire Software, Inc. dated as of December 18, 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19, 2018</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wre-7312021x10kex211.htm">
              <w:r>
                <w:rPr>
                  <w:rStyle w:val="InternetLink"/>
                  <w:rFonts w:ascii="Times New Roman;sans-serif" w:hAnsi="Times New Roman;sans-serif"/>
                  <w:b w:val="false"/>
                  <w:color w:val="0000FF"/>
                  <w:sz w:val="20"/>
                  <w:u w:val="single"/>
                </w:rPr>
                <w:t>21.1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Registrant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wre-7312021x10kex231.htm">
              <w:r>
                <w:rPr>
                  <w:rStyle w:val="InternetLink"/>
                  <w:rFonts w:ascii="Times New Roman;sans-serif" w:hAnsi="Times New Roman;sans-serif"/>
                  <w:b w:val="false"/>
                  <w:color w:val="0000FF"/>
                  <w:sz w:val="20"/>
                  <w:u w:val="single"/>
                </w:rPr>
                <w:t>23.1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KPMG LLP, Independent Registered Public Accounting Firm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wre-7312021x10kex311.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Executive Officer pursuant to Section 302 of the Sarbanes-Oxley 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wre-7312021x10kex312.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Financial Officer pursuant to Section 302 of the Sarbanes-Oxley 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wre-7312021x10k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Executive Officer and the Chief Financial Officer pursuant to Section 906 of the Sarbanes-Oxley 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4f9b1b0ea548470ab2e3cd5bd5a07a5c_7">
        <w:r>
          <w:rPr>
            <w:rStyle w:val="InternetLink"/>
          </w:rPr>
          <w:t xml:space="preserve">Table of </w:t>
        </w:r>
      </w:hyperlink>
      <w:hyperlink w:anchor="i4f9b1b0ea548470ab2e3cd5bd5a07a5c_7">
        <w:r>
          <w:rPr>
            <w:rStyle w:val="InternetLink"/>
          </w:rPr>
          <w:t>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spacing w:lineRule="auto" w:line="288" w:before="180" w:after="283"/>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spacing w:lineRule="auto" w:line="288" w:before="18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Date: September 24, 2021 </w:t>
      </w:r>
    </w:p>
    <w:p>
      <w:pPr>
        <w:pStyle w:val="TextBody"/>
        <w:spacing w:lineRule="auto" w:line="288" w:before="0" w:after="0"/>
        <w:rPr>
          <w:color w:val="000000"/>
        </w:rPr>
      </w:pPr>
      <w:r>
        <w:rPr>
          <w:color w:val="000000"/>
        </w:rPr>
        <w:t> </w:t>
      </w:r>
    </w:p>
    <w:tbl>
      <w:tblPr>
        <w:tblW w:w="5124" w:type="dxa"/>
        <w:jc w:val="right"/>
        <w:tblInd w:w="0" w:type="dxa"/>
        <w:tblCellMar>
          <w:top w:w="28" w:type="dxa"/>
          <w:left w:w="28" w:type="dxa"/>
          <w:bottom w:w="28" w:type="dxa"/>
          <w:right w:w="28" w:type="dxa"/>
        </w:tblCellMar>
      </w:tblPr>
      <w:tblGrid>
        <w:gridCol w:w="335"/>
        <w:gridCol w:w="295"/>
        <w:gridCol w:w="295"/>
        <w:gridCol w:w="295"/>
        <w:gridCol w:w="295"/>
        <w:gridCol w:w="295"/>
        <w:gridCol w:w="958"/>
        <w:gridCol w:w="958"/>
        <w:gridCol w:w="1398"/>
      </w:tblGrid>
      <w:tr>
        <w:trPr/>
        <w:tc>
          <w:tcPr>
            <w:tcW w:w="33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r>
      <w:tr>
        <w:trPr/>
        <w:tc>
          <w:tcPr>
            <w:tcW w:w="51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GUIDEWIRE SOFTWARE, INC.</w:t>
            </w:r>
          </w:p>
        </w:tc>
      </w:tr>
      <w:tr>
        <w:trPr/>
        <w:tc>
          <w:tcPr>
            <w:tcW w:w="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JEFF COOPER</w:t>
            </w:r>
          </w:p>
        </w:tc>
      </w:tr>
      <w:tr>
        <w:trPr/>
        <w:tc>
          <w:tcPr>
            <w:tcW w:w="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Cooper</w:t>
            </w:r>
          </w:p>
        </w:tc>
      </w:tr>
      <w:tr>
        <w:trPr/>
        <w:tc>
          <w:tcPr>
            <w:tcW w:w="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br/>
              <w:t>(Principal Financial and Accounting Officer)</w:t>
            </w:r>
          </w:p>
        </w:tc>
      </w:tr>
    </w:tbl>
    <w:p>
      <w:pPr>
        <w:pStyle w:val="TextBody"/>
        <w:spacing w:lineRule="auto" w:line="288" w:before="180" w:after="283"/>
        <w:rPr>
          <w:rFonts w:ascii="Times New Roman;sans-serif" w:hAnsi="Times New Roman;sans-serif"/>
          <w:b/>
          <w:color w:val="000000"/>
          <w:sz w:val="18"/>
        </w:rPr>
      </w:pPr>
      <w:r>
        <w:rPr>
          <w:rFonts w:ascii="Times New Roman;sans-serif" w:hAnsi="Times New Roman;sans-serif"/>
          <w:b/>
          <w:color w:val="000000"/>
          <w:sz w:val="18"/>
        </w:rPr>
        <w:t>POWER OF ATTORNEY</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Each person whose individual signature appears below hereby authorizes and appoints Mike Rosenbaum, Jeff Cooper, and Winston King,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spacing w:lineRule="auto" w:line="288" w:before="1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this report has been signed below by the following persons on behalf of the registrant and in the capacities and on the dates indicated.</w:t>
      </w:r>
    </w:p>
    <w:tbl>
      <w:tblPr>
        <w:tblW w:w="9548" w:type="dxa"/>
        <w:jc w:val="left"/>
        <w:tblInd w:w="0" w:type="dxa"/>
        <w:tblCellMar>
          <w:top w:w="28" w:type="dxa"/>
          <w:left w:w="28" w:type="dxa"/>
          <w:bottom w:w="28" w:type="dxa"/>
          <w:right w:w="28" w:type="dxa"/>
        </w:tblCellMar>
      </w:tblPr>
      <w:tblGrid>
        <w:gridCol w:w="856"/>
        <w:gridCol w:w="752"/>
        <w:gridCol w:w="761"/>
        <w:gridCol w:w="109"/>
        <w:gridCol w:w="109"/>
        <w:gridCol w:w="109"/>
        <w:gridCol w:w="1642"/>
        <w:gridCol w:w="1642"/>
        <w:gridCol w:w="1666"/>
        <w:gridCol w:w="109"/>
        <w:gridCol w:w="109"/>
        <w:gridCol w:w="109"/>
        <w:gridCol w:w="458"/>
        <w:gridCol w:w="458"/>
        <w:gridCol w:w="659"/>
      </w:tblGrid>
      <w:tr>
        <w:trPr/>
        <w:tc>
          <w:tcPr>
            <w:tcW w:w="856"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2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MIKE ROSENBAUM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 and Director (Principal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Mike Rosenbaum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JEFF COOPER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Cooper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MARCUS S. RYU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(Chairman of the Board)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Marcus S. Ryu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ANDREW BROWN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Andrew Brown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MARGARET DILLON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Margaret Dillon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KELLER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Keller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PAUL LAVIN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Paul Lavin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CATHERINE P. LEGO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Catherine P. Lego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RAJANI RAMANATHAN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Rajani Ramanathan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EXHIBIT 4.5</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THE COMPANY’S SECURITIES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REGISTERED PURSUANT TO SECTION 12 OF THE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OF 1934, AS AMENDED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of July 31, 2021, Guidewire Software, Inc. (“Guidewire,” the “Company,” “we,” “us,” and “our”) had one class of securities registered under Section 12 of the Securities Exchange Act of 1934, as amended (the "Exchange Act"): our common stock.</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DESCRIPTION OF COMMON STOCK</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stock consists of 500,000,000 shares of common stock, $0.0001 par value, and 25,000,000 shares of undesignated preferred stock, $0.0001 par value. The following description of our common stock does not purport to be complete and is subject to, and qualified in its entirety by, our amended and restated certificate of incorporation and amended and restated bylaws, each of which is incorporated by reference as an exhibit to our Annual Report on Form 10-K for the year ended July 31, 2021.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our common stock are entitled to one vote per share on all matters to be voted on by the stockholders. Subject to preferences that may be applicable to any outstanding shares of preferred stock, holders of common stock are entitled to receive ratably such dividends as may be declared by the board of directors out of funds legally available therefore. In the event we liquidate, dissolve or wind up, holders of common stock are entitled to share ratably in all assets remaining after payment of liabilities and the liquidation preferences of any outstanding shares of preferred stock. Holders of common stock have no preemptive, conversion or subscription rights. There are no redemption or sinking fund provisions applicable to the common stock. All outstanding shares of common stock are fully paid and nonassessable.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and traded on the New York Stock Exchange under the symbol “GWRE.”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Preferred Stock – Limitations on Rights of Holders of Common Stock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may, without further action by our stockholders, fix the rights, preferences, privileges and restrictions of up to an aggregate of 25,000,000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upon liquidation. In addition, the issuance of preferred stock could have the effect of delaying, deferring or preventing a change of control or other corporate action.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Transfer Agent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transfer agent for our common stock is Computershare Trust Company, N.A.</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Anti-Takeover Effects of Delaware Law and Our Amended and Restated Certificate of Incorporation and Amended and Restated Bylaws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provisions of Delaware law, our amended and restated certificate of incorporation and our amended and restated bylaws could have the effect of delaying, deferring or discouraging another party from acquiring control of us. These provisions, which are summarized below, may have the effect of discouraging coercive takeover practices </w:t>
      </w:r>
      <w:r>
        <w:br w:type="page"/>
      </w:r>
    </w:p>
    <w:p>
      <w:pPr>
        <w:pStyle w:val="TextBody"/>
        <w:spacing w:before="0" w:after="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spacing w:lineRule="auto" w:line="288" w:before="240" w:after="283"/>
        <w:rPr/>
      </w:pPr>
      <w:r>
        <w:rPr>
          <w:rFonts w:ascii="Times New Roman;sans-serif" w:hAnsi="Times New Roman;sans-serif"/>
          <w:b w:val="false"/>
          <w:i/>
          <w:color w:val="000000"/>
          <w:sz w:val="20"/>
        </w:rPr>
        <w:t>Limits on ability of stockholders to call a special meeting</w:t>
      </w:r>
      <w:r>
        <w:rPr>
          <w:rFonts w:ascii="Times New Roman;sans-serif" w:hAnsi="Times New Roman;sans-serif"/>
          <w:b w:val="false"/>
          <w:color w:val="000000"/>
          <w:sz w:val="20"/>
        </w:rPr>
        <w:t xml:space="preserve">. Our amended and restated bylaws provide that special meetings of the stockholders may be called only by a majority of the board of directors then in office. These restrictions may delay the ability of our stockholders to force consideration of a proposal or for holders controlling a majority of our capital stock to take any action, including the removal of directors. </w:t>
      </w:r>
    </w:p>
    <w:p>
      <w:pPr>
        <w:pStyle w:val="TextBody"/>
        <w:spacing w:lineRule="auto" w:line="288" w:before="240" w:after="283"/>
        <w:rPr/>
      </w:pPr>
      <w:r>
        <w:rPr>
          <w:rFonts w:ascii="Times New Roman;sans-serif" w:hAnsi="Times New Roman;sans-serif"/>
          <w:b w:val="false"/>
          <w:i/>
          <w:color w:val="000000"/>
          <w:sz w:val="20"/>
        </w:rPr>
        <w:t>Requirements for advance notification of stockholder nominations and proposals</w:t>
      </w:r>
      <w:r>
        <w:rPr>
          <w:rFonts w:ascii="Times New Roman;sans-serif" w:hAnsi="Times New Roman;sans-serif"/>
          <w:b w:val="false"/>
          <w:color w:val="000000"/>
          <w:sz w:val="20"/>
        </w:rPr>
        <w:t xml:space="preserve">. Our amended and restated bylaws establish advance notice procedures with respect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 not less than 90 days nor more than 120 days prior to the first anniversary date of the annual meeting the preceding year. As a result,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 </w:t>
      </w:r>
    </w:p>
    <w:p>
      <w:pPr>
        <w:pStyle w:val="TextBody"/>
        <w:spacing w:lineRule="auto" w:line="288" w:before="240" w:after="283"/>
        <w:rPr/>
      </w:pPr>
      <w:r>
        <w:rPr>
          <w:rFonts w:ascii="Times New Roman;sans-serif" w:hAnsi="Times New Roman;sans-serif"/>
          <w:b w:val="false"/>
          <w:i/>
          <w:color w:val="000000"/>
          <w:sz w:val="20"/>
        </w:rPr>
        <w:t>No cumulative voting</w:t>
      </w:r>
      <w:r>
        <w:rPr>
          <w:rFonts w:ascii="Times New Roman;sans-serif" w:hAnsi="Times New Roman;sans-serif"/>
          <w:b w:val="false"/>
          <w:color w:val="000000"/>
          <w:sz w:val="20"/>
        </w:rPr>
        <w:t xml:space="preserve">. The Delaware General Corporation Law provides that stockholders are not entitled to the right to cumulate votes in the election of directors unless our amended and restated certificate of incorporation provides otherwise. Our amended and restated certificate of incorporation and amended and restated bylaws do not expressly provide for cumulative voting. </w:t>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Board Composition and Filling Vacancies</w:t>
      </w:r>
      <w:r>
        <w:rPr>
          <w:rFonts w:ascii="Times New Roman;sans-serif" w:hAnsi="Times New Roman;sans-serif"/>
          <w:b w:val="false"/>
          <w:color w:val="000000"/>
          <w:sz w:val="20"/>
        </w:rPr>
        <w:t xml:space="preserve">. Prior to December 17, 2019, our amended and restated certificate of incorporation provided for the division of our board of directors into three classes serving staggered three-year terms, with one class being elected each year. Our amended and restated certificate of incorporation currently in effect provides for a gradual declassification of our board of directors such that each director shall be elected to hold office for a one-year term expiring at the next annual meeting of stockholders, but no terms in effect prior to the filing of our amended and restated certificate on December 17, 2019 were shortened. Beginning with the 2021 annual meeting, the entire board of directors will stand for election annually for one-year terms. Our amended and restated certificate of incorporation also provides that directors may be removed only for cause. Furthermore, any vacancy on our board of directors, however occurring, including a vacancy resulting from an increase in the size of our board, may only be filled by the affirmative vote of a majority of our directors then in office even if less than a quorum. The limitations on removal of directors and treatment of vacancies have the effect of making it more difficult for stockholders to change the composition of our board of directors. </w:t>
      </w:r>
    </w:p>
    <w:p>
      <w:pPr>
        <w:pStyle w:val="TextBody"/>
        <w:spacing w:lineRule="auto" w:line="288" w:before="240" w:after="283"/>
        <w:rPr/>
      </w:pPr>
      <w:r>
        <w:rPr>
          <w:rFonts w:ascii="Times New Roman;sans-serif" w:hAnsi="Times New Roman;sans-serif"/>
          <w:b w:val="false"/>
          <w:i/>
          <w:color w:val="000000"/>
          <w:sz w:val="20"/>
        </w:rPr>
        <w:t>No Written Consent of Stockholders</w:t>
      </w:r>
      <w:r>
        <w:rPr>
          <w:rFonts w:ascii="Times New Roman;sans-serif" w:hAnsi="Times New Roman;sans-serif"/>
          <w:b w:val="false"/>
          <w:color w:val="000000"/>
          <w:sz w:val="20"/>
        </w:rPr>
        <w:t xml:space="preserve">. 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 </w:t>
      </w:r>
    </w:p>
    <w:p>
      <w:pPr>
        <w:pStyle w:val="TextBody"/>
        <w:spacing w:lineRule="auto" w:line="288" w:before="240" w:after="283"/>
        <w:rPr/>
      </w:pPr>
      <w:r>
        <w:rPr>
          <w:rFonts w:ascii="Times New Roman;sans-serif" w:hAnsi="Times New Roman;sans-serif"/>
          <w:b w:val="false"/>
          <w:i/>
          <w:color w:val="000000"/>
          <w:sz w:val="20"/>
        </w:rPr>
        <w:t>Amendment to Certificate of Incorporation and Bylaws</w:t>
      </w:r>
      <w:r>
        <w:rPr>
          <w:rFonts w:ascii="Times New Roman;sans-serif" w:hAnsi="Times New Roman;sans-serif"/>
          <w:b w:val="false"/>
          <w:color w:val="000000"/>
          <w:sz w:val="20"/>
        </w:rPr>
        <w:t xml:space="preserve">. Any amendment of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amended and restated certificate of incorporation must be approved by not less than 66 2/3% of the outstanding shares entitled to vote on the amendment, and not less than 66 2/3% of the outstanding shares of each class entitled to vote thereon as a class. Our amended and restated bylaws may be amended by the affirmative vote of a majority of the directors then in office, subject to any limitations set forth in the bylaws; and </w:t>
      </w:r>
      <w:r>
        <w:br w:type="page"/>
      </w: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may also be amended by the affirmative vote of a majority of the outstanding shares entitled to vote on the amendment. </w:t>
      </w:r>
    </w:p>
    <w:p>
      <w:pPr>
        <w:pStyle w:val="TextBody"/>
        <w:spacing w:lineRule="auto" w:line="288" w:before="240" w:after="283"/>
        <w:rPr/>
      </w:pPr>
      <w:r>
        <w:rPr>
          <w:rFonts w:ascii="Times New Roman;sans-serif" w:hAnsi="Times New Roman;sans-serif"/>
          <w:b w:val="false"/>
          <w:i/>
          <w:color w:val="000000"/>
          <w:sz w:val="20"/>
        </w:rPr>
        <w:t>Undesignated Preferred Stock</w:t>
      </w:r>
      <w:r>
        <w:rPr>
          <w:rFonts w:ascii="Times New Roman;sans-serif" w:hAnsi="Times New Roman;sans-serif"/>
          <w:b w:val="false"/>
          <w:color w:val="000000"/>
          <w:sz w:val="20"/>
        </w:rPr>
        <w:t xml:space="preserve">. Our amended and restated certificate of incorporation provides for 25,000,000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Exclusive Forum</w:t>
      </w:r>
      <w:r>
        <w:rPr>
          <w:rFonts w:ascii="Times New Roman;sans-serif" w:hAnsi="Times New Roman;sans-serif"/>
          <w:b w:val="false"/>
          <w:color w:val="000000"/>
          <w:sz w:val="20"/>
        </w:rPr>
        <w:t>. Our amended and restated bylaws provide</w:t>
      </w:r>
      <w:r>
        <w:rPr>
          <w:color w:val="000000"/>
        </w:rPr>
        <w:t xml:space="preserve"> </w:t>
      </w:r>
      <w:r>
        <w:rPr>
          <w:rFonts w:ascii="Times New Roman;sans-serif" w:hAnsi="Times New Roman;sans-serif"/>
          <w:b w:val="false"/>
          <w:color w:val="000000"/>
          <w:sz w:val="20"/>
        </w:rPr>
        <w:t>that, unless we consent in writing to the selection of an alternative forum, the Court of Chancery of the State of Delaware will be the sole and exclusive forum for any state law claim for (i) any derivative action or proceeding brought on our behalf; (ii) any action asserting a claim of breach of a fiduciary duty owed by any of our directors, officers and employees to us or our stockholders; (iii) any action asserting a claim arising pursuant to the Delaware General Corporation Law, our amended and restated certificate of incorporation or our amended and restated bylaws; or (iv) any action asserting a claim that is governed by the internal affairs doctrine (the “Delaware Forum Provision”). The Delaware Forum Provision will not apply to any causes of action arising under the Securities Act of 1933, as amended (the “Securities Act”) or the Exchange Act.</w:t>
      </w:r>
      <w:r>
        <w:rPr>
          <w:color w:val="000000"/>
        </w:rPr>
        <w:t xml:space="preserve"> </w:t>
      </w:r>
      <w:r>
        <w:rPr>
          <w:rFonts w:ascii="Times New Roman;sans-serif" w:hAnsi="Times New Roman;sans-serif"/>
          <w:b w:val="false"/>
          <w:color w:val="000000"/>
          <w:sz w:val="20"/>
        </w:rPr>
        <w:t>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w:t>
      </w:r>
      <w:r>
        <w:rPr>
          <w:color w:val="000000"/>
        </w:rPr>
        <w:t xml:space="preserve"> </w:t>
      </w:r>
      <w:r>
        <w:rPr>
          <w:rFonts w:ascii="Times New Roman;sans-serif" w:hAnsi="Times New Roman;sans-serif"/>
          <w:b w:val="false"/>
          <w:color w:val="000000"/>
          <w:sz w:val="20"/>
        </w:rPr>
        <w:t>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The Delaware Forum Provision and the Federal Forum Provision may impose additional costs on stockholders, may limit our stockholders’ ability to bring a claim in a forum they find favorable, and the designated courts may reach different judgments or results than other courts.</w:t>
      </w:r>
      <w:r>
        <w:rPr>
          <w:color w:val="000000"/>
        </w:rPr>
        <w:t xml:space="preserve"> </w:t>
      </w:r>
      <w:r>
        <w:rPr>
          <w:rFonts w:ascii="Times New Roman;sans-serif" w:hAnsi="Times New Roman;sans-serif"/>
          <w:b w:val="false"/>
          <w:color w:val="000000"/>
          <w:sz w:val="20"/>
        </w:rPr>
        <w:t>In addition, there is uncertainty as to whether the Federal Forum Provision for Securities Act claims will be enforced, which may impose additional costs on us and our stockholders.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Section 203 of the Delaware General Corporation Law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382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before the stockholder became interested, the board of directors of the corporation approved either the business combination or the transaction which resulted in the stockholder becoming an interested stockholder;</w:t>
            </w:r>
          </w:p>
        </w:tc>
      </w:tr>
    </w:tbl>
    <w:p>
      <w:pPr>
        <w:pStyle w:val="TextBody"/>
        <w:spacing w:lineRule="auto" w:line="288"/>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38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382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tc>
      </w:tr>
    </w:tbl>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203 defines a business combination to include: </w:t>
      </w:r>
    </w:p>
    <w:p>
      <w:pPr>
        <w:pStyle w:val="TextBody"/>
        <w:spacing w:lineRule="auto" w:line="288" w:before="0" w:after="0"/>
        <w:rPr>
          <w:color w:val="000000"/>
        </w:rPr>
      </w:pPr>
      <w:r>
        <w:rPr>
          <w:color w:val="000000"/>
        </w:rPr>
        <w:t> </w:t>
      </w:r>
    </w:p>
    <w:tbl>
      <w:tblPr>
        <w:tblW w:w="812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083"/>
        <w:gridCol w:w="2083"/>
        <w:gridCol w:w="29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3" w:type="dxa"/>
            <w:tcBorders/>
            <w:shd w:fill="auto" w:val="clear"/>
            <w:vAlign w:val="center"/>
          </w:tcPr>
          <w:p>
            <w:pPr>
              <w:pStyle w:val="TableContents"/>
              <w:spacing w:before="0" w:after="283"/>
              <w:rPr>
                <w:sz w:val="4"/>
                <w:szCs w:val="4"/>
              </w:rPr>
            </w:pPr>
            <w:r>
              <w:rPr>
                <w:sz w:val="4"/>
                <w:szCs w:val="4"/>
              </w:rPr>
            </w:r>
          </w:p>
        </w:tc>
        <w:tc>
          <w:tcPr>
            <w:tcW w:w="2083" w:type="dxa"/>
            <w:tcBorders/>
            <w:shd w:fill="auto" w:val="clear"/>
            <w:vAlign w:val="center"/>
          </w:tcPr>
          <w:p>
            <w:pPr>
              <w:pStyle w:val="TableContents"/>
              <w:spacing w:before="0" w:after="283"/>
              <w:rPr>
                <w:sz w:val="4"/>
                <w:szCs w:val="4"/>
              </w:rPr>
            </w:pPr>
            <w:r>
              <w:rPr>
                <w:sz w:val="4"/>
                <w:szCs w:val="4"/>
              </w:rPr>
            </w:r>
          </w:p>
        </w:tc>
        <w:tc>
          <w:tcPr>
            <w:tcW w:w="29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merger or consolidation involving the corporation and the interested stockholder;</w:t>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38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sale, transfer, lease, pledge or other disposition involving the interested stockholder of 10% or more of the assets of the corporation;</w:t>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38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exceptions, any transaction that results in the issuance of transfer by the corporation of any stock of the corporation to the interested stockholder;</w:t>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382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exceptions, any transaction involving the corporation that has the effect of increasing the proportionate share of the stock of any class or series of the corporation beneficially owned by the interested stockholder; and</w:t>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receipt by the interested stockholder of the benefit of any loans, advances, guarantees, pledges or other financial benefits provided by or through the corporation.</w:t>
            </w:r>
          </w:p>
        </w:tc>
      </w:tr>
    </w:tbl>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spacing w:lineRule="auto" w:line="288"/>
        <w:rPr>
          <w:color w:val="000000"/>
        </w:rPr>
      </w:pP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tbl>
      <w:tblPr>
        <w:tblW w:w="9145" w:type="dxa"/>
        <w:jc w:val="center"/>
        <w:tblInd w:w="0" w:type="dxa"/>
        <w:tblCellMar>
          <w:top w:w="28" w:type="dxa"/>
          <w:left w:w="28" w:type="dxa"/>
          <w:bottom w:w="28" w:type="dxa"/>
          <w:right w:w="28" w:type="dxa"/>
        </w:tblCellMar>
      </w:tblPr>
      <w:tblGrid>
        <w:gridCol w:w="2408"/>
        <w:gridCol w:w="2120"/>
        <w:gridCol w:w="2131"/>
        <w:gridCol w:w="109"/>
        <w:gridCol w:w="109"/>
        <w:gridCol w:w="109"/>
        <w:gridCol w:w="632"/>
        <w:gridCol w:w="632"/>
        <w:gridCol w:w="895"/>
      </w:tblGrid>
      <w:tr>
        <w:trPr/>
        <w:tc>
          <w:tcPr>
            <w:tcW w:w="2408"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Country or Jurisdiction</w:t>
            </w:r>
          </w:p>
        </w:tc>
      </w:tr>
      <w:tr>
        <w:trPr/>
        <w:tc>
          <w:tcPr>
            <w:tcW w:w="6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Pty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Guidewire Servicios de Software Services do Brazil Ltda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Canada ULC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(Beijing) Co.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Denmark ApS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France S.A.S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GmbH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Cyence India Private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(Ireland)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(Italy) S.r.l.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Japan K.K.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(Malaysia) Sdn. BHD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Poland Sp. z o.o.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Spain, S.L.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(Switzerland) GmbH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Software (UK)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Cyence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EagleEye Analytics,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Guidewire International Holdings,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48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lineRule="auto" w:line="288" w:before="240" w:after="48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88" w:before="0" w:after="200"/>
        <w:rPr/>
      </w:pPr>
      <w:r>
        <w:rPr>
          <w:rFonts w:ascii="Times New Roman;sans-serif" w:hAnsi="Times New Roman;sans-serif"/>
          <w:b w:val="false"/>
          <w:color w:val="000000"/>
          <w:sz w:val="20"/>
        </w:rPr>
        <w:t>We consent to the incorporation by reference in the registration statements (Nos. 333-253968, 333</w:t>
        <w:noBreakHyphen/>
        <w:t>230132, 333</w:t>
        <w:noBreakHyphen/>
        <w:t>223478, 333</w:t>
        <w:noBreakHyphen/>
        <w:t>216530, 333</w:t>
        <w:noBreakHyphen/>
        <w:t>209906, 333</w:t>
        <w:noBreakHyphen/>
        <w:t>202541, 333</w:t>
        <w:noBreakHyphen/>
        <w:t>194290, 333-187004 and 333</w:t>
        <w:noBreakHyphen/>
        <w:t>179799) on Form S-8, and in the registration statements (Nos. 333</w:t>
        <w:noBreakHyphen/>
        <w:t>223487, 333</w:t>
        <w:noBreakHyphen/>
        <w:t>221298, 333</w:t>
        <w:noBreakHyphen/>
        <w:t>191856, and 333</w:t>
        <w:noBreakHyphen/>
        <w:t>191834) on Form S-3 of Guidewire Software, Inc. of our report dated September 24, 2021, with respect to the consolidated financial statements of Guidewire Software, Inc. and the effectiveness of internal control over financial reporting</w:t>
      </w:r>
      <w:r>
        <w:rPr>
          <w:rFonts w:ascii="Times New Roman;sans-serif" w:hAnsi="Times New Roman;sans-serif"/>
          <w:b w:val="false"/>
          <w:i/>
          <w:color w:val="000000"/>
          <w:sz w:val="20"/>
        </w:rPr>
        <w:t>.</w:t>
      </w:r>
      <w:r>
        <w:rPr>
          <w:color w:val="000000"/>
        </w:rPr>
        <w:t xml:space="preserve"> </w:t>
      </w:r>
    </w:p>
    <w:p>
      <w:pPr>
        <w:pStyle w:val="TextBody"/>
        <w:spacing w:before="0" w:after="180"/>
        <w:jc w:val="center"/>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Santa Clara, California</w:t>
      </w:r>
    </w:p>
    <w:p>
      <w:pPr>
        <w:pStyle w:val="TextBody"/>
        <w:spacing w:before="0" w:after="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September 24, 2021</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 Mike Rosenbaum, certify that:</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Guidewire Software, Inc.;</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283"/>
        <w:ind w:left="0" w:right="0" w:hanging="360"/>
        <w:rPr/>
      </w:pPr>
      <w:r>
        <w:rPr>
          <w:rFonts w:ascii="Times New Roman;sans-serif" w:hAnsi="Times New Roman;sans-serif"/>
          <w:b w:val="false"/>
          <w:color w:val="000000"/>
          <w:sz w:val="18"/>
        </w:rPr>
        <w:t>5.</w:t>
      </w:r>
      <w:r>
        <w:rPr>
          <w:color w:val="000000"/>
        </w:rPr>
        <w:t xml:space="preserve"> </w:t>
      </w: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4900" w:type="dxa"/>
        <w:jc w:val="center"/>
        <w:tblInd w:w="0" w:type="dxa"/>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640"/>
        <w:gridCol w:w="640"/>
        <w:gridCol w:w="909"/>
      </w:tblGrid>
      <w:tr>
        <w:trPr/>
        <w:tc>
          <w:tcPr>
            <w:tcW w:w="17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r>
      <w:tr>
        <w:trPr/>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MIKE ROSENBAUM</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Mike Rosenbaum</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 Jeff Cooper, certify that:</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Guidewire Software, Inc.;</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283"/>
        <w:ind w:left="0" w:right="0" w:hanging="360"/>
        <w:rPr/>
      </w:pPr>
      <w:r>
        <w:rPr>
          <w:rFonts w:ascii="Times New Roman;sans-serif" w:hAnsi="Times New Roman;sans-serif"/>
          <w:b w:val="false"/>
          <w:color w:val="000000"/>
          <w:sz w:val="18"/>
        </w:rPr>
        <w:t>5.</w:t>
      </w:r>
      <w:r>
        <w:rPr>
          <w:color w:val="000000"/>
        </w:rPr>
        <w:t xml:space="preserve"> </w:t>
      </w: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6026" w:type="dxa"/>
        <w:jc w:val="center"/>
        <w:tblInd w:w="0" w:type="dxa"/>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970"/>
        <w:gridCol w:w="970"/>
        <w:gridCol w:w="1375"/>
      </w:tblGrid>
      <w:tr>
        <w:trPr/>
        <w:tc>
          <w:tcPr>
            <w:tcW w:w="17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r>
      <w:tr>
        <w:trPr/>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JEFF COOPER</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Cooper</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and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00" w:after="100"/>
        <w:jc w:val="right"/>
        <w:rPr/>
      </w:pPr>
      <w:r>
        <w:rPr>
          <w:rFonts w:ascii="Times New Roman;sans-serif" w:hAnsi="Times New Roman;sans-serif"/>
          <w:b/>
          <w:color w:val="000000"/>
          <w:sz w:val="20"/>
        </w:rPr>
        <w:t>E</w:t>
      </w:r>
      <w:r>
        <w:rPr>
          <w:rFonts w:ascii="Times New Roman;sans-serif" w:hAnsi="Times New Roman;sans-serif"/>
          <w:b/>
          <w:color w:val="000000"/>
          <w:sz w:val="18"/>
        </w:rPr>
        <w:t xml:space="preserve">xhibit 32.1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CERTIFICATION OF CHIEF EXECUTIVE OFFICER AND CHIEF FINANCIAL OFFICER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PURSUANT TO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18 U.S.C. SECTION 1350,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AS ADOPTED PURSUANT TO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SECTION 906 OF THE SARBANES-OXLEY ACT OF 2002 </w:t>
      </w:r>
    </w:p>
    <w:p>
      <w:pPr>
        <w:pStyle w:val="TextBody"/>
        <w:spacing w:lineRule="auto" w:line="288" w:before="100" w:after="100"/>
        <w:rPr>
          <w:color w:val="000000"/>
        </w:rPr>
      </w:pPr>
      <w:r>
        <w:rPr>
          <w:color w:val="000000"/>
        </w:rPr>
        <w:t>    </w:t>
      </w:r>
      <w:r>
        <w:rPr>
          <w:rFonts w:ascii="Times New Roman;sans-serif" w:hAnsi="Times New Roman;sans-serif"/>
          <w:b w:val="false"/>
          <w:color w:val="000000"/>
          <w:sz w:val="18"/>
        </w:rPr>
        <w:t xml:space="preserve">In connection with the Annual Report on Form 10-K of Guidewire Software, Inc. for the year ended July 31, 2021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 </w:t>
      </w:r>
    </w:p>
    <w:tbl>
      <w:tblPr>
        <w:tblW w:w="4900" w:type="dxa"/>
        <w:jc w:val="center"/>
        <w:tblInd w:w="0" w:type="dxa"/>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640"/>
        <w:gridCol w:w="640"/>
        <w:gridCol w:w="909"/>
      </w:tblGrid>
      <w:tr>
        <w:trPr/>
        <w:tc>
          <w:tcPr>
            <w:tcW w:w="17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r>
      <w:tr>
        <w:trPr/>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MIKE ROSENBAUM</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Mike Rosenbaum</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18"/>
        </w:rPr>
        <w:t xml:space="preserve">In connection with the Annual Report on Form 10-K of Guidewire Software, Inc. for the year ended July 31, 2021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 </w:t>
      </w:r>
    </w:p>
    <w:tbl>
      <w:tblPr>
        <w:tblW w:w="6026" w:type="dxa"/>
        <w:jc w:val="center"/>
        <w:tblInd w:w="0" w:type="dxa"/>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970"/>
        <w:gridCol w:w="970"/>
        <w:gridCol w:w="1375"/>
      </w:tblGrid>
      <w:tr>
        <w:trPr/>
        <w:tc>
          <w:tcPr>
            <w:tcW w:w="17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r>
      <w:tr>
        <w:trPr/>
        <w:tc>
          <w:tcPr>
            <w:tcW w:w="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JEFF COOPER</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Cooper</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r>
        <w:trPr/>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and Accounting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28396/000152839620000012/a31-guidewirexarcertif.htm" TargetMode="External"/><Relationship Id="rId4" Type="http://schemas.openxmlformats.org/officeDocument/2006/relationships/hyperlink" Target="https://www.sec.gov/Archives/edgar/data/1528396/000152839620000045/amendedandrestatedbyla.htm" TargetMode="External"/><Relationship Id="rId5" Type="http://schemas.openxmlformats.org/officeDocument/2006/relationships/hyperlink" Target="http://www.sec.gov/Archives/edgar/data/1528396/000119312512006627/d219721dex41.htm" TargetMode="External"/><Relationship Id="rId6" Type="http://schemas.openxmlformats.org/officeDocument/2006/relationships/hyperlink" Target="http://www.sec.gov/Archives/edgar/data/1528396/000119312518080863/d548361dex41.htm" TargetMode="External"/><Relationship Id="rId7" Type="http://schemas.openxmlformats.org/officeDocument/2006/relationships/hyperlink" Target="http://www.sec.gov/Archives/edgar/data/1528396/000119312518080863/d548361dex42.htm" TargetMode="External"/><Relationship Id="rId8" Type="http://schemas.openxmlformats.org/officeDocument/2006/relationships/hyperlink" Target="http://www.sec.gov/Archives/edgar/data/1528396/000119312518080863/d548361dex43.htm" TargetMode="External"/><Relationship Id="rId9" Type="http://schemas.openxmlformats.org/officeDocument/2006/relationships/hyperlink" Target="http://www.sec.gov/Archives/edgar/data/1528396/000119312511339725/d219721dex105.htm" TargetMode="External"/><Relationship Id="rId10" Type="http://schemas.openxmlformats.org/officeDocument/2006/relationships/hyperlink" Target="http://www.sec.gov/Archives/edgar/data/1528396/000152839615000028/gwreex109formofpsuagreement.htm" TargetMode="External"/><Relationship Id="rId11" Type="http://schemas.openxmlformats.org/officeDocument/2006/relationships/hyperlink" Target="https://www.sec.gov/Archives/edgar/data/1528396/000152839620000012/a105-formnogpsu.htm" TargetMode="External"/><Relationship Id="rId12" Type="http://schemas.openxmlformats.org/officeDocument/2006/relationships/hyperlink" Target="https://www.sec.gov/Archives/edgar/data/1528396/000152839620000012/a102-formofrestricteds.htm" TargetMode="External"/><Relationship Id="rId13" Type="http://schemas.openxmlformats.org/officeDocument/2006/relationships/hyperlink" Target="https://www.sec.gov/Archives/edgar/data/1528396/000152839620000012/a101-formofrestricteds.htm" TargetMode="External"/><Relationship Id="rId14" Type="http://schemas.openxmlformats.org/officeDocument/2006/relationships/hyperlink" Target="http://www.sec.gov/Archives/edgar/data/1528396/000152839620000012/a103-formofrestricteds.htm" TargetMode="External"/><Relationship Id="rId15" Type="http://schemas.openxmlformats.org/officeDocument/2006/relationships/hyperlink" Target="https://www.sec.gov/Archives/edgar/data/1528396/000152839620000012/a104-formltip.htm" TargetMode="External"/><Relationship Id="rId16" Type="http://schemas.openxmlformats.org/officeDocument/2006/relationships/hyperlink" Target="http://www.sec.gov/Archives/edgar/data/1528396/000152839621000019/exhibit101-guidewire2020st.htm" TargetMode="External"/><Relationship Id="rId17" Type="http://schemas.openxmlformats.org/officeDocument/2006/relationships/hyperlink" Target="http://www.sec.gov/Archives/edgar/data/1528396/000119312511339725/d219721dex1012.htm" TargetMode="External"/><Relationship Id="rId18" Type="http://schemas.openxmlformats.org/officeDocument/2006/relationships/hyperlink" Target="https://www.sec.gov/Archives/edgar/data/1528396/000152839620000012/a106-guidewireformofex.htm" TargetMode="External"/><Relationship Id="rId19" Type="http://schemas.openxmlformats.org/officeDocument/2006/relationships/hyperlink" Target="https://www.sec.gov/Archives/edgar/data/1528396/000119312519213000/d759177dex101.htm" TargetMode="External"/><Relationship Id="rId20" Type="http://schemas.openxmlformats.org/officeDocument/2006/relationships/hyperlink" Target="https://www.sec.gov/Archives/edgar/data/1528396/000152839620000070/gwre-ex101rosenbaumexe.htm" TargetMode="External"/><Relationship Id="rId21" Type="http://schemas.openxmlformats.org/officeDocument/2006/relationships/hyperlink" Target="http://www.sec.gov/Archives/edgar/data/1528396/000119312511285002/d219721dex101.htm" TargetMode="External"/><Relationship Id="rId22" Type="http://schemas.openxmlformats.org/officeDocument/2006/relationships/hyperlink" Target="http://www.sec.gov/Archives/edgar/data/1528396/000119312518080863/d548361dex101.htm" TargetMode="External"/><Relationship Id="rId23" Type="http://schemas.openxmlformats.org/officeDocument/2006/relationships/hyperlink" Target="http://www.sec.gov/Archives/edgar/data/1528396/000152839618000037/hqleasebaymeadowsex101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62968</Words>
  <CharactersWithSpaces>418481</CharactersWithSpaces>
  <Paragraphs>4697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