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July 31, 2025</w:t>
      </w:r>
    </w:p>
    <w:p>
      <w:pPr>
        <w:spacing w:after="0" w:line="8"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 w:lineRule="exact"/>
        <w:rPr>
          <w:sz w:val="24"/>
          <w:szCs w:val="24"/>
          <w:color w:val="auto"/>
        </w:rPr>
      </w:pPr>
    </w:p>
    <w:tbl>
      <w:tblPr>
        <w:tblLayout w:type="fixed"/>
        <w:tblInd w:w="34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w:t>
            </w:r>
          </w:p>
        </w:tc>
        <w:tc>
          <w:tcPr>
            <w:tcW w:w="42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20" w:type="dxa"/>
            <w:vAlign w:val="bottom"/>
            <w:gridSpan w:val="5"/>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Commission file number: 001-35394</w:t>
            </w:r>
          </w:p>
        </w:tc>
        <w:tc>
          <w:tcPr>
            <w:tcW w:w="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gridSpan w:val="6"/>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gridSpan w:val="6"/>
          </w:tcPr>
          <w:p>
            <w:pPr>
              <w:jc w:val="center"/>
              <w:ind w:left="12"/>
              <w:spacing w:after="0"/>
              <w:rPr>
                <w:sz w:val="20"/>
                <w:szCs w:val="20"/>
                <w:color w:val="auto"/>
              </w:rPr>
            </w:pPr>
            <w:r>
              <w:rPr>
                <w:rFonts w:ascii="Times New Roman" w:cs="Times New Roman" w:eastAsia="Times New Roman" w:hAnsi="Times New Roman"/>
                <w:sz w:val="36"/>
                <w:szCs w:val="36"/>
                <w:b w:val="1"/>
                <w:bCs w:val="1"/>
                <w:color w:val="auto"/>
                <w:w w:val="99"/>
              </w:rPr>
              <w:t>Guidewire Software, Inc.</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40" w:type="dxa"/>
            <w:vAlign w:val="bottom"/>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20" w:type="dxa"/>
            <w:vAlign w:val="bottom"/>
            <w:gridSpan w:val="5"/>
          </w:tcPr>
          <w:p>
            <w:pPr>
              <w:jc w:val="center"/>
              <w:ind w:left="392"/>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1420" w:type="dxa"/>
            <w:vAlign w:val="bottom"/>
          </w:tcPr>
          <w:p>
            <w:pPr>
              <w:spacing w:after="0"/>
              <w:rPr>
                <w:sz w:val="24"/>
                <w:szCs w:val="24"/>
                <w:color w:val="auto"/>
              </w:rPr>
            </w:pPr>
          </w:p>
        </w:tc>
        <w:tc>
          <w:tcPr>
            <w:tcW w:w="17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36-4468504</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4600" w:type="dxa"/>
            <w:vAlign w:val="bottom"/>
            <w:gridSpan w:val="5"/>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4600" w:type="dxa"/>
            <w:vAlign w:val="bottom"/>
            <w:gridSpan w:val="5"/>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1"/>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970 Park Pl., Suite 200, San Mateo, California, 94403</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60" w:type="dxa"/>
            <w:vAlign w:val="bottom"/>
            <w:gridSpan w:val="3"/>
          </w:tcPr>
          <w:p>
            <w:pPr>
              <w:jc w:val="center"/>
              <w:ind w:left="1312"/>
              <w:spacing w:after="0"/>
              <w:rPr>
                <w:sz w:val="20"/>
                <w:szCs w:val="20"/>
                <w:color w:val="auto"/>
              </w:rPr>
            </w:pPr>
            <w:r>
              <w:rPr>
                <w:rFonts w:ascii="Times New Roman" w:cs="Times New Roman" w:eastAsia="Times New Roman" w:hAnsi="Times New Roman"/>
                <w:sz w:val="16"/>
                <w:szCs w:val="16"/>
                <w:b w:val="1"/>
                <w:bCs w:val="1"/>
                <w:color w:val="auto"/>
              </w:rPr>
              <w:t>(650) 357-9100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14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40" w:type="dxa"/>
            <w:vAlign w:val="bottom"/>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7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gridSpan w:val="4"/>
          </w:tcPr>
          <w:p>
            <w:pPr>
              <w:jc w:val="center"/>
              <w:ind w:left="6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100" w:type="dxa"/>
            <w:vAlign w:val="bottom"/>
          </w:tcPr>
          <w:p>
            <w:pPr>
              <w:spacing w:after="0"/>
              <w:rPr>
                <w:sz w:val="18"/>
                <w:szCs w:val="18"/>
                <w:color w:val="auto"/>
              </w:rPr>
            </w:pP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GWRE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2"/>
          </w:tcPr>
          <w:p>
            <w:pPr>
              <w:jc w:val="center"/>
              <w:ind w:left="204"/>
              <w:spacing w:after="0"/>
              <w:rPr>
                <w:sz w:val="20"/>
                <w:szCs w:val="20"/>
                <w:color w:val="auto"/>
              </w:rPr>
            </w:pPr>
            <w:r>
              <w:rPr>
                <w:rFonts w:ascii="Times New Roman" w:cs="Times New Roman" w:eastAsia="Times New Roman" w:hAnsi="Times New Roman"/>
                <w:sz w:val="16"/>
                <w:szCs w:val="16"/>
                <w:b w:val="1"/>
                <w:bCs w:val="1"/>
                <w:color w:val="auto"/>
              </w:rPr>
              <w:t>None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40" w:type="dxa"/>
            <w:vAlign w:val="bottom"/>
            <w:gridSpan w:val="6"/>
          </w:tcPr>
          <w:p>
            <w:pPr>
              <w:jc w:val="center"/>
              <w:spacing w:after="0" w:line="194" w:lineRule="exact"/>
              <w:rPr>
                <w:sz w:val="20"/>
                <w:szCs w:val="20"/>
                <w:color w:val="auto"/>
              </w:rPr>
            </w:pPr>
            <w:r>
              <w:rPr>
                <w:rFonts w:ascii="Times New Roman" w:cs="Times New Roman" w:eastAsia="Times New Roman" w:hAnsi="Times New Roman"/>
                <w:sz w:val="18"/>
                <w:szCs w:val="18"/>
                <w:color w:val="auto"/>
              </w:rPr>
              <w:t>_______________________________________</w:t>
            </w:r>
          </w:p>
        </w:tc>
        <w:tc>
          <w:tcPr>
            <w:tcW w:w="2220" w:type="dxa"/>
            <w:vAlign w:val="bottom"/>
            <w:vMerge w:val="restart"/>
          </w:tcPr>
          <w:p>
            <w:pPr>
              <w:jc w:val="center"/>
              <w:ind w:right="148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68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2220" w:type="dxa"/>
            <w:vAlign w:val="bottom"/>
          </w:tcPr>
          <w:p>
            <w:pPr>
              <w:jc w:val="center"/>
              <w:ind w:right="148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14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24"/>
        <w:spacing w:after="0" w:line="1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60" w:firstLine="324"/>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5" w:lineRule="exact"/>
        <w:rPr>
          <w:sz w:val="24"/>
          <w:szCs w:val="24"/>
          <w:color w:val="auto"/>
        </w:rPr>
      </w:pPr>
    </w:p>
    <w:p>
      <w:pPr>
        <w:ind w:right="4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36" w:lineRule="exact"/>
        <w:rPr>
          <w:sz w:val="24"/>
          <w:szCs w:val="24"/>
          <w:color w:val="auto"/>
        </w:rPr>
      </w:pPr>
    </w:p>
    <w:p>
      <w:pPr>
        <w:ind w:left="340"/>
        <w:spacing w:after="0"/>
        <w:tabs>
          <w:tab w:leader="none" w:pos="6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Yes</w:t>
      </w:r>
    </w:p>
    <w:p>
      <w:pPr>
        <w:spacing w:after="0" w:line="12" w:lineRule="exact"/>
        <w:rPr>
          <w:sz w:val="24"/>
          <w:szCs w:val="24"/>
          <w:color w:val="auto"/>
        </w:rPr>
      </w:pPr>
    </w:p>
    <w:p>
      <w:pPr>
        <w:ind w:left="280" w:hanging="272"/>
        <w:spacing w:after="0" w:line="161" w:lineRule="exact"/>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140"/>
          </w:cols>
          <w:pgMar w:left="320" w:top="229" w:right="439" w:bottom="1440" w:gutter="0" w:footer="0" w:header="0"/>
        </w:sectPr>
      </w:pPr>
    </w:p>
    <w:p>
      <w:pPr>
        <w:spacing w:after="0" w:line="200" w:lineRule="exact"/>
        <w:rPr>
          <w:sz w:val="24"/>
          <w:szCs w:val="24"/>
          <w:color w:val="auto"/>
        </w:rPr>
      </w:pPr>
    </w:p>
    <w:p>
      <w:pPr>
        <w:spacing w:after="0" w:line="3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closing price at which the common stock was sold on January 31, 2025, the last business day of the registrant’s most recently completed second fiscal quarter, as reported on the New York Stock Exchange, was approximately $13.4 billion.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 August 29, 2025, the registrant had 84,530,578 shares of common stock issued and outstanding.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3"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2025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17"/>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Guidewire Software, Inc.</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17"/>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9"/>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3"/>
          </w:tcPr>
          <w:p>
            <w:pPr>
              <w:jc w:val="center"/>
              <w:ind w:right="406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Business</w:t>
            </w:r>
          </w:p>
        </w:tc>
        <w:tc>
          <w:tcPr>
            <w:tcW w:w="460" w:type="dxa"/>
            <w:vAlign w:val="bottom"/>
            <w:tcBorders>
              <w:top w:val="single" w:sz="8" w:color="0000FF"/>
            </w:tcBorders>
            <w:gridSpan w:val="2"/>
          </w:tcPr>
          <w:p>
            <w:pPr>
              <w:spacing w:after="0"/>
              <w:rPr>
                <w:sz w:val="18"/>
                <w:szCs w:val="18"/>
                <w:color w:val="auto"/>
              </w:rPr>
            </w:pPr>
          </w:p>
        </w:tc>
        <w:tc>
          <w:tcPr>
            <w:tcW w:w="4100" w:type="dxa"/>
            <w:vAlign w:val="bottom"/>
            <w:gridSpan w:val="10"/>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13</w:t>
            </w:r>
          </w:p>
        </w:tc>
      </w:tr>
      <w:tr>
        <w:trPr>
          <w:trHeight w:val="20"/>
        </w:trPr>
        <w:tc>
          <w:tcPr>
            <w:tcW w:w="8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41</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18"/>
                <w:szCs w:val="18"/>
                <w:color w:val="auto"/>
              </w:rPr>
            </w:pPr>
          </w:p>
        </w:tc>
        <w:tc>
          <w:tcPr>
            <w:tcW w:w="6720" w:type="dxa"/>
            <w:vAlign w:val="bottom"/>
            <w:gridSpan w:val="20"/>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33CC"/>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42</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020" w:type="dxa"/>
            <w:vAlign w:val="bottom"/>
            <w:gridSpan w:val="28"/>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43</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20" w:type="dxa"/>
            <w:vAlign w:val="bottom"/>
            <w:gridSpan w:val="24"/>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43</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43</w:t>
            </w:r>
          </w:p>
        </w:tc>
      </w:tr>
      <w:tr>
        <w:trPr>
          <w:trHeight w:val="479"/>
        </w:trPr>
        <w:tc>
          <w:tcPr>
            <w:tcW w:w="8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3"/>
          </w:tcPr>
          <w:p>
            <w:pPr>
              <w:jc w:val="center"/>
              <w:ind w:right="4080"/>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tcPr>
          <w:p>
            <w:pPr>
              <w:spacing w:after="0"/>
              <w:rPr>
                <w:sz w:val="24"/>
                <w:szCs w:val="24"/>
                <w:color w:val="auto"/>
              </w:rPr>
            </w:pPr>
          </w:p>
        </w:tc>
        <w:tc>
          <w:tcPr>
            <w:tcW w:w="100" w:type="dxa"/>
            <w:vAlign w:val="bottom"/>
            <w:tcBorders>
              <w:top w:val="single" w:sz="8" w:color="0033CC"/>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45</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[Reserved]</w:t>
            </w:r>
          </w:p>
        </w:tc>
        <w:tc>
          <w:tcPr>
            <w:tcW w:w="7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0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47</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64</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6"/>
          </w:tcPr>
          <w:p>
            <w:pPr>
              <w:spacing w:after="0"/>
              <w:rPr>
                <w:sz w:val="18"/>
                <w:szCs w:val="18"/>
                <w:color w:val="auto"/>
              </w:rPr>
            </w:pPr>
          </w:p>
        </w:tc>
        <w:tc>
          <w:tcPr>
            <w:tcW w:w="440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33CC"/>
              <w:bottom w:val="single" w:sz="8" w:color="0033CC"/>
            </w:tcBorders>
            <w:gridSpan w:val="2"/>
          </w:tcPr>
          <w:p>
            <w:pPr>
              <w:jc w:val="right"/>
              <w:spacing w:after="0"/>
              <w:rPr>
                <w:sz w:val="20"/>
                <w:szCs w:val="20"/>
                <w:color w:val="auto"/>
              </w:rPr>
            </w:pPr>
            <w:r>
              <w:rPr>
                <w:rFonts w:ascii="Times New Roman" w:cs="Times New Roman" w:eastAsia="Times New Roman" w:hAnsi="Times New Roman"/>
                <w:sz w:val="18"/>
                <w:szCs w:val="18"/>
                <w:color w:val="0033CC"/>
                <w:w w:val="88"/>
              </w:rPr>
              <w:t>66</w:t>
            </w: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105</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60" w:type="dxa"/>
            <w:vAlign w:val="bottom"/>
            <w:gridSpan w:val="19"/>
          </w:tcPr>
          <w:p>
            <w:pPr>
              <w:spacing w:after="0"/>
              <w:rPr>
                <w:sz w:val="18"/>
                <w:szCs w:val="18"/>
                <w:color w:val="auto"/>
              </w:rPr>
            </w:pPr>
          </w:p>
        </w:tc>
        <w:tc>
          <w:tcPr>
            <w:tcW w:w="2220" w:type="dxa"/>
            <w:vAlign w:val="bottom"/>
            <w:gridSpan w:val="3"/>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105</w:t>
            </w:r>
          </w:p>
        </w:tc>
      </w:tr>
      <w:tr>
        <w:trPr>
          <w:trHeight w:val="20"/>
        </w:trPr>
        <w:tc>
          <w:tcPr>
            <w:tcW w:w="8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3"/>
          </w:tcPr>
          <w:p>
            <w:pPr>
              <w:spacing w:after="0"/>
              <w:rPr>
                <w:sz w:val="18"/>
                <w:szCs w:val="18"/>
                <w:color w:val="auto"/>
              </w:rPr>
            </w:pPr>
          </w:p>
        </w:tc>
        <w:tc>
          <w:tcPr>
            <w:tcW w:w="6980" w:type="dxa"/>
            <w:vAlign w:val="bottom"/>
            <w:gridSpan w:val="22"/>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106</w:t>
            </w:r>
          </w:p>
        </w:tc>
      </w:tr>
      <w:tr>
        <w:trPr>
          <w:trHeight w:val="20"/>
        </w:trPr>
        <w:tc>
          <w:tcPr>
            <w:tcW w:w="8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106</w:t>
            </w:r>
          </w:p>
        </w:tc>
      </w:tr>
      <w:tr>
        <w:trPr>
          <w:trHeight w:val="209"/>
        </w:trPr>
        <w:tc>
          <w:tcPr>
            <w:tcW w:w="8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2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60" w:type="dxa"/>
            <w:vAlign w:val="bottom"/>
            <w:tcBorders>
              <w:top w:val="single" w:sz="8" w:color="0000FF"/>
            </w:tcBorders>
          </w:tcPr>
          <w:p>
            <w:pPr>
              <w:spacing w:after="0"/>
              <w:rPr>
                <w:sz w:val="18"/>
                <w:szCs w:val="18"/>
                <w:color w:val="auto"/>
              </w:rPr>
            </w:pPr>
          </w:p>
        </w:tc>
        <w:tc>
          <w:tcPr>
            <w:tcW w:w="386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0033CC"/>
            </w:tcBorders>
          </w:tcPr>
          <w:p>
            <w:pPr>
              <w:spacing w:after="0"/>
              <w:rPr>
                <w:sz w:val="18"/>
                <w:szCs w:val="18"/>
                <w:color w:val="auto"/>
              </w:rPr>
            </w:pPr>
          </w:p>
        </w:tc>
        <w:tc>
          <w:tcPr>
            <w:tcW w:w="80" w:type="dxa"/>
            <w:vAlign w:val="bottom"/>
            <w:tcBorders>
              <w:top w:val="single" w:sz="8" w:color="0033CC"/>
            </w:tcBorders>
          </w:tcPr>
          <w:p>
            <w:pPr>
              <w:spacing w:after="0"/>
              <w:rPr>
                <w:sz w:val="18"/>
                <w:szCs w:val="18"/>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60" w:type="dxa"/>
            <w:vAlign w:val="bottom"/>
            <w:gridSpan w:val="16"/>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108</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60" w:type="dxa"/>
            <w:vAlign w:val="bottom"/>
            <w:gridSpan w:val="16"/>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108</w:t>
            </w:r>
          </w:p>
        </w:tc>
      </w:tr>
      <w:tr>
        <w:trPr>
          <w:trHeight w:val="20"/>
        </w:trPr>
        <w:tc>
          <w:tcPr>
            <w:tcW w:w="8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460" w:type="dxa"/>
            <w:vAlign w:val="bottom"/>
            <w:gridSpan w:val="2"/>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108</w:t>
            </w:r>
          </w:p>
        </w:tc>
      </w:tr>
      <w:tr>
        <w:trPr>
          <w:trHeight w:val="20"/>
        </w:trPr>
        <w:tc>
          <w:tcPr>
            <w:tcW w:w="8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18"/>
                <w:szCs w:val="18"/>
                <w:color w:val="auto"/>
              </w:rPr>
            </w:pPr>
          </w:p>
        </w:tc>
        <w:tc>
          <w:tcPr>
            <w:tcW w:w="1460" w:type="dxa"/>
            <w:vAlign w:val="bottom"/>
            <w:gridSpan w:val="2"/>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108</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00" w:type="dxa"/>
            <w:vAlign w:val="bottom"/>
            <w:gridSpan w:val="5"/>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108</w:t>
            </w:r>
          </w:p>
        </w:tc>
      </w:tr>
      <w:tr>
        <w:trPr>
          <w:trHeight w:val="480"/>
        </w:trPr>
        <w:tc>
          <w:tcPr>
            <w:tcW w:w="8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5"/>
          </w:tcPr>
          <w:p>
            <w:pPr>
              <w:jc w:val="center"/>
              <w:ind w:right="4020"/>
              <w:spacing w:after="0"/>
              <w:rPr>
                <w:sz w:val="20"/>
                <w:szCs w:val="20"/>
                <w:color w:val="auto"/>
              </w:rPr>
            </w:pPr>
            <w:r>
              <w:rPr>
                <w:rFonts w:ascii="Times New Roman" w:cs="Times New Roman" w:eastAsia="Times New Roman" w:hAnsi="Times New Roman"/>
                <w:sz w:val="18"/>
                <w:szCs w:val="18"/>
                <w:b w:val="1"/>
                <w:bCs w:val="1"/>
                <w:color w:val="0000FF"/>
                <w:w w:val="99"/>
              </w:rPr>
              <w:t>Part IV</w:t>
            </w:r>
          </w:p>
        </w:tc>
        <w:tc>
          <w:tcPr>
            <w:tcW w:w="780" w:type="dxa"/>
            <w:vAlign w:val="bottom"/>
          </w:tcPr>
          <w:p>
            <w:pPr>
              <w:spacing w:after="0"/>
              <w:rPr>
                <w:sz w:val="24"/>
                <w:szCs w:val="24"/>
                <w:color w:val="auto"/>
              </w:rPr>
            </w:pPr>
          </w:p>
        </w:tc>
        <w:tc>
          <w:tcPr>
            <w:tcW w:w="100" w:type="dxa"/>
            <w:vAlign w:val="bottom"/>
            <w:tcBorders>
              <w:top w:val="single" w:sz="8" w:color="0033CC"/>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80" w:type="dxa"/>
            <w:vAlign w:val="bottom"/>
            <w:tcBorders>
              <w:top w:val="single" w:sz="8" w:color="0000FF"/>
            </w:tcBorders>
            <w:gridSpan w:val="6"/>
          </w:tcPr>
          <w:p>
            <w:pPr>
              <w:spacing w:after="0"/>
              <w:rPr>
                <w:sz w:val="18"/>
                <w:szCs w:val="18"/>
                <w:color w:val="auto"/>
              </w:rPr>
            </w:pPr>
          </w:p>
        </w:tc>
        <w:tc>
          <w:tcPr>
            <w:tcW w:w="4040" w:type="dxa"/>
            <w:vAlign w:val="bottom"/>
            <w:gridSpan w:val="8"/>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110</w:t>
            </w:r>
          </w:p>
        </w:tc>
      </w:tr>
      <w:tr>
        <w:trPr>
          <w:trHeight w:val="20"/>
        </w:trPr>
        <w:tc>
          <w:tcPr>
            <w:tcW w:w="8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600" w:type="dxa"/>
            <w:vAlign w:val="bottom"/>
            <w:gridSpan w:val="18"/>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80" w:type="dxa"/>
            <w:vAlign w:val="bottom"/>
            <w:gridSpan w:val="2"/>
            <w:shd w:val="clear" w:color="auto" w:fill="0033CC"/>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5600" w:type="dxa"/>
            <w:vAlign w:val="bottom"/>
            <w:gridSpan w:val="18"/>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33CC"/>
              </w:rPr>
              <w:t>113</w:t>
            </w: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33CC"/>
            </w:tcBorders>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cloud operations, cybersecurity effectiveness,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w:t>
      </w:r>
    </w:p>
    <w:p>
      <w:pPr>
        <w:spacing w:after="0" w:line="13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Annual Report on Form 10-K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 When using the term “products,” we are generally referring to both our subscription services and term license software.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Purpose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Guidewire is the platform that property and casualty (“P&amp;C”) insurers rely on to engage with customers, innovate, and operate more efficiently. Founded in 2001, we serve insurers of all sizes, ranging from global carriers to regional and local providers, helping them navigate a rapidly changing insurance market.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combines core systems of record with digital, analytics, and artificial intelligence (“AI”) capabilities. Our foundational core products, InsuranceSuite and InsuranceNow, are delivered primarily as a cloud-based subscription service leveraging our proprietary cloud platform which we refer to as Guidewire Cloud Platform (“GWCP”). Historically, InsuranceSuite has also been available for self-managed installations. These products serve as transactional systems of record, fully supporting insurance operations, including product definition, policy administration, claims management and billing.</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support our core products, we provide digital engagement offerings that enable seamless sales, omnichannel service, and enhanced claims experiences for policyholders, agents, vendors, and field personnel and analytics products that allow insurers to manage and use data more effectively, gain business insights, improve operational efficiency, and underwrite emerging risks. To support insurers worldwide, we localize our products to address diverse regulatory, language, and currency requirements. Additionally, we provide Guidewire Marketplace to empower customers pursuing innovation initiatives by offering a vetted collection of insurtech applications and to help them differentiate their businesses by allowing them to leverage capabilities from the Guidewire ecosystem.</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reach customers directly through our global sales team and in partnership with third-party global system integrators (“SIs”). Because our platform is central to insurers’ operations, customer evaluation cycles are often extensive, particularly when multiple products are involved or when insurers are moving to GWCP for the first time. Sales processes typically include detailed due diligence and customer reference checks.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migration and expansion activity on GWCP, our growth depends on continuously enhancing existing products, introducing new capabilities, ensuring efficient cloud operations, and expanding local content. We sell our products primarily through subscription services for our platform and cloud-delivered products. We generally price our subscription services for core products based on the amount of Direct Written Premium (“DWP”) managed on our platform, with certain cloud-delivered products priced based on usage or other metrics. Initial subscription agreements are generally five years in duration, with annual renewals thereafter. In some instances, we have customers that sign contracts with an initial term of seven years or longer. Subscription revenue is recognized ratably over the contract term. We also offer term licenses, primarily for existing on-premise customers, as well as support and professional services. Support is typically priced as a percentage of license fees and recognized ratably, while most professional services are billed monthly on a time-and-materials basis.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P&amp;C insurance industry is large, fragmented, highly regulated, and complex. It is also highly competitive, with insurers competing primarily on product differentiation, pricing options, customer service, marketing and advertising, affiliate programs, and channel strategies. In some instances, P&amp;C insurers rely on legacy systems that may impact their ability to respond to business and market requirements.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better respond to market demands, P&amp;C insurers modernize their transactional core systems to manage key functional areas of P&amp;C insurance, including product definition, underwriting and policy administration, claims management, and billing. Product definition specifies the insurance coverage, pricing, and financial and legal terms of insurance policies. Underwriting and policy administration includes collecting information from potential policyholders, determining appropriate coverages and terms, pricing policies, issuing policies, and updating and maintaining policies over their lifetimes. Claims management includes loss intake, investigation and evaluation of incidents, settlement negotiation, vendor management, litigation management, and payment processing. Billing includes policyholder invoicing, payment collection, and agent commission calculation. We believe insurers that adopt modern, cloud-based core systems can enhance customer experience, operate more efficiently, and introduce innovative products more rapidly.</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P&amp;C insurance industry is rapidly evolving in how insurers engage with, sell to, and manage relationships with, consumers and businesses. Today, P&amp;C insurers are striving to respond to significant changes in their competitive marketplace and the characteristics of the risks they underwrite. The most significant changes include:</w:t>
      </w:r>
    </w:p>
    <w:p>
      <w:pPr>
        <w:spacing w:after="0" w:line="122" w:lineRule="exact"/>
        <w:rPr>
          <w:sz w:val="20"/>
          <w:szCs w:val="20"/>
          <w:color w:val="auto"/>
        </w:rPr>
      </w:pPr>
    </w:p>
    <w:p>
      <w:pPr>
        <w:ind w:left="5580" w:right="3180" w:hanging="4803"/>
        <w:spacing w:after="0" w:line="923" w:lineRule="auto"/>
        <w:tabs>
          <w:tab w:leader="none" w:pos="10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industry going through rapid change that requires agility and efficiency from its core systems;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00" w:hanging="323"/>
        <w:spacing w:after="0" w:line="282" w:lineRule="auto"/>
        <w:tabs>
          <w:tab w:leader="none" w:pos="10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catastrophes and natural disasters impacting the P&amp;C insurance industry requiring agility and innovation from its core systems;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rise in customer expectations for digital, mobile, and omnichannel interaction to augment the traditional agent model;</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growth in demand for personalized services and products;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technology and market-driven changes in vehicular risk, including usage and driving behavior based insurance;</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consolidation of providers of insurance products and associated rationalization of markets served given recent claims ratio trends and developments;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coverage of emerging risks such as terrorism, cybersecurity, pandemic, and reputational risk;</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data volumes which require modern tools to build analytics and gain actionable insights;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the use of data and AI-based analytics to better market to and engage with customers, price policies, and manage claims;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opportunities to compete or partner with non-traditional players that offer disruptive technology-based value propositions;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industry leaders are facing increased competition from new entrants in the market, including insurtech companies;</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generational turnover in the underwriting and claims workforce, as the baby boomer generation retires and insurers must hire, train, and retain talent at scale; and</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and leveraging of new technologies, such as generative AI, large language models, autonomous driving, and telematics.</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response to these trends, changes, challenges, and opportunities, we believe that P&amp;C insurers need a modern core platform that can increase agility and enhance digital engagement and analytics offerings.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While each insurer may have different goals and priorities when pursuing new technology investments, there are several major themes that we believe guide these investments:</w:t>
      </w:r>
    </w:p>
    <w:p>
      <w:pPr>
        <w:spacing w:after="0" w:line="40" w:lineRule="exact"/>
        <w:rPr>
          <w:sz w:val="20"/>
          <w:szCs w:val="20"/>
          <w:color w:val="auto"/>
        </w:rPr>
      </w:pPr>
    </w:p>
    <w:p>
      <w:pPr>
        <w:jc w:val="both"/>
        <w:ind w:left="1100" w:hanging="323"/>
        <w:spacing w:after="0" w:line="261" w:lineRule="auto"/>
        <w:tabs>
          <w:tab w:leader="none" w:pos="10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Agility</w:t>
      </w:r>
      <w:r>
        <w:rPr>
          <w:rFonts w:ascii="Times New Roman" w:cs="Times New Roman" w:eastAsia="Times New Roman" w:hAnsi="Times New Roman"/>
          <w:sz w:val="18"/>
          <w:szCs w:val="18"/>
          <w:color w:val="auto"/>
        </w:rPr>
        <w:t>. Insurers face rising competitive and market pressures, including social inflation that is contributing to higher claims severity across lines of business, that demand faster product definition, risk selection and pricing, and market entry or exit. These pressures are heightened by climate-driven risk events such as wildfires and floods, growing competition from digital-first insurers, and broader macroeconomic challenges including inflation, supply chain volatility, and changes in trade policies.</w:t>
      </w:r>
    </w:p>
    <w:p>
      <w:pPr>
        <w:spacing w:after="0" w:line="58" w:lineRule="exact"/>
        <w:rPr>
          <w:rFonts w:ascii="Times New Roman" w:cs="Times New Roman" w:eastAsia="Times New Roman" w:hAnsi="Times New Roman"/>
          <w:sz w:val="18"/>
          <w:szCs w:val="18"/>
          <w:color w:val="auto"/>
        </w:rPr>
      </w:pPr>
    </w:p>
    <w:p>
      <w:pPr>
        <w:jc w:val="both"/>
        <w:ind w:left="1100" w:hanging="323"/>
        <w:spacing w:after="0" w:line="261" w:lineRule="auto"/>
        <w:tabs>
          <w:tab w:leader="none" w:pos="10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Digital Engagement Models</w:t>
      </w:r>
      <w:r>
        <w:rPr>
          <w:rFonts w:ascii="Times New Roman" w:cs="Times New Roman" w:eastAsia="Times New Roman" w:hAnsi="Times New Roman"/>
          <w:sz w:val="18"/>
          <w:szCs w:val="18"/>
          <w:color w:val="auto"/>
        </w:rPr>
        <w:t>. Policyholders and agents increasingly expect seamless, digital-first experiences. Insurers are investing in modern engagement tools to reduce customer dissatisfaction and improve retention while transitioning from transactional interactions to more advisory and personalized relationships. Examples include embedded insurance offerings, omnichannel claims service, and personalized product recommendations. These investments can drive higher lead conversion and lower churn.</w:t>
      </w:r>
    </w:p>
    <w:p>
      <w:pPr>
        <w:spacing w:after="0" w:line="44" w:lineRule="exact"/>
        <w:rPr>
          <w:rFonts w:ascii="Times New Roman" w:cs="Times New Roman" w:eastAsia="Times New Roman" w:hAnsi="Times New Roman"/>
          <w:sz w:val="18"/>
          <w:szCs w:val="18"/>
          <w:color w:val="auto"/>
        </w:rPr>
      </w:pPr>
    </w:p>
    <w:p>
      <w:pPr>
        <w:jc w:val="both"/>
        <w:ind w:left="1100" w:hanging="323"/>
        <w:spacing w:after="0" w:line="261" w:lineRule="auto"/>
        <w:tabs>
          <w:tab w:leader="none" w:pos="10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Cloud-Delivered Solutions</w:t>
      </w:r>
      <w:r>
        <w:rPr>
          <w:rFonts w:ascii="Times New Roman" w:cs="Times New Roman" w:eastAsia="Times New Roman" w:hAnsi="Times New Roman"/>
          <w:sz w:val="18"/>
          <w:szCs w:val="18"/>
          <w:color w:val="auto"/>
        </w:rPr>
        <w:t>. Adoption of cloud platforms is accelerating as insurers recognize the cost efficiencies, scalability, and security benefits of public cloud infrastructure. We believe cloud deployment also enables faster innovation cycles, improved resilience during catastrophe events, and easier compliance with evolving regulatory requirements. By shifting infrastructure management to third parties, insurers can focus more resources on differentiating products and services.</w:t>
      </w:r>
    </w:p>
    <w:p>
      <w:pPr>
        <w:spacing w:after="0" w:line="58" w:lineRule="exact"/>
        <w:rPr>
          <w:rFonts w:ascii="Times New Roman" w:cs="Times New Roman" w:eastAsia="Times New Roman" w:hAnsi="Times New Roman"/>
          <w:sz w:val="18"/>
          <w:szCs w:val="18"/>
          <w:color w:val="auto"/>
        </w:rPr>
      </w:pPr>
    </w:p>
    <w:p>
      <w:pPr>
        <w:jc w:val="both"/>
        <w:ind w:left="1100" w:hanging="323"/>
        <w:spacing w:after="0" w:line="256" w:lineRule="auto"/>
        <w:tabs>
          <w:tab w:leader="none" w:pos="10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Driven Decision-Making</w:t>
      </w:r>
      <w:r>
        <w:rPr>
          <w:rFonts w:ascii="Times New Roman" w:cs="Times New Roman" w:eastAsia="Times New Roman" w:hAnsi="Times New Roman"/>
          <w:sz w:val="18"/>
          <w:szCs w:val="18"/>
          <w:color w:val="auto"/>
        </w:rPr>
        <w:t>. Insurers are increasingly leveraging proprietary and third-party data sources, ranging from telematics and internet-connected devices to catastrophe and climate models, to inform decisions across underwriting, claims, and pricing. Predictive analytics and AI technologies can help underwriters and claims professionals improve accuracy and efficiency, while automation enables straight-through processing where possible. At the same time, insurers must balance these gains with transparency and compliance requirements around the use of analytics and AI technologies. Insurers also face costs from fraud in underwriting and claims and are using analytics and AI technologies to improve detection and reduce related expenses.</w:t>
      </w:r>
    </w:p>
    <w:p>
      <w:pPr>
        <w:spacing w:after="0" w:line="65"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Innovation</w:t>
      </w:r>
      <w:r>
        <w:rPr>
          <w:rFonts w:ascii="Times New Roman" w:cs="Times New Roman" w:eastAsia="Times New Roman" w:hAnsi="Times New Roman"/>
          <w:sz w:val="18"/>
          <w:szCs w:val="18"/>
          <w:color w:val="auto"/>
        </w:rPr>
        <w:t>. Insurers are under pressure to innovate across their product lifecycle in order to grow their business and improve service quality. Examples of focus areas include creating services and products to target under-insured risks such as cyber, supply chain disruption, and reputational risk and partnering with insurtech providers to streamline operations and improve service to policyholders and agents.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100" w:hanging="323"/>
        <w:spacing w:after="0" w:line="266" w:lineRule="auto"/>
        <w:tabs>
          <w:tab w:leader="none" w:pos="10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Legacy System Modernization</w:t>
      </w:r>
      <w:r>
        <w:rPr>
          <w:rFonts w:ascii="Times New Roman" w:cs="Times New Roman" w:eastAsia="Times New Roman" w:hAnsi="Times New Roman"/>
          <w:sz w:val="18"/>
          <w:szCs w:val="18"/>
          <w:color w:val="auto"/>
        </w:rPr>
        <w:t>. A significant portion of the market continues to rely on legacy systems. We believe modern policy administration, claims management, and billing systems will continue to be adopted as insurers that rely on legacy systems seek to gain operating efficiencies, expand into new markets and lines of business, and introduce new digital and data offerings.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Guidewire ecosystem is designed so that insurers can increase revenue, reduce operational costs and losses, improve pricing, and engage with a customer base that increasingly demands convenience and automated forms of self-service and communication. We are investing in research and development to accelerate improvements in our platform and suite of products to better serve our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Operational Products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offer the following suite of products: Guidewire InsuranceSuite and Guidewire InsuranceNow.</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InsuranceSuite</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Guidewire InsuranceSuite is a highly configurable and scalable product, delivered as a service, and primarily comprised of three core applications (PolicyCenter, ClaimCenter, and BillingCenter) that can be subscribed to separately or together. These applications are built on and optimized for our GWCP architecture and leverage our in-house cloud operations team. GWCP is a Guidewire-developed infrastructure layer enabled by and hosted on Amazon Web Services (“AWS”). GWCP’s architecture consists of three primary layers. The specialized cloud infrastructure service and tool layer centered around optimizing service and resource availability, performance, scalability, and cost efficiency, maintaining data security, privacy and regulatory compliance, and offering a high degree of service observability to provide customers with better insight and control consistent with their operational needs. The data platform layer providing access to core and predictive analytics data to allow creation of curated datasets that can be used to drive delivery of actionable insights across the insurance lifecycle. The app platform layer containing modular, cloud-native services decoupled from the InsuranceSuite core that can be used individually or interconnected to enhance existing applications and empower creation of new business applications. GWCP was developed to meet the specialized needs of the P&amp;C insurance industry, providing a scalable cloud architecture that combines multi-tenant cloud services and tools with the ability to isolate each customer’s system of record and database instances. This approach provides our customers with the benefits of cloud-native infrastructure and services and the flexibility to provide differentiated services to their customers.</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InsuranceSuite is designed to support multiple releases each year to accelerate delivery of new capabilities and ensure that cloud customers remain on the latest version and gain fast access to our innovation efforts. Additionally, InsuranceSuite embeds digital and analytics capabilities natively into our platform. Most new sales and implementations are for InsuranceSuite.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Guidewire PolicyCenter is our flexible underwriting and policy administration application that serves as a comprehensive system-of-record supporting the entire policy lifecycle, including product definition, underwriting, quoting, binding, issuance, endorsements, audits, cancellations, and renewals. Guidewire ClaimCenter is a complete end-to-end claims management solution that offers core claims functionality. Guidewire BillingCenter automates the billing lifecycle, enables the design of a wide variety of billing and payment plans, manages agent commissions, and integrates with external payment systems. These primary applications also include predictive analytics that drive smart decisions, digital engagement, and an ecosystem of partners and insurtechs.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InsuranceNow</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Guidewire InsuranceNow is a complete, cloud-based application that offers policy administration, claims management, and billing functionality, plus pre-integrated document production, analytics, and other capabilities, that increases agility without adding complexity. Like InsuranceSuite, InsuranceNow is hosted on GWCP and managed by our internal cloud operations team. InsuranceNow is currently only available in the United States, and is generally suited to mid-market carriers and managing general agents whose needs are often not as complex as a typical InsuranceSuite customer.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Guidewire InsuranceSuite: Complementary Capabilities and Applications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offer several complementary capabilities and applications, some of which are included in the core operational services and products, and all of which are designed to work seamlessly with our core operational services and products, including:</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Rating Management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Guidewire Rating Management enables P&amp;C insurers to manage the pricing of their insurance services and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Reinsurance Management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Guidewire Reinsurance Management enables P&amp;C insurers to use rules-based logic to execute their reinsurance strategy through their underwriting and claims processes.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Client Data Management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Guidewire Client Data Management helps P&amp;C insurers capitalize on customer information more coherently, overcoming traditional siloed practices that impair efficiency and customer service.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Advanced Product Designer</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Guidewire Advanced Product Designer is a cloud-native application for insurance product design and management across the complete insurance lifecycle. It enables insurers to launch and update products quickly by providing visual product development tools, prebuilt product model templates, product management capability, and auto generated product code.</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Product Content Management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Guidewire Product Content Management provides software tools and standards-based, line-of-business templates to enable insurers to more rapidly introduce and modify services and products by reducing product configuration and maintenance efforts. Any such product introduction or modification must connect to and incorporate regulatory or industry-standard data and content, such as Insurance Services Office (“ISO”) or National Council on Compensation Insurance content.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Engagement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Digital Engagement Applications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to improve customer service and productivity. Digital engagement applications are enabled by the Jutro Digital Platform (“Jutro”), allowing insurers to strengthen customer relationships and brand loyalty while reducing operational cost through easy-to-use, self-service interactions. The focus of Jutro is on empowering “digital native users,” or those who understand and expect to interact with their insurers through digital experiences that are seamless, intuitive, user-friendly, mobile-ready, and omnichannel. In order to provide a holistic experience, Digital Applications are unified with InsuranceSuite.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offer a variety of applications that allow insurers to evaluate risks and write more profitable business by enabling a seamless path from data to value.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Predict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Predict is a P&amp;C-specific machine-learning platform that empowers insurers to make intelligent data-driven decisions throughout the insurance lifecycle. By building (or importing) predictive models built from multiple data sets, designing comprehensive solutions, and operationalizing the predictive insights, Predict allows insurers to rapidly turn any model into business value by delivering guidance to frontline decision makers. Predict for Claims helps customers to better manage claim indemnity and loss-adjustment expenses. Predict for Profitability improves pricing accuracy and customer satisfaction.</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HazardHub</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HazardHub allows insurers to understand, assess, price, and manage property risk quickly and intelligently. HazardHub provides a single source of geospatial risk data, and provides access to more than 950 risk variables, including perils from air, water, earth, and fire. HazardHub is a cloud-native solution delivered through an Application Programming Interface that provides access to this information for any personal or commercial property located in 19 countries, including, among others, Australia, France, Germany, New Zealand, South Africa, the United Kingdom (“U.K.”), and the United States, and has the ability to evaluate an entire portfolio for property risk.</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Canvas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Guidewire Canvas is a cloud-native application included with ClaimCenter. It features an interactive map that enables claims management and catastrophe response teams to geo-visualize claims to help improve customer satisfaction and reduce indemnity by proactively responding to storm events.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Compare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Guidewire Compare is a cloud-native application included with ClaimCenter that monitors key claims measures and gives feedback on how those compare against peer insurers in the Guidewire community, or within a single insurer across regions or over time. Compare allows claims organizations to increase their processing efficiency by monitoring key claims measures such as indemnity, expenses, cycle times, reserves, salvage, subrogation, percentage closed, catastrophe, and litigated.</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Industry Intel</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Guidewire Industry Intel comprises a set of pre-built AI-based models leveraging our comprehensive datasets. Intel provides carriers with line-of-business-specific actionable predictions to enhance operational efficiency directly embedded into core workflows within PolicyCenter and ClaimsCenter.</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Data Studio and Explore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Data Studio is a cloud-native application leveraging the Guidewire Data Platform. It is designed to provide streamlined access to the data from InsuranceSuite products. It provides a curated content data repository that enables insurers to build, organize, and publish InsuranceSuite datasets for downstream applications. The Guidewire Insurance Data Model contains sets of pre-curated P&amp;C insurance-specific metrics and attributes; data dictionaries; and supporting user diagrams and documentation. It facilitates the generation of financial and business insights, ultimately improving policy and claims outcomes for insurers.</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Guidewire Explore is a cloud-native business intelligence application with ready-to-use datasets, reports, and dashboards that provides insurers with financial and operational insights to better understand the health of their business, make informed decisions, identify areas of improvement, stay competitive, and support internal and external stakeholders.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Cyence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Cyence is a cyber-risk economic modeling product that helps P&amp;C insurers accurately measure the financial impact of cyber risk on their customers. It does this by capturing data about cyber threats from more than 400 sources, including public, open-source, proprietary, and third-party data. Cyence then curates and analyzes the data through AI and machine-learning statistical models to extract meaningful signals. Based on these models, Cyence produces insights delivered through reports that will predict the likelihood and economic impact of cyber attacks on a target company or individual. This can be used for underwriting, pricing, and developing cyber insurance products.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Guidewire DataHub and InfoCenter</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Guidewire DataHub is an operational data store that unifies, standardizes, and stores data from the patchwork of insurer’s systems as well as from external sources.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Guidewire InfoCenter is a business intelligence warehouse for P&amp;C insurers that provides information in easy-to-use formats for business intelligence, analysis, and enhanced decision making. With Guidewire InfoCenter, insurers gain flexible operational insights as well as the ability to optimize their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Guidewire Marketplace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Guidewire Marketplace is where insurers find vetted applications and content that complement the Guidewire platform from our PartnerConnect partners, as well as Guidewire product and services teams. These applications and content help insurers to rapidly innovate and differentiate their businesses by allowing them to leverage capabilities from the Guidewire ecosystem to meet their business goals. The Guidewire Marketplace also empowers customers pursuing innovation initiatives by offering a vetted collection of insurtech applications. Additionally, we promote innovation through our Insurtech Vanguards which is a community of select startups and technology providers, bringing transformative solutions to the P&amp;C industry and making innovation more accessible. Sixteen Insurtech Vanguards have been promoted to our PartnerConnect program. As of July 31, 2025, the Guidewire Marketplace had over 315 partner-developed integrations that have been awarded </w:t>
      </w:r>
      <w:r>
        <w:rPr>
          <w:rFonts w:ascii="Times New Roman" w:cs="Times New Roman" w:eastAsia="Times New Roman" w:hAnsi="Times New Roman"/>
          <w:sz w:val="18"/>
          <w:szCs w:val="18"/>
          <w:i w:val="1"/>
          <w:iCs w:val="1"/>
          <w:color w:val="auto"/>
        </w:rPr>
        <w:t>Ready for Guidewire</w:t>
      </w:r>
      <w:r>
        <w:rPr>
          <w:rFonts w:ascii="Times New Roman" w:cs="Times New Roman" w:eastAsia="Times New Roman" w:hAnsi="Times New Roman"/>
          <w:sz w:val="18"/>
          <w:szCs w:val="18"/>
          <w:color w:val="auto"/>
        </w:rPr>
        <w:t xml:space="preserve"> validation and hundreds of Guidewire-developed resources available for download. We are continually expanding the breadth of functionality and depth of partnerships in the Guidewire Marketplace.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increased the scope of our platform, products, and business through internal development and acquisitions. This growing scope has required greater investment in the development of application interfaces and shared services necessary to unify the operations and user experience across our applications. The prioritization of cloud-delivered solutions has also required significant focus in improving our ability to manage, secure, and operate our applications since our cloud-based deployments, unlike our self-managed implementations, shift many operational responsibilities to us.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cloud infrastructure is designed to enhance the security, stability, scalability and efficiency of our applications. Our cloud infrastructure leverages AWS regions worldwide and is tailored to provide both the benefit of cloud subscription services delivered in a cloud-native multi-tenant model while still providing insurers with the ability to configure and extend their applications via single-tenant environments which are easily managed via Guidewire Cloud Console. All of our cloud services and products comply with relevant standards set by ISO, American Institute of Certified Public Accountants, and Payment Card Industry Security Standards Council.</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we continue to improve the scalability of our service, which performs millions of complex, business-critical transactions daily. The accuracy and availability of our services must be maintained not only during normal business operations, but also during extraordinary events such as catastrophes, which may result in extremely high transaction volume in a short period of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implementation, cloud migration, and integration services to help our customers realize the benefits of our products. Our delivery services teams assist customers in building implementation or migration plans, integrating our software with their existing systems, and defining business rules and specific requirements unique to each customer. We also partner with leading SI consulting firms, certified on our software, to achieve scalable, cost-effective implementations for our customers.</w:t>
      </w:r>
    </w:p>
    <w:p>
      <w:pPr>
        <w:spacing w:after="0" w:line="126" w:lineRule="exact"/>
        <w:rPr>
          <w:sz w:val="20"/>
          <w:szCs w:val="20"/>
          <w:color w:val="auto"/>
        </w:rPr>
      </w:pPr>
    </w:p>
    <w:p>
      <w:pPr>
        <w:ind w:right="3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Our investments in services and partners are designed to ensure customer success by committing appropriate resources to implementation projects. </w:t>
      </w:r>
      <w:r>
        <w:rPr>
          <w:rFonts w:ascii="Times New Roman" w:cs="Times New Roman" w:eastAsia="Times New Roman" w:hAnsi="Times New Roman"/>
          <w:sz w:val="18"/>
          <w:szCs w:val="18"/>
          <w:b w:val="1"/>
          <w:bCs w:val="1"/>
          <w:color w:val="auto"/>
        </w:rPr>
        <w:t>Customer Support</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support for our subscription customers as part of our subscription services and to our license customers for an annual fee based on a percentage of the license fees. Subscription services also include regular updates to Guidewire software to ensure that Guidewire Cloud customers can easily access our latest innovations. New capabilities are often toggled-off so that customers can activate them at the right time for their businesses. This enables our customers to deliver improvements at a steady pace, optimized for their employees and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subscriptions include Guidewire Cloud Assurance Services, which provides for review of all configurations and integrations to ensure they follow published standards, best practices and required security methodologies. Furthermore, our internal cloud operations team monitors application performance and our customer success team works directly with customers to optimize adoption, user experience, and business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requires attracting, developing, and retaining a motivated team of individuals who thrive in a culture based on integrity, rationality, and collegiality. Understanding and proactively anticipating the priorities and needs of our current and future employees is important to realizing our mission to be the platform P&amp;C insurers rely on to engage, innovate, and grow efficiently.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we had 3,772 employees, including 1,879 in global product development and operations (comprised of research and development, cloud operations, and technical support), 873 in professional services, 533 in sales and marketing, and 487 in general and administrative roles. As of July 31, 2025, we had 1,714 employees in the United States and 2,058 employees internationally.</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Attracting, Developing, and Retaining Employees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recruiting, development, and retention objectives focus on providing an optimal employee experience and culture across the employee life cycle from recruitment to retirement, and involve attracting skilled and engaged employees who contribute the talent and range of perspectives critical to our innovative, forward-looking, and inclusive workforce. Our recruiting process is designed to reduce bias and support our ability to hire candidates with professional qualifications, personal potential, and differing perspectives. For certain roles and when required to meet our business needs, flexible work policies expand our ability to hire for certain roles and retain talent in geographies where we do not have physical offices. Fostering career progression by encouraging regular professional education empowers our employees to pursue their professional goals, which is critical to developing and retaining our employees. We invest in broad-based development by providing diverse growth opportunities, including skills training, on-demand AI learning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platforms, mentorship, and leadership programs. We gauge progress and efficacy, identify opportunities for change, and pursue solutions through tracking and analyzing data from various sources such as annual talent reviews, employee feedback, and our progress toward hiring and promotion goals.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People and Community Engagement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understanding and respecting another’s perspective, experience, background, and beliefs provides opportunities to expand horizons, increase innovation, challenge complacency, and foster empathy. A broad range of perspectives and experiences drives our innovative, collaborative, and engaged workplace. We aim for the highest standards of fairness and equal opportunity in recruitment, hiring, promotions, job assignments, and compensation. Initiatives to foster a collaborative and welcoming workplace include recruiting and outreach programs and various employee resource groups open to all employees.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Guidewire Gives Back (“GGB”) is our program focused on investing in local communities where we operate by encouraging employee volunteerism, philanthropy, and social impact investment. The GGB program is centered around employee engagement and community impact through volunteer hours from the Guidewire community and financial donations, both of which are geared toward making a measurable difference. The GGB strategy, programs, and collaborative partnerships reflect employees’ passions and embody Guidewire’s corporate mission, as well as our customers’ purpose.</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Corporate Culture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employees are critical to our success, and our global strategy includes cultivating an inclusive and engaged workforce that fosters collaboration and supports our shared values. Our values of integrity, rationality, and collegiality are the foundation of how we work with one another. We incorporate a wide variety of communication and training activities to encourage collaboration across our global workforce. We measure the effectiveness of our employee programs through quarterly surveys and use the results to identify opportunities for improvement.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Health and Wellness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a healthy, engaged, and high-performing workforce is part of our competitive advantage. We want all of our employees to thrive, and we regularly re-evaluate how to best support our employees’ wellness, health, and safety through management systems, policies, and programs that encompass our global operations. Our current benefit and wellness programs drive engagement that positively impacts our culture, job satisfaction, recruiting, and retention programs. We demonstrate our commitment to well-being through our physical, mental, and family health programs, and professional development opportunities. We also prioritize personal empowerment, wellness initiatives, safe and flexible workspaces, and comprehensive benefits — ensuring our team stays healthy, supported, and connected.</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Employee Relations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employees in the United States are not represented by a labor union; however, in certain foreign locations, there are workers’ councils that represent our employees. We have not experienced any work stoppages, and we consider our relations with our employees to be good. We recognize the critical role that our supervisors and managers play in fostering a productive, inclusive and respectful work environment, and we encourage employees to work directly with their supervisors, where possible, to efficiently and effectively resolve workplace concerns. We also respect our employees’ rights to voluntarily establish and join unions and similar associations without unlawful interference. We strive to work collaboratively with the councils and associations that represent our workers.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market and sell our products to a wide variety of global P&amp;C insurers ranging from some of the largest global insurers to national, regional, and state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Customers are defined as entities that have placed orders for our services or products. In some instances, a parent corporation can have multiple entities, or insurance brands, that place orders for our services or products and, in other instances, customers are in industries adjacent to the insurance industry and do not have an insurance brand. As of July 31, 2025, we had approximately 500 customers representing approximately 570 insurance brands in 43 countries. Our customer definition excludes customers that pay us less than $10,000 per year, which primarily represents customers of our HazardHub product.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Relationships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extensive relationships with SI, consulting, technology, and industry partners. Our network of partners has expanded as interest in and adoption of our platform has grown. We encourage our partners to co-market, pursue joint sales initiatives, obtain certifications related to our products, and drive broader adoption of our technology, helping us grow our business more efficiently and enabling us to focus our resources on continued innovation and further enhancement of our solutions.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work closely with our network of SI partners to facilitate new sales and implementations of our products. Our partnerships with leading SI partners allow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implement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PartnerConnect alliance program, we have a community of solution partners developing integrations that enable software and insurance business solutions to interoperate with our products, many of which are in the Guidewire Marketplace. These integrations help customers reduce implementation risk and effort, and lower the total cost of implementation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Consistent with our industry focus and the mission-critical needs our products address, our sales and marketing efforts are tailored to communicate effectively to senior executives within the P&amp;C insurance industry. Our sales, marketing, customer success, and executive teams work together to cultivate long-term relationships with current and prospective customers in each of the geographies in which we are active.</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products through demonstrations tailored to address those needs.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customer conference, where customers both participate in and deliver presentations on a wide range of Guidewire and insurance technology topics. We invite potential customers and partners to our customer conference, as we believe customer references are a key component of driving new sales.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strong relationships with leading SI partners enhance our direct sales through co-marketing efforts and by providing additional market validation of the distinctiveness and quality of our offerings.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focus on enhancing our platform, services, and products to meet the complex requirements of P&amp;C insurers with particular emphasis on capabilities, operational efficiency, data analytics,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products and necessary integrations to meet the market requirements, including regulations, language, currency, and local terminology, of each country or state in which our customers operate. This market-segment specific functionality must be updated regularly in order to stay current with regulatory changes in each market. We rely on a multi-national engineering team, which has grown organically and through acquisitions.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investments in cloud operations are focused on managing the infrastructure for our cloud-based customers in a secure, efficient, and cost-effective manner.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software market that caters to the P&amp;C insurance industry is highly competitive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to adopt more aggressive go-to-market strategies, improve existing products, introduce new products, develop innovative solutions that disrupt the market, and consolidate with other vendors. This market is also subject to changing technology preferences, shifting customer needs, and the adoption of cloud deployed solutions. These factors create an environment of shifting and increasing competition. Our current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competitors vary in size and in the breadth and scope of the products they offer. As we expand our product portfolio, we may begin to compete with software and service providers we have not traditionally competed against. Our current competitors include, but are not limited to, customers’ internally developed proprietary solutions; P&amp;C insurance software vendors such as Duck Creek, EIS Group, Insurity, Majesco, Origami Risk, and Sapiens; and horizontal software vendors such as SAP SE, Salesforce and ServiceNow.</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security and in-depth knowledge of the P&amp;C insurance industry. We typically compete favorably on the basis of these factors in most geographies.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United States and other jurisdictions, as well as license agreements and other contractual protections. We own or have pending patents and patent applications, which generally apply to our software. Our owned patents have expiration dates starting in 2025. We also rely on several registered and unregistered trademarks, as well as pending applications for such registrations, in order to protect our brand both in the United States and internationally.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 and Geographic Revenue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about geographic revenue is set forth in Note 2 “Revenue” and information about segment reporting is set forth in Note 13 “Segment Information” to our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in our subscription revenue as a result of increased customer orders in our fourth fiscal quarter due to efforts by our sales team to achieve annual incentives. Because we recognize revenue upfront for term licenses compared to over time for subscription services, changes in the mix between term license and subscription services may impact our quarterly results. Additionally, any significant multi-year term license renewal or non-renewal could impact quarterly results.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has and will dampen the impact of seasonality on our revenue.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calendar year end holidays in the United States.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filings are available to view and download free of charge on our investor relations website as soon as reasonably practicable after we file them with the SEC: Annual Report on Form 10-K, Quarterly Reports on Form 10-Q, Current Reports on Form 8-K, and our Proxy Statement for our annual meeting of stockholders. Our website is located at </w:t>
      </w:r>
      <w:r>
        <w:rPr>
          <w:rFonts w:ascii="Times New Roman" w:cs="Times New Roman" w:eastAsia="Times New Roman" w:hAnsi="Times New Roman"/>
          <w:sz w:val="18"/>
          <w:szCs w:val="18"/>
          <w:u w:val="single" w:color="auto"/>
          <w:color w:val="auto"/>
        </w:rPr>
        <w:t>www.guidewire.com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u w:val="single" w:color="auto"/>
          <w:color w:val="auto"/>
        </w:rPr>
        <w:t>ir.guidewire.com</w:t>
      </w:r>
      <w:r>
        <w:rPr>
          <w:rFonts w:ascii="Times New Roman" w:cs="Times New Roman" w:eastAsia="Times New Roman" w:hAnsi="Times New Roman"/>
          <w:sz w:val="18"/>
          <w:szCs w:val="18"/>
          <w:color w:val="auto"/>
        </w:rPr>
        <w:t xml:space="preserve">. We also provide a link to the section of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has all of our public filings, including periodic reports, proxy statements, and other information.</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access to a recording of our earnings calls and certain events we participate in or host with members of the investment community on our investor relations website. Additionally, we also provide notifications on our investor relations website of news or announcements regarding our financial performance, including SEC filings, investor events, press releases, and earnings releases.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Corporate sustainability information is available on our website and is located at www.guidewire.com/corporate-sustainability. The contents of our websites, including any information contained in reports or other resources found on such websites, are not intended to be incorporated by reference into this Annual Report on Form 10-K or in any other report or document we file with the SEC.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0000FF"/>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such risks and uncertainties, together with the other information contained in this Annual Report on Form 10-K,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27" w:lineRule="exact"/>
        <w:rPr>
          <w:sz w:val="20"/>
          <w:szCs w:val="20"/>
          <w:color w:val="auto"/>
        </w:rPr>
      </w:pPr>
    </w:p>
    <w:p>
      <w:pPr>
        <w:ind w:left="340" w:right="2400" w:firstLine="2529"/>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SUMMARY OF MATERIAL RISKS ASSOCIATED WITH OUR BUSINESS </w:t>
      </w:r>
      <w:r>
        <w:rPr>
          <w:rFonts w:ascii="Times New Roman" w:cs="Times New Roman" w:eastAsia="Times New Roman" w:hAnsi="Times New Roman"/>
          <w:sz w:val="18"/>
          <w:szCs w:val="18"/>
          <w:color w:val="auto"/>
        </w:rPr>
        <w:t>The principal risks and uncertainties affecting our business include the following:</w:t>
      </w:r>
    </w:p>
    <w:p>
      <w:pPr>
        <w:spacing w:after="0" w:line="1" w:lineRule="exact"/>
        <w:rPr>
          <w:sz w:val="20"/>
          <w:szCs w:val="20"/>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results may fluctuate significantly due to a number of factors, including economic conditions, customer behavior, contract provisions and changes, operational costs and reliability, seasonality, and other uncertainties, which could impact our stock price;</w:t>
      </w:r>
    </w:p>
    <w:p>
      <w:pPr>
        <w:spacing w:after="0" w:line="40"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orders from a relatively small number of customers in the P&amp;C insurance industry for a substantial portion of our revenue and Annual Recurring Revenue (“ARR”) and the related substantial negotiating leverage of these customers, as well as our dependence on customer renewals and expansions of their contracts for our products, which may not occur;</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and variable sales and implementation cycles, with factors beyond our control, including competitive pressures, potentially causing expenditure of significant time and resources prior to revenue generation;</w:t>
      </w:r>
    </w:p>
    <w:p>
      <w:pPr>
        <w:spacing w:after="0" w:line="40"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attributes of our applications, including the need to continuously develop and enhance our products to satisfy customer demands, maintain market acceptance, respond to competitive pressures, and meet local requirements of international markets;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grow our business and manage our expanding operations, including internationally, effectively;</w:t>
      </w:r>
    </w:p>
    <w:p>
      <w:pPr>
        <w:spacing w:after="0" w:line="103"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adoption of our cloud-based products, migrate existing term license customers to cloud-based offerings on a subscription basis, and manage long-term pricing commitments in our customer contracts that are based on available information and estimates about future costs that may change;</w:t>
      </w:r>
    </w:p>
    <w:p>
      <w:pPr>
        <w:spacing w:after="0" w:line="54"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risks in relation to data security incidents or breaches of our cloud-based products, unauthorized access to our customers’ or employees’ data, and the related impact on our ability to effectively operate our cloud environment for our customers;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AI, as well as the use of AI by our workforce, combined with an uncertain regulatory environment, may result in reputational harm, liability, or other adverse consequences to our business operations;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and hiring new personnel, including managing a hybrid and geographically distributed workforce;</w:t>
      </w:r>
    </w:p>
    <w:p>
      <w:pPr>
        <w:spacing w:after="0" w:line="103"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failures in our products or services, as well as failures, security vulnerabilities, or service interruptions of third-party technologies and service providers we utilize, could impair the availability of our products, harm our reputation, lead to customer loss, increase liability claims, or harm our future financial results;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quality and effectiveness of our professional services, technical support, and SI partners, and successful development of our global direct sales force and the expansion of our relationships with SI partners;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affect our gross and operating margins, including revenue mix and costs related to operating, securing, and enhancing our subscription services;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acquisitions or partnerships may lead to management distractions, integration challenges, increased costs, and stockholder dilution, with risks including unforeseen difficulties, capital investment needs, and competitive pressures;</w:t>
      </w:r>
    </w:p>
    <w:p>
      <w:pPr>
        <w:spacing w:after="0" w:line="26"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market risks, including geographical and global events, supply chain disruptions, inflation, political and regional conflicts, interest rates, foreign currency exchange rates, tariffs, and financial markets’ volatility and their impact on our stock price and its volatility and our customers, partners, vendors, or our business operations; and</w:t>
      </w:r>
    </w:p>
    <w:p>
      <w:pPr>
        <w:spacing w:after="0" w:line="54"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current and evolving local data privacy and cybersecurity laws and regulations in all jurisdictions where we have customers, and our ability to maintain the security of our customers’ data and our cloud-based products, appropriately limit the use of information, and manage related costs and liabilities incurred.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104" w:lineRule="exact"/>
        <w:rPr>
          <w:sz w:val="20"/>
          <w:szCs w:val="20"/>
          <w:color w:val="auto"/>
        </w:rPr>
      </w:pPr>
    </w:p>
    <w:p>
      <w:pPr>
        <w:jc w:val="both"/>
        <w:ind w:left="1100" w:hanging="323"/>
        <w:spacing w:after="0" w:line="266" w:lineRule="auto"/>
        <w:tabs>
          <w:tab w:leader="none" w:pos="109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impact of economic downturns and related market volatility caused by economic volatility, inflation, bank failures and associated financial instability and crises, political uncertainties, or other national and worldwide events on our business and the businesses of our customers, partners, and vendors;</w:t>
      </w:r>
    </w:p>
    <w:p>
      <w:pPr>
        <w:spacing w:after="0" w:line="40" w:lineRule="exact"/>
        <w:rPr>
          <w:rFonts w:ascii="Times New Roman" w:cs="Times New Roman" w:eastAsia="Times New Roman" w:hAnsi="Times New Roman"/>
          <w:sz w:val="18"/>
          <w:szCs w:val="18"/>
          <w:b w:val="1"/>
          <w:bCs w:val="1"/>
          <w:i w:val="1"/>
          <w:iCs w:val="1"/>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potential customers and our ability to sell additional software and services to existing customers;</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software licenses, and the variations in revenue recognition between these contract types;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 and renewals or modifications of customer contracts;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cybersecurity, product development, and services;</w:t>
      </w:r>
    </w:p>
    <w:p>
      <w:pPr>
        <w:spacing w:after="0" w:line="103"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 adoption of cloud-based services, including the impact of our customers transitioning from term software licenses to subscription services;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investments in customer implementation and migration projects, utilization rates, or fixed fee contracts;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 concerns related to employee data, customer data, and systems that are accessed or otherwise used by our hybrid workforce and customers;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the ability to hire and onboard appropriate personnel, and the timing of hiring personnel and employee related expenses;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 and other strategic business transactions;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decisions;</w:t>
      </w:r>
    </w:p>
    <w:p>
      <w:pPr>
        <w:spacing w:after="0" w:line="103" w:lineRule="exact"/>
        <w:rPr>
          <w:rFonts w:ascii="Times New Roman" w:cs="Times New Roman" w:eastAsia="Times New Roman" w:hAnsi="Times New Roman"/>
          <w:sz w:val="18"/>
          <w:szCs w:val="18"/>
          <w:color w:val="auto"/>
        </w:rPr>
      </w:pPr>
    </w:p>
    <w:p>
      <w:pPr>
        <w:jc w:val="both"/>
        <w:ind w:left="1100" w:hanging="323"/>
        <w:spacing w:after="0" w:line="261"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 on our business, including public health crises, such as epidemics and pandemics, changes in political climate, geographic and political conflicts, and uncertainties with respect to trade tariffs, trade agreements, and other trade issues that may cause a delay in entering into, a failure to enter into, or cancellation of significant customer agreements or the fulfillment of professional service arrangements;</w:t>
      </w:r>
    </w:p>
    <w:p>
      <w:pPr>
        <w:spacing w:after="0" w:line="58"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dispute-related settlement payments, or litigation-related costs;</w:t>
      </w:r>
    </w:p>
    <w:p>
      <w:pPr>
        <w:spacing w:after="0" w:line="90"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new tax laws or regulations, or tax interpretations and our related accounting policies, interpretations, and controls;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9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or deflation in the economies in which we operate, and their impact on interest rates, collection timeframes, and our revenue given the multi-year term of most customer agreements.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aspects of our business, it is challenging to forecast our quarterly and annual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2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relatively small number of P&amp;C insurance customers for a significant portion of our revenue and ARR and the substantial negotiating leverage of these customers could adversely affect our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varied and will continue to vary from year to year. Our ten largest customers accounted for 20% and 22% of our revenue in fiscal years 2025 and 2024, respectively. Additionally, our ten largest customers based on ARR accounted for 20% of total ARR at July 31, 2025.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 we expect that we will continue to depend upon a relatively small number of customers for a significant portion of our revenue and ARR for the foreseeable future. As a result, if we fail to successfully sell our products to one or more of these anticipated customers in any particular period or fail to identify additional potential customers, or if such customers purchase fewer of our products or professional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again be required to, reduce the average selling price and ARR of our products, along with agreeing to ramps that delay reaching fully ramped ARR, in response to these pressures. If we are unable to avoid reducing our average selling prices or ARR, our results of operations could be harmed. In addition, consolidation among P&amp;C insurers may further concentrate our customer base and increase the negotiating leverage of our large customers, which could heighten pricing and margin pressures.</w:t>
      </w:r>
    </w:p>
    <w:p>
      <w:pPr>
        <w:spacing w:after="0" w:line="13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typical sales cycle for our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the potential cost savings achievable by organizations deploying our products, and the benefits and risks associated with cloud-based services.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if we commit to include specific features in our base product offering at the request of a customer or group of customers, we may be unable to recognize revenue until the specific features have been delivered with our products or be subject to penalties or costs.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implementation and testing of our products by our customers typically lasts six to 24 months or longer and unexpected implementation delays and difficulties can occur. Implementing our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products or upon renewal of existing products, potential reversals of previously recognized revenue, renegotiating existing customers’ contractual terms, and a customer’s refusal to pay their contractually obligated license, subscription,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3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for our products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 Further, as machine learning, AI technologies, including generative AI technologies, and automated decision-making technologies (collectively, “AI technologies”) continue to evolve, our existing and potential customers may leverage evolving AI technologies to develop their own solutions that could reduce or eliminate the need for our solutions.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such as generative AI), or if our customers or potential customers replace our solutions with custom-built software, then our revenue could be adversely affected.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security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to initiate or withstand substantial price competition, or to take advantage of emerging opportunities by developing and expanding their product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expanding our operations, including increasing the number of employees and broadening the locations and scope of our international operations. In particular, we have been expanding and plan to continue to expand our operations in India. Additionally, we operate a hybrid work environment in which a large portion of our workforce works either in-person on a part-time basis or remotely on a permanent basis, which brings challenges to managing our business and workforce. This expansion, combined with the complexity of managing a hybrid and geographically distributed workforce, has placed, and will continue to place, a significant strain on our managerial, administrative, operational, financial and other resources. 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globally on a timely basis to fulfill the needs of our customers, our reputation could suffer and our ability to attract new customers may be harmed.</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products or investments in cloud operations. If we increase the size of our organization without experiencing an increase in sales of our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combined with an uncertain regulatory environment, may result in reputational harm, liability, or other adverse consequences to our business operations.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AI technologies in our offerings and business, and we are continuing to make investments in expanding our AI capabilities in our products, professional services, and tools, including by enhancing existing or developing new product features and functionality that use or incorporate AI technologies. AI technologies are complex and are rapidly evolving. We expect that increased investment will be required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The use of AI technologies in new or existing offerings may result in new or enhanced governmental or regulatory scrutiny, litigation, confidentiality or cybersecurity risks, privacy concerns, ethical challenges, or other complications that could adversely affect our business, reputation, or financial results.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complexity of our products that incorporate machine learning and AI technologies could result in unforeseen delays or expenses, or undetected defects, bugs, or new or unknown cybersecurity risks, vulnerabilities, and challenges, which may harm the market acceptance of new products, damage our reputation with current or prospective customers, cause significant remediation expenses, and may harm our business, results of operations, and financial condition.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uncertainty around new and emerging AI technologies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customer data with such technologies, which may be costly and could impact our expenses.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AI technologies may create content that appears facially correct but is factually inaccurate or flawed. Our customers, employees, or others may rely on or use such factually incorrect or flawed content to their detriment, which may expose us to brand or reputational harm, competitive harm, and/or legal liability. In all events, the development, marketing and use of AI technologies presents emerging ethical and social issues, and if we enable or offer solutions that draw scrutiny or controversy due to their perceived or actual impact on customers or on society as a whole, we may experience brand or reputational harm, competitive harm, additional costs, and/or legal liability. If our AI technologies development, deployment or governance is ineffective or inadequate, it may result in incidents that impair the public acceptance of AI solutions or cause harm to individuals, customers or society, or result in our offerings not working as intended or producing unexpected outcomes.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the development of next-generation solutions that utilize new and advanced features using or incorporating AI technologies involves making predictions regarding the willingness of the market to adopt such technologies over legacy solutions. We may be required to commit significant resources to developing new products before knowing whether such investment will result in products that the market will accept.</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set the optimal pricing and packaging of our products, which could negatively impact our growth strategy and ability to effectively compete in the market.</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face challenges in selling our solutions to insurers that have internally developed their own proprietary software solutions, and we face competition from emerging and established vendors. As a result, these companies may offer lower prices, additional products or services, or other incentives that may impact our ability to maintain our prices.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market for our products is constantly evolving, and our pricing and packaging decisions are made based on the best information available at the time, but may change significantly in the future from our expectations. We are continually analyzing and refining our pricing and packaging models to adapt to this dynamic environment. For example, we may need to change our pricing in future periods in response to market demands, the inflation, tariffs, and interest rate environment, or increased costs. Our contracts are often multi-year in duration and our inability to foresee changing events could impact the profitability of certain contracts. Further, as competitors introduce new products that compete with ours or reduce their prices, we may be unable to attract new customers or retain existing customers based on our historical pricing. As we expand internationally, we also must determine the appropriate price to enable us to compete effectively in each market. In addition, if our mix or bundle of products sold changes, then we may need to, or choose to, revise our pricing. As a result, we may be required or choose to reduce our prices or change our pricing model, which could harm our business, results of operations, and financial condition. In addition, we cannot predict whether our current or prospective customers, or the market in general, will accept these changes. If these adjustments do not gain acceptance, our business and operational results could be adversely affected. Failure to identify an optimal pricing and packaging strategy may harm our business and operational outcomes. Should customers reject our new or modified pricing plans, we may face increasing challenges in attracting new customers and retaining existing ones, particularly if we apply new pricing models to current customer subscriptions.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adoption of our cloud-based subscription offerings, or if we fail to meet stipulated service levels, our results of operations could be harmed.</w:t>
      </w:r>
    </w:p>
    <w:p>
      <w:pPr>
        <w:spacing w:after="0" w:line="105" w:lineRule="exact"/>
        <w:rPr>
          <w:sz w:val="20"/>
          <w:szCs w:val="20"/>
          <w:color w:val="auto"/>
        </w:rPr>
      </w:pPr>
    </w:p>
    <w:p>
      <w:pPr>
        <w:jc w:val="both"/>
        <w:ind w:firstLine="324"/>
        <w:spacing w:after="0" w:line="290" w:lineRule="auto"/>
        <w:rPr>
          <w:sz w:val="20"/>
          <w:szCs w:val="20"/>
          <w:color w:val="auto"/>
        </w:rPr>
      </w:pPr>
      <w:r>
        <w:rPr>
          <w:rFonts w:ascii="Times New Roman" w:cs="Times New Roman" w:eastAsia="Times New Roman" w:hAnsi="Times New Roman"/>
          <w:sz w:val="17"/>
          <w:szCs w:val="17"/>
          <w:color w:val="auto"/>
        </w:rPr>
        <w:t>To address demand trends in the P&amp;C insurance industry, we offer customers the use of our software products primarily through a cloud-based offering sold on a subscription basis. Our subscription business model has required, and will continue to require, a considerable investment of technical, operational,</w:t>
      </w: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legal, and sales resources. Our software and cloud services involve the storage and transmission of customer data, including in some cases, personal data, and security incidents or breaches could result in the loss of this information, which in turn could result in litigation, breach of contract claims, indemnity obligations, harm to our reputation, and other liabilities for us. Our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 obligated subscription or service fees.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under our cloud-based subscription model is generally recognized ratably over the term of the contract. Ratable revenue recognition results in lower revenue in the initial period of the customer agreement. This effect on recognized revenue may be magnified due to the concentration of our orders in the fourth fiscal quarter. Additionally, the timing of our customers’ decision to transition from self-managed licenses to cloud-based subscription services could negatively affect our ability to forecast the timing and amount of our revenue in any period.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market acceptance of our cloud-based solutions has increased, our future growth depends on our ability to further expand adoption among existing and new customers. Factors such as cost, security, reliability, performance, customer preference, perceived value associated with such offerings, public concerns regarding privacy, and the enactment of restrictive laws or regulations could continue to affect the pace and extent of this expansion. If adoption or renewal of our cloud-based solutions does not grow as expected, we could experience reduced customer purchases, reduced renewal rates, lower ARR, and decreased revenue, any of which will adversely affect our business, results of operations, or financial condition.</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continually updating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metrics we and our investors use to evaluate our business model may evolve over the course of time as significant trends emerge. It may be difficult, therefore, to accurately determine the impact on our business on a contemporaneous basis, or to clearly communicate the appropriate metrics to our investors. If we are unable to expand adoption of our cloud offerings in light of the foregoing risks and uncertainties, our reputation could suffer and our results of operations could be harmed, which may cause our stock price to decline.</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Our customers’ renewal rates may fluctuate or decline because of several factors, including their satisfaction or dissatisfaction with our products, the prices of our products, the prices of products offered by our competitors, reduction in our customers’ business including their DWP, reductions in our customers’ spending levels due to the macroeconomic environment or other factors, or the sale of their operations to a buyer that is not a current customer. Additionally, customers may delay making payments under existing agreements, or at renewal, in an attempt to obtain more favorable terms from us.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in certain limited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will most likely remain concentrated in the fourth fiscal quarter and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and ramped nature of annual installments over the initial term, even if the revenue is recognized ratably.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40" w:lineRule="exact"/>
        <w:rPr>
          <w:sz w:val="20"/>
          <w:szCs w:val="20"/>
          <w:color w:val="auto"/>
        </w:rPr>
      </w:pPr>
    </w:p>
    <w:p>
      <w:pPr>
        <w:ind w:left="1100" w:hanging="323"/>
        <w:spacing w:after="0" w:line="281"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subscription arrangements are recognized ratably and only a portion, if any, of the revenue from an order is recognized in the same fiscal period of the order;</w:t>
      </w:r>
    </w:p>
    <w:p>
      <w:pPr>
        <w:spacing w:after="0" w:line="27"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subscription arrangements generally have ramped invoicing schedules over the initial term, which affects ARR and cash flows, but revenue is recognized ratably over the initial term;</w:t>
      </w:r>
    </w:p>
    <w:p>
      <w:pPr>
        <w:spacing w:after="0" w:line="40"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term license agreements and multi-year term license renewals have annual billing arrangements even though revenue is recognized upfront for the entire committed term;</w:t>
      </w:r>
    </w:p>
    <w:p>
      <w:pPr>
        <w:spacing w:after="0" w:line="40" w:lineRule="exact"/>
        <w:rPr>
          <w:rFonts w:ascii="Arial" w:cs="Arial" w:eastAsia="Arial" w:hAnsi="Arial"/>
          <w:sz w:val="18"/>
          <w:szCs w:val="18"/>
          <w:color w:val="auto"/>
        </w:rPr>
      </w:pPr>
    </w:p>
    <w:p>
      <w:pPr>
        <w:jc w:val="both"/>
        <w:ind w:left="1100" w:right="20" w:hanging="323"/>
        <w:spacing w:after="0" w:line="265"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42"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40"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products, we may be put at a competitive disadvantage.</w:t>
      </w:r>
    </w:p>
    <w:p>
      <w:pPr>
        <w:spacing w:after="0" w:line="17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products to meet evolving customer requirements. Because our products are complex and require rigorous testing, new features, new functionality, and updates to our existing products can take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time and resources to develop and bring to market. As we expand internationally, our products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 delays between the time we incur expenses associated with research and development and the time we generate revenue, if any, from such expenses.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fail to develop new products, enhance our existing products, or manage our products in the cloud, our business could be adversely affected, especially if our competitors are able to introduce products with enhanced functionality in the cloud. It is critical to our success for us to anticipate changes in technology, industry standards and regulations, and customer requirements and to successfully introduce new, enhanced, and competitive products to meet our customers’ and prospective customers’ needs on a timely basis. We have invested and intend to increase investments in research and development</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and cloud operations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demands, our market share will decline and our business and results of operations could be harmed. If our development efforts do not develop services, products or features that our customers find valuable, then we might incur impairment charges related to our capitalized software development costs.</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a hybrid in-person and remote workforce, which will subject us to certain operational challenges and risks and potential harm to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and many of our third-party providers, operate a hybrid work environment in which a significant portion of our workforce works either in-person on a part-time basis or remotely on a permanent basis. As a result, we are subject to the challenges and risks of having a remote and hybrid workforce. For example, certain security systems in homes or other remote workplaces may be less secure than those used in our offices, which may subject us to increased security risks, including cybersecurity-related events or incidents,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Hybrid in-person as well as remote working may also subject us to other operational challenges and risks. For example, hybrid working arrangements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a hybrid workforce including, among other things, facilitating permanent remote work for a portion of our workforce and updating our offices to offer more collaborative workspaces. If we are unable to effectively operate a hybrid workforce, manage the cybersecurity and other risks of remote work, and maintain our corporate culture and workforce morale, our business could be harmed or otherwise negatively impacted.</w:t>
      </w:r>
    </w:p>
    <w:p>
      <w:pPr>
        <w:spacing w:after="0" w:line="13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products and professional services, including implementation and cloud support services, may affect our reputation, cause us to lose customers, and reduce sales and renewal rates, which may harm our business and results of operations and subject us to liability for breach of warranty claims.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we offer complex products, undetected errors or failures may exist or occur, especially when products are first introduced or when new versions or updates are released. Our products are often used in large-scale computing environments with different operating systems, system management software, and equipment and networking configurations, which may result in errors or failures or expose undetected errors, failures, or bugs in our products. Despite extensive testing by us, we may not identify all errors, failures, or bugs in new products or releases until after commencement of commercial sales or installation. As is common with complex software, errors, failures, or bugs may be discovered in our offerings after their introduction. While we have implemented, and continually improve, a breadth of industry standard technology controls designed to ensure system stability and availability, we may introduce errors, design flaws, software bugs, and other issues into the environment, and fail to remediate them in a timely manner, which may cause serious or prolonged service interruptions to our customers.</w:t>
      </w:r>
    </w:p>
    <w:p>
      <w:pPr>
        <w:spacing w:after="0" w:line="17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migration and implementation of our products. Failure to meet these upfront estimates and the expectations of our customers could result from our product capabilities or professional service engagements performed by us, our SI partners, or our customers’ employees, the latter two of which are beyond our direct control. The consequences could include, and have included, monetary credits for current or future service engagements, reduced fees for additional products or upon renewal of existing products, renegotiation or modification of existing contracts that could potentially result in reversals of previously recognized revenue, or a customer’s refusal to pay its contractually obligated fees. In addition, time-consuming or difficult migrations and implementations may also increase the amount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personnel we must allocate to the project, potentially without commensurate compensation, thereby increasing our costs, lowering our services margin, and adversely affecting our business, results of operations, and financial condition.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subscription, and support of our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to new customers and renew agreements with our existing customers.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products to these customers or to transition existing license customers to subscription services, a key strategy for the growth of our revenue and profitability. In addition, as we further expand our cloud-based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 partners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and support of our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use of AI by our workforce may present risks to our business.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workforce is exposed to and is encouraged to use AI technologies for certain tasks related to our business. We have guidelines and policies specifically directed at the use of AI tools in the workplace. Nevertheless, the use of these AI tools, whether authorized or unauthorized, by our workforce, poses potential risks relating to the protection of data, including cybersecurity risk, exposure of our proprietary confidential information to unauthorized recipients, and the misuse of our or third-party intellectual property. Use of AI technologies by our workforce, even when used consistently with our guidelines, may result in allegations or claims against us related to violation of third-party intellectual property rights, unauthorized access to or use of proprietary information, or failure to comply with open source software requirements. In addition, our employees may use AI tools for various tasks, such as writing code and building content, and these AI technology tools may produce responses that appear facially correct but that are factually inaccurate or flawed, which could lead to errors in our decision-making, solution development, or other business activities and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while use of AI tools to develop software code makes our development process more efficient, AI technologies have sometimes generated content that is “substantially similar” to proprietary or open source code on which the AI tool was trained. If the AI technologies we use generate code that is too similar to other proprietary code, or to software processes that are protected by patent, we could be subject to intellectual property infringement claims. We may also not be able to anticipate and detect security vulnerabilities in such AI generated software code. If our tools generate code that is too similar to open source code, we risk losing protection of our own proprietary code that is commingled with such code. Finally, to the extent we use third-party AI technologies to develop software code, the terms of use of these tools may state that the third-party provider retains rights in the generated code.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subscription and support revenue was 61% and 56% of total revenue for fiscal years 2025 and 2024, respectively. Our subscription and support revenue produces lower gross margins than our license revenue. The gross margin of our subscription and support revenue was 68% and 63% for fiscal years 2025 and 2024, respectively, while the gross margin for license revenue was 99% and 98% for fiscal years 2025 and 2024, respectively. We expect that subscription revenue will continue to increase as a percentage of total revenue as we contract with new cloud customers and existing customers migrate from term licenses to subscription services. Additionally, we are incurring expenses to operate our cloud services and manage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economic volatility, inflation, tariffs, or other global events and disasters.</w:t>
      </w:r>
    </w:p>
    <w:p>
      <w:pPr>
        <w:spacing w:after="0" w:line="13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Further, our services revenue was 18% and 18% of total revenue for fiscal years 2025 and 2024, respectively. Our services revenue produces significantly lower gross margin than either our license revenue or our subscription and support revenue and has at times been negative.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change in customer demand for our services team’s involvement in the implementation of and migration to new products, the rates we charge or discounts we offer for our services, our ability to bill our customers for all time incurred to complete a project, the extent and quality of implementations and migrations provided by our SI partners, the extent to which we subcontract services to those SI partners, and the impact on the global economy as a result of economic volatility, inflation, tariffs, or other global events and disasters. Additionally, the failure to improve, or the erosion of, our services margin, whether due to discounts related to encouraging customers to enter into cloud agreements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if we subcontract out services without an adequate markup, or if we require additional personnel on unexpectedly difficult projects to ensure customer success, perhaps without receiving commensurate compensation.</w:t>
      </w:r>
    </w:p>
    <w:p>
      <w:pPr>
        <w:spacing w:after="0" w:line="13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products to satisfy customer demands or to maintain market acceptance could harm our business, results of operations, financial condition, and growth prospects.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1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products will suffer and our growth could be slower than we project.</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will suffer and our growth will be impeded.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may compete directly against products that such leading SI partners support or market. Additionally, we are unable to control the quantity or quality of resources that our SI partners commit to migrating or implementing our products, the quality or timeliness of such migrations and implementations, or the effects of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products to customers located outside the United States, and we are continuing to expand our international operations as part of our growth strategy. In fiscal years 2025 and 2024, $431.6 million and $347.9 million of our revenue, respectively, was from customers outside of the United States. Our current international operations and our plans to expand our international operations subject us to a variety of risks, including:</w:t>
      </w:r>
    </w:p>
    <w:p>
      <w:pPr>
        <w:spacing w:after="0" w:line="54" w:lineRule="exact"/>
        <w:rPr>
          <w:sz w:val="20"/>
          <w:szCs w:val="20"/>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legal, and compliance costs associated with having multiple international operations;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contracts and our products for international customers;</w:t>
      </w:r>
    </w:p>
    <w:p>
      <w:pPr>
        <w:spacing w:after="0" w:line="90"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 including requirements around employee compensation and benefits;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 especially on revenue and ARR;</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and related governments;</w:t>
      </w:r>
    </w:p>
    <w:p>
      <w:pPr>
        <w:spacing w:after="0" w:line="9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and political conflicts, such as the war between Russia and Ukraine, continued geopolitical instability in the Middle East, and the escalating tensions in the South China Sea;</w:t>
      </w:r>
    </w:p>
    <w:p>
      <w:pPr>
        <w:spacing w:after="0" w:line="40"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without limitation any new or evolving laws and regulations relating to the use of data in AI, generative AI, machine learning technologies, climate-related disclosures, operational resilience, data protection and privacy, particularly in the European Union (“EU”) and the United Kingdom (“U.K.”);</w:t>
      </w:r>
    </w:p>
    <w:p>
      <w:pPr>
        <w:spacing w:after="0" w:line="54"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U.K. Bribery Act of 2010 and other anti-corruption regulations, particularly in emerging market countries;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tax and reporting burdens and complexities;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 including certain Organization for Economic Cooperation and Development (“OECD”) proposals, such as the implementation of the global minimum tax under the Pillar Two model rules;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caused by public health crises, such as epidemics and pandemics; and</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cloud-based services, technologies, as well as businesses that are complementary to ours. Our strategy also includes alliances with such companies. For example, we have made several acquisitions in the past, most recently our April 2025 acquisition of Quantee Sp. z o.o. (“Quantee”), a Poland-based insurtech company specializing in dynamic pricing software. From time to time, we also invest in private growth-stage companies to support strategic initiatives, and such investments involve the risk of partial or total loss of capital and may not generate a return. Acquisitions, alliances, and strategic investments are inherently risky and may result in unforeseen operating difficulties and expenditures, be dilutive to earnings, negatively impact margins, and fail to generate the anticipated benefits. In particular, we may fail to assimilate or integrate the businesses, technologies, services, products, personnel, or operations of the acquired companies, retain key personnel necessary to favorably execute the combined companies’ business plan, retain existing customers or sell acquired products to new customers, or adequately test and assimilate the internal control processes of the acquired business in accordance with the requirements of Section 404 of the Sarbanes-Oxley Act of 2002 (“Sarbanes-Oxley Act”). Our due diligence may fail to identify all of the problems, liabilities, or challenges, and our mitigation strategies for identified issues may not be effective. As a result, we may overpay, fail to achieve expected synergies or earnings accretion, or incur unexpected costs, any of which could harm our business, prospects, financial condition, results of operations, cash flows, or stock price.</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from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Acquisitions may be subject to regulatory reviews, which could increase legal and compliance costs or delay, limit, or prevent completion of the transaction.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2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are complex and are deployed in a wide variety of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services, products,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especially at the executive level, for the use and support of our products, or if customer personnel are not well trained in the use and support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renew existing licenses and make additional sales may be substantially limited.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0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products, acquire businesses and technologies, service our existing debt, or otherwise to respond to competitive pressures.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existing stockholders could be significantly diluted, and newly 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or otherwise respond to competitive pressures would be significantly limited. Any of these factors could harm our results of operations.</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Data Security and Privacy, Intellectual Property, and Information Technology</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experience cybersecurity incidents or breaches, there is unauthorized access to our customers’ data, or unauthorized use of our products or any of these events are perceived to happen, we may lose current or future customers and our reputation and business may be harmed.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products and business involve the collection, storage and processing of customer data and, in some cases, information that relates to individuals and/or constitutes personal data (including from our employees, business partners and others, and, in some cases, from our customers), and our products may provide business critical software and analytics necessary for our customers’ operations. As such, we may be an attractive target for data security attacks that threaten the confidentiality, integrity, and availability of our information technology systems and confidential information. Security incidents or breaches could result in public disclosure of confidential information or personal information, loss or modification of data affecting our customers’</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fraud or theft, ransom demands, or other misuse of confidential information or personal information, which in turn could result in our cloud services being perceived as not being secure, a reduction in customers using our products, as well as litigation, breach of contract claims, indemnity obligations, additional reporting requirements and/or oversight, restrictions on processing data, and other liabilities for our Company, all of which could</w:t>
      </w:r>
    </w:p>
    <w:p>
      <w:pPr>
        <w:jc w:val="both"/>
        <w:spacing w:after="0" w:line="252" w:lineRule="auto"/>
        <w:rPr>
          <w:sz w:val="20"/>
          <w:szCs w:val="20"/>
          <w:color w:val="auto"/>
        </w:rPr>
      </w:pPr>
      <w:r>
        <w:rPr>
          <w:rFonts w:ascii="Times New Roman" w:cs="Times New Roman" w:eastAsia="Times New Roman" w:hAnsi="Times New Roman"/>
          <w:sz w:val="18"/>
          <w:szCs w:val="18"/>
          <w:color w:val="auto"/>
        </w:rPr>
        <w:t>lead to loss of revenue, a diminished ability to retain or attract new customers due to reputational harm, fines, costs, or other penalties or sanctions. While we have taken, and are continually updating and enhancing, steps to protect the confidential information, customer data and personal data that we steward, including confidential information we may obtain through our customer support services or customer usage of our cloud-based services, our security measures or the security measures of companies we rely on could be breached. We rely on third-party technology and systems for a variety of information technology systems and related products and services, including, without limitation, cloud computing services, encryption and authentication technology, employee email, content delivery to customers, back-office support, and other functions. Our ability to control or prevent breaches of any of these systems may be beyond our control. Any failure by a third party to prevent or mitigate data security incidents, breaches or improper access to, or use, acquisition, disclosure, alteration or destruction of customer data could have adverse consequences for us. Because techniques used to obtain unauthorized access or infiltrate, sabotage, disable or degrade systems change frequently and generally are not identified until they are launched against a target, we may be unable to anticipate these techniques or to implement adequate preventative measures despite our efforts in implementing and deploying security measures. The use of constantly evolving technologies by diverse threat actors, including state-sponsored organizations, opportunistic hackers and hacktivists, such as the increased use of AI technologies, are sophisticated and complex and may increase the velocity of such threats, frequency of incident cases, and otherwise magnifying the risks associated with these types of attacks. These attack vectors may include social engineering/phishing, malware (including ransomware), malfeasance by insiders, human or technological error, and as a result of malicious code embedded in open source software or the</w:t>
      </w:r>
    </w:p>
    <w:p>
      <w:pPr>
        <w:spacing w:after="0" w:line="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exploitation of bugs, misconfigurations or exploited vulnerabilities in software or hardware that is integrated into our (or our suppliers’ or service providers’) information technology systems, products or services. Although we have developed systems and processes designed to protect our and our customers’ data, prevent loss or unauthorized modification of data, ensure only authorized use of services, and prevent other cybersecurity incidents or breaches, including systems and processes designed to reduce the impact of a security incident or breach to a third-party vendor, such measures cannot provide absolute security, and our systems may be vulnerable to malware or physical or electronic break-ins that our security measures may not be able to detect, investigate, remediate or recover from, or to avoid a material adverse impact to our information technology systems, confidential information, supply chain or business. Moreover, we have acquired and continue to acquire companies whose systems may contain cybersecurity vulnerabilities and/or unsophisticated security measures, which may expose us to significant cybersecurity, operational, and financial risks. Because our products are integrated with our customers’ systems and processes, any circumvention or failure of our cybersecurity defenses or measures could compromise the confidentiality, integrity, and availability of our customers’ own information technology systems and/or confidential information as well.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cannot ensure that our cybersecurity risk management program and processes, including our policies, controls or procedures, will be fully implemented, complied with or effective in all instances, and even if fully implemented, they may not fully protect our information technology systems or confidential information. Furthermore, given the nature of complex systems, software and services like ours, as well as the scanning tools we deploy across our networks and products, even if we regularly identify and track security vulnerabilities, we may be unable to comprehensively apply patches, confirm that measures are in place to mitigate all such vulnerabilities, or ensure that patches are applied before vulnerabilities are exploited by a threat actor. Individuals, including our employees and contractors, who circumvent our security measures may misappropriate proprietary, confidential, or personal data held by or on behalf of us, disrupt our operations, damage our systems, or otherwise damage our business. While to date no incidents have had a material impact on our operations or financial results, we cannot guarantee that material incidents will not occur in the future. In addition, we may need to expend significant resources to protect against cybersecurity incidents or breaches or mitigate the impact of any such incidents or breaches. Any or</w:t>
      </w:r>
    </w:p>
    <w:p>
      <w:pPr>
        <w:spacing w:after="0" w:line="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these issues that adversely impact the availability, integrity or confidentiality of our information technology systems or confidential information could negatively impact our ability to attract new customers or to increase engagement with existing customers, could cause existing customers to elect not to renew their term licenses or subscription agreements, or could subject us to third-party lawsuits (including class actions), regulatory investigations and enforcement actions, fines and penalties, other action or liability, and/or significant incident response, system restoration or remediation and future compliance costs, which could adversely affect our business, results of operations, financial condition, or reputation.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data security incidents or breaches could expose us to liability under various laws and regulations across jurisdictions, increase the risk of litigation and governmental or regulatory investigation, and increase our costs for compliance. For example, we may need to notify governmental authorities and/or affected individuals with respect to certain cybersecurity incidents or breaches in light of a growing number of laws, including those in the European Economic Area (“EEA”), U.K., and the United States. Complying with such numerous and complex regulations in the event of a cybersecurity incident or breach would be expensive and difficult, and failure to comply with these regulations could subject us to regulatory scrutiny and additional liability. We may also be contractually required to notify customers or other counterparties of a cybersecurity incident or breach.</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interruptions or failures of our third-party service providers or technology could disrupt our products and harm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utilize services and technology and intellectual property provided or licensed by unaffiliated third parties to operate our products, including AWS, Okta and Datadog. Any interruptions, failure, slowdown, errors, defects, bugs, design flaws, or security vulnerabilities in our services or in third-party technology on which we rely could cause outages or delays in our products, negatively affect our platform, damage our reputation with current and potential customers, expose us to liability, cause us to lose customers, adversely affect our results of operations, or otherwise harm our business. Our operations depend on our ability, and that of our service providers, to protect our virtual cloud infrastructure, preserve GWCP’s configuration, delivering capability, and interconnections, and maintain access to our products and to the information stored in virtual data centers and transmitted over internet service providers. Although we have disaster recovery plans that use multiple virtual data center locations, any incident affecting our service providers’ operations and infrastructure, including software errors, bugs, design flaws, power loss, telecommunications failures, unauthorized intrusion or malicious action, malware and disabling devices, natural catastrophes, terrorism, wars, or other similar events beyond our control, could negatively affect our products. A prolonged third-party service disruption affecting our supply chain or our platform for any of the foregoing reasons could be detrimental to our business. We may also incur significant costs for taking other actions in preparation for, or in reaction to, events that disrupt the third-party services we use.</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platform is accessed by a large number of customers, often at the same time, and we do not control the operation of our third-party service providers. As we continue to expand the number of our customers and products available to our customers, we and/or our third-party service providers may not be able to scale our technology to accommodate the increased capacity requirements, which may result in interruptions or delays in our products. In addition, the failure of third-party virtual data centers, third-party internet service providers, or other third-party service providers whose services are integrated with our products, to meet our capacity requirements, could result in interruptions or delays in access to our products or impede our ability to scale our operations. In the event that our third-party service agreements are not renewed or are terminated, or there is a lapse of service, interruption of service provider connectivity or damage to such services, we could experience interruptions in access to our products as well as material delays and material additional expense in securing alternative third-party service providers, particularly where such service providers perform critical functions and may not be readily replaceable, all of which could harm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This may include certain AI technologies that are, or may in the future be, integrated into our products and licensed from third parties. Our ability to provide these AI-enabled capabilities may depend on access to specific third-party software or infrastructure, and any loss of access, unfavorable changes in terms, incompatibility, or disruption in such technologies could reduce the functionality of our products, make them less appealing to customers, and harm our reputation and business. Any errors, defects, or security issues in this third-party technology and intellectual property or the integration of third-party technology and intellectual property with our products could result in errors that could harm our brand and business. Though we have not experienced any material impact to date, industry incidents involving vulnerabilities in third-party technology underscore the potential risks associated with the use of third-party technology and intellectual property.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products and might require us to redesign our products.</w:t>
      </w:r>
    </w:p>
    <w:p>
      <w:pPr>
        <w:spacing w:after="0" w:line="1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policy and regulatory responses to AI technologies and their potential implications for the fields of information technology, data privacy, and security may result in increased compliance costs and associated concerns for us.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present, various governments are taking an increased interest in developments in AI technologies and are responding to such developments in various ways, including by issuing action plans for risk mitigation and introducing legislation to generally oversee the use of AI. In the United States, federal and state authorities have introduced, and may continue to introduce, requirements related to AI oversight, disclosure, and accountability, and the scope and direction of such laws and policies remain uncertain. In the EU, the EU Artificial Intelligence Act (“EU AI Act”) establishes a comprehensive governance framework for AI and similar efforts are emerging in other jurisdictions. New or evolving regulations relating to rapidly evolving AI technologies may impose additional rules and restrictions on the use of AI in our products.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Compliance with such global laws and regulations may require valuable management and employee time, resources, and operating expenses, and any actual or perceived failure to comply with these laws and regulations or other actual or asserted obligations relating to privacy, data protection, or cybersecurity could lead to inspections, audits, regulatory investigations and other proceedings, significant fines, severe penalties, and other relief imposed by governmental agencies and regulatory bodies, and claims, demands, and litigation by our customers or third parties, which may reduce demand for our products and result in reputational harm, substantial damages and other liabilities, all of which could harm our business.</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compliance with ever-evolving privacy and data protection laws could impose additional costs and require significant resources, and any actual or alleged failure by us or our vendors to comply could result in significant liabilities, limit our use of information, cause negative publicity and/or an erosion of trust, and adversely affect our business, results of operations, and financial condition.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adoption of our cloud-based products expands, the amount of customer data and transaction-level data that we manage continues to increase. We anticipate that over time, we will continue to expand the use and collection of personal data as greater amounts of such personal data may be transferred from our customers to us. We recognize that privacy and data security has become a significant issue in the United States, Europe, the U.K., and many other jurisdictions where we operate, and we and our vendors are subject to a variety of federal, state and foreign data privacy laws, rules, regulations, industry standards and other requirements. Even though we believe we are generally in compliance with applicable laws, rules and regulations relating to privacy and data security, these laws are in some cases relatively new and the interpretation and application of these laws are uncertain. In addition, we depend on our vendors to comply with such requirements, and any failure by them to do so may subject us to liability or other adverse consequences.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Many federal, state, and foreign legislatures and government agencies have imposed, are considering imposing, or are considering changing restrictions and requirements about the collection, use, and disclosure of personal data. New, or changes to existing, laws or regulations affecting privacy could impose additional costs and liabilities, including fines, on us, require us to implement new processes, and limit our use of such information to add value for customers, including, for example, the California Consumer Privacy Act, as amended by the California Privacy Rights Act (collectively, “CCPA”), and other state privacy laws enacted in recent years. The enactment of the CCPA has prompted a wave of similar legislative developments in other states in the United States, which has created a patchwork of overlapping but different state laws, which we may become subject to directly or by contract. Additionally, we may be considered a service provider to “financial institutions” under the Gramm-Leach Bliley Act (the “GLBA”). The GLBA includes a “Safeguards Rule,” which imposes obligations on financial institutions, and indirectly, their service providers to implement and maintain physical, administrative and technological measures to protect the security of personal data. New EU laws related to the use of data, including the Digital Services Act, the EU Data Act, and the EU AI Act, may impose additional rules and restrictions on the use of the data in our products. Additionally, evolving regulations aimed at enhancing financial sector resilience, such as the Digital Operational Resilience Act, may impact our operations by requiring adaptations for risk management and compliance, potentially leading to increased costs and operational adjustments. If we were required to change our business activities or revise or eliminate services, or to implement burdensome compliance measures, our business and results of operations could be harmed. We may be subject to significant fines, penalties, and damages resulting from potential litigation, including class action lawsuits, proceedings or actions by individuals, consumer rights groups, government agencies, or others, if we fail or are perceived to fail to comply with applicable privacy and/or data security laws, regulations, standards, and other requirements, and could incur significant costs in investigating and defending such claims. The costs of compliance with and other burdens imposed by evolving privacy-related laws, regulations, and standards may limit the use and adoption of our products and reduce overall demand.</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products effectively. Even the perception that the privacy and/or security of personal data is not satisfactorily managed, or does not meet applicable legal, regulatory, and other requirements, could inhibit sales of our products, and could limit adoption of our solutions, resulting in a negative impact on our sales, reputation, and results of operations. If any of these events were to occur, our business, results of operations, and financial condition could be adversely affected.</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European General Data Protection Regulation (the “GDPR”) applies, in part, to companies outside the EEA that carry out processing of personal data of individuals in the EEA that is related to the offering of goods or services to them or the monitoring of their behavior. The GDPR has enhanced data protection obligations for processors and controllers of personal data and non-compliance with the GDPR can trigger substantial fines. We have in the past, and may in the future, need to allocate additional resources in response to new interpretations, regulatory guidance, and enforcement decisions, or ongoing negotiation of data processing agreements with our customers and business partners, which may increase our costs of compliance and impose limitations on our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GDPR restricts transfers of personal data outside the EEA to countries without adequate privacy protections, such as the United States, unless an appropriate safeguard specified by the GDPR such as the Standard Contractual Clauses is implemented. We (and many other companies) have and may in the future be required to adopt additional measures to accomplish and maintain legitimate means for the transfer and receipt of personal data</w:t>
      </w: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EU to the United States and other countries. As data protection authorities continue to issue guidance and orders on personal data export mechanisms or take enforcement action, we could suffer additional costs, complaints, regulatory investigations, or fines. If we are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may experience hesitancy, reluctance, or refusal by European or multi-national customers to continue to use our products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the nature of our cloud-based products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we are subject to the supervision of relevant data protection authorities under both the GDPR and United Kingdom’s General Data Protection Regulation (“U.K. GDPR”), we could be fined under each of those regimes independently in respect of the same breach. There may be further developments under the U.K. GDPR, independent of the GDPR, that could cause our cost of and risks associated with compliance to increase. Further evolution of EU and U.K. regulations on data privacy and security and any related changes to the regulatory framework in these or other countries may substantially increase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Legal questions related to ownership of intellectual property rights in output generated by generative artificial intelligence models, as well as the rights of developers of artificial intelligence or machine learning models to train such models on third-party data, have not been fully addressed by competent legal tribunals or applicable laws or regulations in all applicable jurisdictions. Further, the use or adoption of third-party AI technologies, including generative AI technologies, into our products may result in exposure to claims of copyright infringement or other intellectual property-related causes of action. While some providers of AI technologies may offer to indemnify their end users for any copyright or other intellectual property infringement claims arising from the output of their AI technologies, we may not be successful in adequately recovering our losses in connection with such claims.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that are alleged to infringe or misappropriate the intellectual property of others; expend additional development resources to redesign our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technologies may use “open source” software, which may restrict how we use or distribute our services or require that we release the source code of certain products subject to those licenses.</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Some of our products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Regulatory, Accounting, and Tax Matters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our accounting estimates, or variability between GAAP results and key metrics, may adversely affect our operating results and stock price.</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We cannot predict the impact of future changes to accounting principles or our related accounting policies on our financial statements going forward. If we are unsuccessful in adapting to the requirements of any new standard, or if changes to our business model create new risks, then we may experience greater volatility in our quarterly and annual results, which may cause our stock price to decline.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Were we to change our accounting estimates, including those related to the timing of revenue recognition and those used to allocate revenue between various performance obligations, our reported revenue and results of operations could be significantly impacted.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revenue recognition standards require significant judgment and estimates that impact our reported revenue and results of operations.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reported revenue has and will vary from ARR, a non-GAAP metric, and cash flow associated with each customer agreement. 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if we increase arrangements with multiple performance obligations that include services at discounted rates, more of the total contract value would be recognized as services revenue, but our reported ARR amount would not be impacted. This potential difference and variability in the trends of reported amounts may cause volatility in our stock price.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requires, among other things, that as a publicly traded company we disclose whether our internal control over financial reporting and disclosure controls and procedures are effective.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Coronavirus Aid, Relief, Economic Security Act of 2020, the Inflation Reduction Act of 2022, the One Big Beautiful Bill Act of 2025, and certain OECD proposals, including the implementation of the global minimum tax under the Pillar Two model rules.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results of operations, or financial condition.</w:t>
      </w:r>
    </w:p>
    <w:p>
      <w:pPr>
        <w:spacing w:after="0" w:line="220" w:lineRule="exact"/>
        <w:rPr>
          <w:sz w:val="20"/>
          <w:szCs w:val="20"/>
          <w:color w:val="auto"/>
        </w:rPr>
      </w:pPr>
    </w:p>
    <w:p>
      <w:pPr>
        <w:ind w:left="340" w:right="3480" w:firstLine="3487"/>
        <w:spacing w:after="0" w:line="466"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Risks Related to Ownership of Our Common Stock </w:t>
      </w:r>
      <w:r>
        <w:rPr>
          <w:rFonts w:ascii="Times New Roman" w:cs="Times New Roman" w:eastAsia="Times New Roman" w:hAnsi="Times New Roman"/>
          <w:sz w:val="17"/>
          <w:szCs w:val="17"/>
          <w:b w:val="1"/>
          <w:bCs w:val="1"/>
          <w:i w:val="1"/>
          <w:iCs w:val="1"/>
          <w:color w:val="auto"/>
        </w:rPr>
        <w:t>Our stock price may be volatile, which could result in securities class action litigation against us.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international currency fluctuations, tariffs, or other global events have and may continue to affect the market price of our common stock.</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58" w:lineRule="exact"/>
        <w:rPr>
          <w:sz w:val="20"/>
          <w:szCs w:val="20"/>
          <w:color w:val="auto"/>
        </w:rPr>
      </w:pPr>
    </w:p>
    <w:p>
      <w:pPr>
        <w:ind w:left="1100" w:hanging="32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9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40" w:lineRule="exact"/>
        <w:rPr>
          <w:sz w:val="20"/>
          <w:szCs w:val="20"/>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(the “Delaware Forum Provision”).</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however, that stockholders cannot and will not be deemed to have waived our compliance with the U.S. federal securities laws and the rules and regulations thereunder.</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$400.0 million of our outstanding common stock. As of July 31, 2025, $138.2 million of the share repurchase program remained available for future 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2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personnel experienced in developing and delivering cloud-based offerings. Our inability to attract and retain qualified employees and key personnel, or delays in hiring required personnel, including attrition, retention and delay issues due to macroeconomic and other factors beyond our control, may seriously harm our business, results of operations, and financial condition.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 technical nature of our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2029 Convertible Senior Notes or to repurchase the 2029 Convertible Senior Notes upon a fundamental change, which could adversely affect our business and results of operations.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2025, we had outstanding an aggregate principal amount of $690.0 million of our Convertible Senior Notes, due November 2029. In addition, we have available a $300.0 million senior revolving credit facility, arranged by a syndicate of financial institutions.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21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Before November 1, 2029, holders of the 2029 Convertible Senior Notes will have the right to convert their notes only upon the occurrence of certain events, and on or after August 1, 2029, the 2029 Convertible Senior Notes become convertible at any time at the election of the holders until the close of business on the second scheduled trading day immediately preceding the maturity date of November 1, 2029. Upon conversion of the 2029 Convertible Senior Notes, we will be obligated to make cash payments. In addition, holders of our 2029 Convertible Senior Notes will have the right to require us to repurchase their 2029 Convertible Senior Notes upon the occurrence of a fundamental change (as defined in the 2029 Indenture) at a repurchase price equal to 100% of the principal amount of the 2029 Convertible Senior Notes to be repurchased, plus accrued and unpaid interest, if any, to, but not including, the fundamental change purchase date. Although we have the option to settle the 2029 Convertible Senior Notes in either cash, or a combination of cash and shares, we may not have sufficient available cash or be able to obtain financing at the time we are required to settle the 2029 Convertible Senior Notes. Additionally, our ability to make payments may be limited by law, by regulatory authority, or by agreements governing our future indebtedness. Our failure to repurchase the 2029 Convertible Senior Notes at a time when the repurchase is required by the 2029 Indenture or to pay any cash payable on future conversions of the 2029 Convertible Senior Notes as required by such Indenture would constitute a default under such Indenture. A default under the 2029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settle the 2029 Convertible Senior Notes or make cash payments upon conversions thereof.</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2029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21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credit facility contains restrictive and financial covenants that may limit our operational flexibility. If we fail to meet our obligations under the credit facility, our operations may be interrupted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2024, we entered into a five-year, $300.0 million senior revolving credit facility by and among us, certain of our subsidiaries, and certain lenders to fund working capital and general corporate purpose expenditures. The revolving credit facility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a minimum consolidated net cash interest coverage ratio and a maximum total net leverage ratio. Our obligations are guaranteed by our material domestic subsidiaries and secured by substantially all of our assets, including intellectual property assets.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in the future. Failure to comply with any of the covenants could result in a default under the credit facility. Such a default could permit lenders to accelerate the maturity of outstanding amounts under our credit facility, if any, which in turn could result in adverse consequences that negatively impact our business, the market price for our common stock, and our ability to obtain other financing in the future.</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varying stakeholder expectations with respect to sustainability matters may require us to incur additional costs or otherwise adversely impact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Increased scrutiny regarding climate change, human capital, and other sustainability matters, as well as our response to the same, may result in increased costs (including, but not limited to, increased costs related to compliance, stakeholder engagement and contracting), impact our reputation, or otherwise negatively affect our business performance. We engage in certain actions (including disclosures) to manage sustainability-related matters or respond to stakeholder expectations; however, such actions may be costly or be subject to numerous conditions that are outside our control, and we cannot guarantee that such actions will have the desired effect or outcome. For example, many sustainability initiatives leverage data, methodologies, technologies, and/or standards that are complex, subject to varying interpretations, and continuing to evolve. As with other companies, our approach is expected to continue to evolve as well, and we cannot guarantee that our approach will align with the expectations or interpretations of any particular stakeholder. Stakeholders (including policymakers) have varying, and at times conflicting, expectations. We may face reputational damage (including impacts to any related ratings) or additional costs in the event our sustainability procedures or standards do not meet the standards set by various constituencies, and any failure to successfully navigate competing stakeholder interests may also result in adverse impacts to our business.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expect there will likely continue to be increasing levels of regulation, as policymakers in jurisdictions such as Europe, California, and Australia are adopting or considering adopting various requirements regarding sustainability disclosures or actions. Such regulations are not uniform, which may increase the cost and complexity of compliance, as well as associated risks. Moreover, both advocates and opponents of sustainability matters are increasingly resorting to a range of activism forms, including litigation, to advance their perspectives. Addressing stakeholder expectations and regulatory requirements may be costly and any failure to successfully navigate such expectations, as well as evolving interpretations of any existing or new governmental laws or requirements, may result in reputational harm, loss of customers or contracts, regulatory or investor engagement, or other adverse impacts to our business. Our customers and other stakeholders are also subject to many of these expectations and regulatory considerations, which may augment or result in additional risks that also could adversely impact our business, results of operations, or financial condition.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events have adversely affected, and may continue to adversely affect, our business,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Global events have adversely affected and may continue to adversely affect workforces, organizations, economies, and financial markets globally, leading to economic downturns, inflation, and increased market volatility. Ongoing conflicts such as the war between Russia and Ukraine, continued geopolitical instability in the Middle East, escalating tensions in the South China Sea, high interest rates, tariffs, financial instability and crises, pandemics, and supply chain issues have added to global economic and market volatility. Our past business and financial results, including our ARR growth rates, services revenue, and margins, have been adversely impacted due to the disruptions resulting from such events, and may be again in the future. Such global events have disrupted and may again disrupt the normal operations of our customers’ businesses and our SI partners’ businesses. The related impacts of global events on the global economy could decrease or delay technology spending and adversely affect demand for our products. Further, our sales and implementation cycles could increase, which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such global events and related implementation delays. As a result of such developments and the related economic impact to our business, we may be required to record impairment related to our operating lease assets, investments, long-lived assets, or goodwill. Due to the continuing and evolving nature of such global events, it is not possible for us to accurately predict the duration or magnitude of the adverse impacts and effects on our business, results of operations, or financial condition. Further, to the extent global events adversely affect our business, results of operations, or financial condition, it may also have the effect of heightening many of the other risks described in this “Risk Factors” section.</w:t>
      </w:r>
    </w:p>
    <w:p>
      <w:pPr>
        <w:spacing w:after="0" w:line="13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products in the event of weakened global economic conditions, political transitions, and industry consolidation.</w:t>
      </w:r>
    </w:p>
    <w:p>
      <w:pPr>
        <w:spacing w:after="0" w:line="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General worldwide economic conditions remain unstable, and prolonged economic uncertainties or downturns could harm our business, results of operations, or financial condition. In particular, global inflation concerns, ongoing conflicts such as the war between Russia and Ukraine, continued geopolitical instability in the Middle East, escalating tensions in the South China Sea, tariffs, and the occurrence of regional epidemics or a global pandemic and related public health measures,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tariffs, and inflation, could cause a decrease in corporate spending on enterprise software in general, and in the insurance industry specifically, and negatively affect the rate of growth of our business.</w:t>
      </w:r>
    </w:p>
    <w:p>
      <w:pPr>
        <w:spacing w:after="0" w:line="1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products and professional services.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the geopolitical landscape, and terrorism may adversely impact the P&amp;C insurance industry or third parties we rely on, preventing us from expanding or maintaining our existing customer base and harming our business. Our business is subject to the risks of earthquakes, fire, floods, and other natural catastrophic events.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that impact our business, our customers, or third parties we rely on can be caused by various events, including, without limitation, hurricanes, tsunamis, floods, typhoons, windstorms, earthquakes, hail, tornadoes, explosions, volcanic eruptions, severe weather, excessive heat, epidemics, pandemics, and fires. Climate change and other environmental factors are contributing to an increase in erratic weather patterns globally and intensifying the impact of certain types of catastrophes. Moreover, acts of terrorism, armed conflict, or uncertainty in the geopolitical landscape, including the ongoing war between Russia and Ukraine and continued geopolitical instability in the Middle East, as well as the escalation of tensions in the South China Sea,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Events such as hurricanes, wildfires, heatwaves, earthquakes, and flooding in various regions illustrate the potential severity of such occurrences and their significant impact on P&amp;C insurers. Such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1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Our corporate headquarters and a substantial portion of our operations are located in the San Francisco Bay Area, a region known for seismic activity, rising ocean levels, and proximity to areas prone to severe wildfires. A significant natural disaster, such as earthquake, tsunami, wildfire, flood or significant power outage affecting the Bay Area, could have a material adverse impact on our business, results of operations, and financial condition.</w:t>
      </w:r>
    </w:p>
    <w:p>
      <w:pPr>
        <w:spacing w:after="0" w:line="12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certain financial institutions, as well as the banking system as a whole, could negatively affect our current and projected business operations and our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Adverse developments that may affect certain financial institutions and the banking system as a whole, such as events involving liquidity that are either rumored or actual, have in the past and may in the future lead to bank failures and market-wide liquidity concerns. For example, in March 2023, Silicon Valley Bank was closed by the California Department of Financial Protection and Innovation, which appointed the Federal Deposit Insurance Corporation as receiver. Similarly, other institutions have been and may continue to be swept into receivership. Up until March of 2023, our primary banking partner in the United States was Silicon Valley Bank. Since such time, we have further diversified our banking relationships. In connection with such developments, we have not experienced any material adverse impact to our cash flow or to our current and projected business operations, financial condition, or results of operations. Although we are continuing to evaluate and diversify our banking relationships, uncertainty may remain over liquidity concerns in the broader financial services industry. As a consequence, our business, our business partners, or industry as a whole may be adversely impacted in ways that we cannot predict at this time. Further, a significant portion of our assets are held in cash, cash equivalent and marketable securities. If any financial uncertainty were to impact a broad segment of the financial services industry, our enterprise value and our future prospects could be harmed or otherwise negatively impacted.</w:t>
      </w:r>
    </w:p>
    <w:p>
      <w:pPr>
        <w:spacing w:after="0" w:line="13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Australian Dollar, British Pound, Canadian Dollar, Euro, Indian Rupee, Japanese Yen, New Zealand Dollar, Polish Zloty, and Swiss Franc.</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products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quarters.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expect global exchange rates for various currencies may be more volatile than normal as a result of ongoing conflicts, including the war between Russia and Ukraine, continued geopolitical instability in the Middle East, the escalation of tensions in the South China Sea, and related events. We will continue to experience fluctuations in foreign currency exchange rates, which, if material, may harm our revenue, ARR, or results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 of the 2029 Convertible Senior Notes may adversely affect our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2029 Convertible Senior Notes is triggered, the holders thereof will be entitled under the terms of the 2029 Indenture to convert their 2029 Convertible Senior Notes at their option. As of July 31, 2025, the conditional conversion feature of our 2029 Convertible Senior Notes was not triggered. If the conditional conversion feature of the 2029 Convertible Senior Notes is triggered and one or more holders elect to convert their 2029 Convertible Senior Notes, we would be required to settle a portion or all of our conversion obligation through the payment of cash, which could adversely affect our liquidity. In addition, in certain circumstances, such as conversions by holders or redemption, we could be required under applicable accounting rules to reclassify all or certain of the outstanding principal of such series of notes as a current rather than long-term liability, which would result in a material reduction of our net working capital.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2029 Convertible Senior Notes may affect the value of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2029 Convertible Senior Notes may dilute the ownership interests of existing stockholders to the extent we satisfy our conversion obligation by delivering shares of our common stock upon any conversion of such Convertible Senior Notes. Our 2029 Convertible Senior Notes may become in the future convertible at the option of their holders under certain circumstances. If holders of our 2029 Convertible Senior Notes elect to convert their notes, in certain circumstances we will be required to settle our conversion obligation by delivering shares of our common stock, which would cause dilution to our existing stockholders.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we entered into capped call transactions with certain financial institutions (collectively,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2029 Convertible Senior Notes. Such activities could cause a decrease in the market price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involve the collection, storage and processing of customer data (including, in some cases, personal data), and may provide business critical software and analytics necessary for our customers’ operations. Guidewire develops, implements, and maintains cybersecurity measures designed to safeguard our products and protect the confidentiality, integrity, and availability of our customer data and our confidential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information, and products. Our cybersecurity risk management program includes a cybersecurity incident response plan.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various internationally recognized security certifications and aim to adopt best practices from industry-leading frameworks and standards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cybersecurity and cloud computing, including, without limitation, ISO 27001 certification, SOC 2, U.S. NIST Cybersecurity Framework (CSF), and the CIS Critical Security Controls. This does not imply that we have met any particular technical standards, specifications, or requirements, only that we use these frameworks, industry best practices, and standards as a guide to help us identify, assess, and manage cybersecurity risks relevant to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39" w:lineRule="exact"/>
        <w:rPr>
          <w:sz w:val="20"/>
          <w:szCs w:val="20"/>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and our broader enterprise IT environment;</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enterprise-wide security team principally responsible for managing our cybersecurity risk assessment processes, implementing and maintaining our security controls, and responding to cybersecurity incidents;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product development personnel, and senior management;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including, among others, vetting, periodic monitoring, and the implementation of contractual safeguards to ensure adherence to our cybersecurity standards.</w:t>
      </w:r>
    </w:p>
    <w:p>
      <w:pPr>
        <w:spacing w:after="0" w:line="13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to date, including as a result of any prior cybersecurity incidents, that have materially affected or are reasonably likely to materially affect us, including our operations, business strategy, results of operations, or financial condition. However, we face ongoing cybersecurity risks, including threats that might become more sophisticated and effective over time, and we cannot anticipate when or the extent to which cybersecurity incidents or breaches will materially affect the Company. Additional information on the cybersecurity risks we face is discussed in Part I, Item 1A, “Risk Factors.”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by way of our Risk Committee, oversees management of cybersecurity and other information technology risks. The Risk Committee receives periodic reports from management on our cybersecurity risks and control structure. In addition, management updates the Risk Committee, as necessary, regarding cybersecurity incidents.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Risk Committee reports to the full Board regarding its activities, including those related to cybersecurity. The full Board also receives briefings from management on our cybersecurity risk management program. Board members receive reports on cybersecurity risks from our Chief Information Security Officer (“CISO”), internal security staff and/or external experts as part of the Board’s continuing education on topics that impact public companies.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CISO,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CISO has over 20 years of experience in the technology sector, including 18 years dedicated to information security. He has held multiple executive security roles in a large Fortune 500 company, overseeing product security, mergers and acquisitions security, marketplace security, and enterprise security. He holds a Bachelor of Science in Information Systems Management and a Masters of Business Administration.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will periodically receive information on our cybersecurity program designed to prevent, detect, mitigate, and remediate cybersecurity risks and incidents through various means, which may include periodic briefings from internal security personnel; threat intelligence and other information obtained from governmental, public or private sources, including external consultants engaged by us; and alerts and reports produced by security tools deployed in our information technology environment.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in San Mateo, California consists of approximately 79,000 square feet of space leased through June 2027. Our European headquarters in Dublin, Ireland consists of approximately 85,000 square feet of space leased through March 2032. As of July 31, 2025, we also lease facilities for our sales, services, development, operations and administrative activities in various locations in the United States and around the world, including in the Americas, Europe, and Asia-Pacific.</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facilities are suitable to meet our current needs.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any such new or expanded facilities.</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described in Note 9 “Commitments and Contingencies” to our consolidated financial statements included elsewhere in this Annual Report on Form 10-K, which is incorporated by reference herein, we are not party to any material pending legal proceedings.</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ind w:right="4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“GWRE.”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31, 2025, the last reported sale price of our common stock on the New York Stock Exchange for fiscal year 2025 was $226.22 per share. As of July 31, 2025, we had 31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our common stock, the NASDAQ Composite-Total Return Index and S&amp;P Software &amp; Services Select Industry Index for the period from July 31, 2020 through July 31, 2025. Such returns are based on historical results and are not intended to suggest future performance. Data for the NASDAQ Composite Total Return Index and S&amp;P Software &amp; Services Select Industry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91440</wp:posOffset>
            </wp:positionV>
            <wp:extent cx="5888990" cy="3154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899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7/31/2020</w:t>
            </w:r>
          </w:p>
        </w:tc>
        <w:tc>
          <w:tcPr>
            <w:tcW w:w="240" w:type="dxa"/>
            <w:vAlign w:val="bottom"/>
          </w:tcPr>
          <w:p>
            <w:pPr>
              <w:spacing w:after="0"/>
              <w:rPr>
                <w:sz w:val="13"/>
                <w:szCs w:val="13"/>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7/31/2021</w:t>
            </w:r>
          </w:p>
        </w:tc>
        <w:tc>
          <w:tcPr>
            <w:tcW w:w="260" w:type="dxa"/>
            <w:vAlign w:val="bottom"/>
          </w:tcPr>
          <w:p>
            <w:pPr>
              <w:spacing w:after="0"/>
              <w:rPr>
                <w:sz w:val="13"/>
                <w:szCs w:val="13"/>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7/31/2022</w:t>
            </w:r>
          </w:p>
        </w:tc>
        <w:tc>
          <w:tcPr>
            <w:tcW w:w="260" w:type="dxa"/>
            <w:vAlign w:val="bottom"/>
          </w:tcPr>
          <w:p>
            <w:pPr>
              <w:spacing w:after="0"/>
              <w:rPr>
                <w:sz w:val="13"/>
                <w:szCs w:val="13"/>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7/31/2023</w:t>
            </w:r>
          </w:p>
        </w:tc>
        <w:tc>
          <w:tcPr>
            <w:tcW w:w="260" w:type="dxa"/>
            <w:vAlign w:val="bottom"/>
          </w:tcPr>
          <w:p>
            <w:pPr>
              <w:spacing w:after="0"/>
              <w:rPr>
                <w:sz w:val="13"/>
                <w:szCs w:val="13"/>
                <w:color w:val="auto"/>
              </w:rPr>
            </w:pPr>
          </w:p>
        </w:tc>
        <w:tc>
          <w:tcPr>
            <w:tcW w:w="7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7/31/2024</w:t>
            </w:r>
          </w:p>
        </w:tc>
        <w:tc>
          <w:tcPr>
            <w:tcW w:w="260" w:type="dxa"/>
            <w:vAlign w:val="bottom"/>
          </w:tcPr>
          <w:p>
            <w:pPr>
              <w:spacing w:after="0"/>
              <w:rPr>
                <w:sz w:val="13"/>
                <w:szCs w:val="13"/>
                <w:color w:val="auto"/>
              </w:rPr>
            </w:pPr>
          </w:p>
        </w:tc>
        <w:tc>
          <w:tcPr>
            <w:tcW w:w="7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7/31/2025</w:t>
            </w:r>
          </w:p>
        </w:tc>
      </w:tr>
      <w:tr>
        <w:trPr>
          <w:trHeight w:val="34"/>
        </w:trPr>
        <w:tc>
          <w:tcPr>
            <w:tcW w:w="4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Guidewire Software, Inc.</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127.55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192.27</w:t>
            </w:r>
          </w:p>
        </w:tc>
        <w:tc>
          <w:tcPr>
            <w:tcW w:w="20" w:type="dxa"/>
            <w:vAlign w:val="bottom"/>
            <w:shd w:val="clear" w:color="auto" w:fill="CCEEFF"/>
          </w:tcPr>
          <w:p>
            <w:pPr>
              <w:spacing w:after="0"/>
              <w:rPr>
                <w:sz w:val="19"/>
                <w:szCs w:val="19"/>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Composite-Total Return Index</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137.53</w:t>
            </w: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116.96</w:t>
            </w: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136.63</w:t>
            </w: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168.91</w:t>
            </w: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204.14</w:t>
            </w:r>
          </w:p>
        </w:tc>
        <w:tc>
          <w:tcPr>
            <w:tcW w:w="20" w:type="dxa"/>
            <w:vAlign w:val="bottom"/>
          </w:tcPr>
          <w:p>
            <w:pPr>
              <w:spacing w:after="0"/>
              <w:rPr>
                <w:sz w:val="19"/>
                <w:szCs w:val="19"/>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Software &amp; Services Select Industry Index</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147.80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135.95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162.85</w:t>
            </w: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 from Registered Securities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3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the related notes thereto included in Item 8 and the Risk Factors included in Item 1A of Part I of this Annual Report on Form 10-K. All information presented herein is based on our fiscal calendar. Unless otherwise stated, references in this Annual Report on Form 10-K to particular years or quarters refer to our fiscal years ended in July and the associated quarters of those fiscal years. We assume no obligation to revise or update any forward-looking statements for any reason, except as required by law.</w:t>
      </w:r>
    </w:p>
    <w:p>
      <w:pPr>
        <w:spacing w:after="0" w:line="1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2024, filed on September 16, 2024, for reference to discussion of the fiscal year ended July 31, 2023, the earliest of the three fiscal years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Guidewire is the platform that property and casualty (“P&amp;C”) insurers rely on to engage with customers, innovate, and operate more efficiently. Our platform combines core systems of record with digital, analytics, and artificial intelligence (“AI”) capabilities. We serve insurers of all sizes, ranging from global carriers to regional and local providers, helping them navigate a rapidly changing insurance landscape.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foundational core products, InsuranceSuite and InsuranceNow, are delivered primarily as cloud-based subscription services. Historically, InsuranceSuite has also been available for self-managed installations. These products serve as transactional systems of record, fully supporting insurance operations, including product definition, policy administration, claims management and billing.</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digital engagement products that enable seamless sales, omnichannel service, and enhanced claims experiences for policyholders, agents, vendors, and field personnel. Our analytics products allow insurers to manage and use data more effectively, gain business insights, improve operational efficiency, and underwrite emerging risks. To support insurers worldwide, we localize our products to address diverse regulatory, language, and currency requirements.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InsuranceSuite is a highly configurable and scalable product, delivered as a service, and primarily comprised of three core applications (PolicyCenter, ClaimCenter, and BillingCenter) that can be subscribed to separately or together. These applications are built on and optimized for our Guidewire Cloud Platform (“GWCP”) architecture and leverage our in-house cloud operations team. InsuranceSuite is designed to support multiple releases each year to accelerate delivery of new capabilities and ensure that cloud customers remain on the latest version and gain fast access to our innovation efforts. Additionally, InsuranceSuite embeds digital and analytics capabilities natively into our platform. Most new sales and implementations are for InsuranceSuite.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InsuranceNow is a complete, cloud-based application that offers policy administration, claims management, and billing functionality, plus pre-integrated document production, analytics, and other capabilities, that increases agility without adding complexity. Like InsuranceSuite, InsuranceNow is hosted on GWCP and managed by our internal cloud operations team. InsuranceNow is currently only available in the United States, and is generally suited to mid-market carriers and managing general agents whose needs are often not as complex as a typical InsuranceSuite customer.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reach customers directly through our global sales team and in partnership with third-party global system integrators (“SI’s”). Because our platform is central to insurers’ operations, customer evaluation cycles are often extensive, particularly when multiple products are involved or when insurers are moving to GWCP for the first time. Sales processes typically include detailed due diligence and customer reference checks. Our growth depends on continuously enhancing existing products, introducing new capabilities, ensuring efficient cloud operations, expanding local content, and providing access to innovation through the Guidewire Marketplace.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our products primarily through subscription services for our platform and cloud-delivered products. We generally price our subscription services for the core products based on the amount of Direct Written Premium (“DWP”) managed on our platform, with certain cloud-delivered products priced based on usage or other metrics. Initial subscription agreements are generally five years in duration, with annual renewals thereafter. In some instances, we have customers that sign contracts with an initial term of seven years or longer. Subscription revenue is recognized ratably over the contract term. We also offer term licenses, primarily for existing on-premise customers, as well as support and professional services. Support is typically priced as a percentage of license fees and recognized ratably, while most professional services are billed monthly on a time-and-materials basis.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the past few years, we have primarily been entering into cloud-based subscription arrangements with our new and existing customers, and we anticipate that subscription arrangements will continue to be a significant majority of annual new sales going forward. We may decide to change certain contract terms in new arrangements to remain competitive or otherwise meet market demands which may impact the way we recognize revenue and/or ARR.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work closely with our network of SI partners to facilitate new sales and implementations of our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but not limited to, risks related to fluctuations in our results due to factors largely outside of our control, reliance on sales to a relatively small number of large customers and the related substantial negotiating leverage of these customers, lengthy and variable sales and implementation cycles, competing effectively in the global market, growing our business and managing our expanding operations, development and use of AI in an evolving regulatory environment, making long-term pricing commitments based on cost estimates that may change, expanding market adoption of our cloud-based offerings, maintaining customer satisfaction and renewals, and cost-effectively and securely managing the infrastructure of our cloud-based customers. In response to these and other risks we might face, we continue to invest in many areas of our business, including product development, cloud operations, cybersecurity, introduction of new products and/or new features, implementation and migration services, and sales and marketing.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due to efforts by our sales team to achieve annual incentives. Because we recognize revenue upfront for term licenses compared to over time for subscription services, changes in the mix between term license and subscription services may impact our quarterly results. Additionally, any significant multi-year term license or term license non-renewal could impact quarterly results.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will dampen the impact of seasonality on our revenue.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calendar year end holidays in Europe and the United States.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Events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Global events have adversely affected and may continue to adversely affect workforces, organizations, economies, and financial markets globally, leading to economic downturns, inflationary pressures, and increased market volatility. For instance, ongoing conflicts such as the war between Russia and Ukraine, continued geopolitical instability in the Middle East, escalating tensions in the South China Sea, inflationary pressures, currency exchange fluctuations, changes in interest rates, changes in trade policies and practices (including the imposition of tariffs), previous bank failures in the United States and Switzerland, and supply chain issues have contributed to global economic and market volatility in recent years. We are unable to accurately predict the full impact that these global events will have on our results of operations, financial condition, liquidity, and cash flows due to numerous uncertainties.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financial results have been and may in the future be impacted due to these disruptions, which may affect our ARR and revenue growth rates, sales cycles, services revenue and margins, operating cash flow and expenses, employee attrition, hiring and onboarding necessary personnel, allowance for collectibility of accounts receivable and unbilled receivables, and the change in fair value of strategic investments. Additionally, inflation levels and political uncertainty are impacting the global economy and have magnified the impact of these disruptions.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products based on the amount of DWP that will be managed by our products. As a result of these developments and the related economic impact to our business, we may be required to record impairment related to our operating lease assets, investments, long-lived assets, intangible assets, or goodwill.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continue to monitor and evaluate the nature and extent of these global events on our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Annual Report on Form 10-K.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contractual terms and invoicing activities for the current reporting period, which may not be the same as the timing and amount of revenue recognized. ARR reflects all fee changes due to contract renewals, non-renewals, expansion, cancellations, attrition, or renegotiations at a higher or lower fee arrangement that are effective as of the ARR reporting date. All components of the licensing and other arrangements that are not expected to recur (primarily perpetual licenses and professional services) are excluded from our ARR calculations.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if we increase arrangements with multiple performance obligations that include services at discounted rates, more of the total contract value would be recognized as services revenue, but our reported ARR amount would not be impacted. In fiscal year 2025, the recurring license and support or subscription contract value recognized as services revenue was $9.5 million.</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ARR was $1,041 million, or $1,032 million based on currency exchange rates as of July 31, 2024. We measure ARR results on a constant currency basis during the fiscal year and revalue ARR at year end to current currency rates. ARR grew in fiscal year 2025 by 20%, or 19% on a constant currency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payments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commissions, payroll taxes, and other tax payments. Our capital expenditures consist of purchases of property and equipment, primarily computer hardware, software, and leasehold improvements, and capitalized software development costs. For a further discussion of our operating cash flows, see “Liquidity and Capital Resources –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74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6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color w:val="auto"/>
              </w:rPr>
              <w:t>(in thousands)</w:t>
            </w: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300,867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195,748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(12,165)</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Free cash flow</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280,412</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177,221</w:t>
            </w:r>
          </w:p>
        </w:tc>
      </w:tr>
      <w:tr>
        <w:trPr>
          <w:trHeight w:val="21"/>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Summary of Significant Accounting Policies and Estimates” to our consolidated financial statements included in this Annual Report on Form 10-K, our revenue recognition policies are critical to the periods presented.</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revenue is derived from contracts with customers. The majority of our revenue is derived from subscriptions to our cloud services, licensing arrangements for our software, and implementation and other professional services arrangements. We account for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estimates and assumptions requiring significant judgment under our revenue policy in accordance with ASC 606 are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 based on its standalone selling price (“SSP”) in relation to the total fair value of all performance obligations in the arrangement.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will use the residual method.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contracts contain multiple performance obligations, such as when licenses are sold with support, implementation services or training services.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contract modifications for products that are distinct but are not priced commensurate with their SSP or are not distinct from the existing contract may affect the initial transaction price or the allocation of the transaction price to the performance obligations in the contract. In such cases, revenue recognized may be adjusted.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and Estimates” to our consolidated financial statements included in this Annual Report on Form 10-K for a full description of recent accounting pronouncements adopted, including the dates of adoption, and recent accounting pronouncements not yet adopted.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presented. The data has been derived from the consolidated financial statements contained in this Annual Report on Form 10-K. The results of operations for any period should not be considered indicative of results for any future period.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66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a % of total revenue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As a % of total revenue</w:t>
            </w:r>
          </w:p>
        </w:tc>
      </w:tr>
      <w:tr>
        <w:trPr>
          <w:trHeight w:val="19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6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6"/>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731,296</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549,087</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251,935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250,176</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219,228</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181,234</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w:t>
            </w:r>
          </w:p>
        </w:tc>
      </w:tr>
      <w:tr>
        <w:trPr>
          <w:trHeight w:val="227"/>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1,202,459</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980,497</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100</w:t>
            </w: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235,106</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204,794</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4,536</w:t>
            </w:r>
          </w:p>
        </w:tc>
        <w:tc>
          <w:tcPr>
            <w:tcW w:w="80" w:type="dxa"/>
            <w:vAlign w:val="bottom"/>
          </w:tcPr>
          <w:p>
            <w:pPr>
              <w:spacing w:after="0"/>
              <w:rPr>
                <w:sz w:val="19"/>
                <w:szCs w:val="19"/>
                <w:color w:val="auto"/>
              </w:rPr>
            </w:pPr>
          </w:p>
        </w:tc>
        <w:tc>
          <w:tcPr>
            <w:tcW w:w="16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211,676</w:t>
            </w:r>
          </w:p>
        </w:tc>
        <w:tc>
          <w:tcPr>
            <w:tcW w:w="80" w:type="dxa"/>
            <w:vAlign w:val="bottom"/>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187,806</w:t>
            </w:r>
          </w:p>
        </w:tc>
        <w:tc>
          <w:tcPr>
            <w:tcW w:w="80" w:type="dxa"/>
            <w:vAlign w:val="bottom"/>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cost of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450,406</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397,136</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40</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6"/>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and support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496,190</w:t>
            </w:r>
          </w:p>
        </w:tc>
        <w:tc>
          <w:tcPr>
            <w:tcW w:w="80" w:type="dxa"/>
            <w:vAlign w:val="bottom"/>
          </w:tcPr>
          <w:p>
            <w:pPr>
              <w:spacing w:after="0"/>
              <w:rPr>
                <w:sz w:val="19"/>
                <w:szCs w:val="19"/>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344,293</w:t>
            </w:r>
          </w:p>
        </w:tc>
        <w:tc>
          <w:tcPr>
            <w:tcW w:w="80" w:type="dxa"/>
            <w:vAlign w:val="bottom"/>
          </w:tcPr>
          <w:p>
            <w:pPr>
              <w:spacing w:after="0"/>
              <w:rPr>
                <w:sz w:val="19"/>
                <w:szCs w:val="19"/>
                <w:color w:val="auto"/>
              </w:rPr>
            </w:pPr>
          </w:p>
        </w:tc>
        <w:tc>
          <w:tcPr>
            <w:tcW w:w="16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35</w:t>
            </w: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248,311</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245,640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7,552</w:t>
            </w:r>
          </w:p>
        </w:tc>
        <w:tc>
          <w:tcPr>
            <w:tcW w:w="8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(6,572)</w:t>
            </w:r>
          </w:p>
        </w:tc>
        <w:tc>
          <w:tcPr>
            <w:tcW w:w="80" w:type="dxa"/>
            <w:vAlign w:val="bottom"/>
          </w:tcPr>
          <w:p>
            <w:pPr>
              <w:spacing w:after="0"/>
              <w:rPr>
                <w:sz w:val="19"/>
                <w:szCs w:val="19"/>
                <w:color w:val="auto"/>
              </w:rPr>
            </w:pPr>
          </w:p>
        </w:tc>
        <w:tc>
          <w:tcPr>
            <w:tcW w:w="166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w:t>
            </w:r>
          </w:p>
        </w:tc>
      </w:tr>
      <w:tr>
        <w:trPr>
          <w:trHeight w:val="227"/>
        </w:trPr>
        <w:tc>
          <w:tcPr>
            <w:tcW w:w="4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gross profit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752,053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583,361</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60</w:t>
            </w:r>
          </w:p>
        </w:tc>
      </w:tr>
      <w:tr>
        <w:trPr>
          <w:trHeight w:val="20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296,160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269,381</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w:t>
            </w:r>
          </w:p>
        </w:tc>
      </w:tr>
      <w:tr>
        <w:trPr>
          <w:trHeight w:val="226"/>
        </w:trPr>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230,346</w:t>
            </w:r>
          </w:p>
        </w:tc>
        <w:tc>
          <w:tcPr>
            <w:tcW w:w="80" w:type="dxa"/>
            <w:vAlign w:val="bottom"/>
          </w:tcPr>
          <w:p>
            <w:pPr>
              <w:spacing w:after="0"/>
              <w:rPr>
                <w:sz w:val="19"/>
                <w:szCs w:val="19"/>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199,033</w:t>
            </w:r>
          </w:p>
        </w:tc>
        <w:tc>
          <w:tcPr>
            <w:tcW w:w="80" w:type="dxa"/>
            <w:vAlign w:val="bottom"/>
          </w:tcPr>
          <w:p>
            <w:pPr>
              <w:spacing w:after="0"/>
              <w:rPr>
                <w:sz w:val="19"/>
                <w:szCs w:val="19"/>
                <w:color w:val="auto"/>
              </w:rPr>
            </w:pPr>
          </w:p>
        </w:tc>
        <w:tc>
          <w:tcPr>
            <w:tcW w:w="16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r>
      <w:tr>
        <w:trPr>
          <w:trHeight w:val="23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184,479</w:t>
            </w:r>
          </w:p>
        </w:tc>
        <w:tc>
          <w:tcPr>
            <w:tcW w:w="80" w:type="dxa"/>
            <w:vAlign w:val="bottom"/>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167,520</w:t>
            </w:r>
          </w:p>
        </w:tc>
        <w:tc>
          <w:tcPr>
            <w:tcW w:w="80" w:type="dxa"/>
            <w:vAlign w:val="bottom"/>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710,985</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635,934</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64</w:t>
            </w:r>
          </w:p>
        </w:tc>
      </w:tr>
      <w:tr>
        <w:trPr>
          <w:trHeight w:val="22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4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56,625</w:t>
            </w:r>
          </w:p>
        </w:tc>
        <w:tc>
          <w:tcPr>
            <w:tcW w:w="80" w:type="dxa"/>
            <w:vAlign w:val="bottom"/>
          </w:tcPr>
          <w:p>
            <w:pPr>
              <w:spacing w:after="0"/>
              <w:rPr>
                <w:sz w:val="19"/>
                <w:szCs w:val="19"/>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43,478</w:t>
            </w:r>
          </w:p>
        </w:tc>
        <w:tc>
          <w:tcPr>
            <w:tcW w:w="80" w:type="dxa"/>
            <w:vAlign w:val="bottom"/>
          </w:tcPr>
          <w:p>
            <w:pPr>
              <w:spacing w:after="0"/>
              <w:rPr>
                <w:sz w:val="19"/>
                <w:szCs w:val="19"/>
                <w:color w:val="auto"/>
              </w:rPr>
            </w:pPr>
          </w:p>
        </w:tc>
        <w:tc>
          <w:tcPr>
            <w:tcW w:w="16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w:t>
            </w:r>
          </w:p>
        </w:tc>
      </w:tr>
      <w:tr>
        <w:trPr>
          <w:trHeight w:val="233"/>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(13,211)</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(6,738)</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(35,087)</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(11,005)</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(1)</w:t>
            </w:r>
          </w:p>
        </w:tc>
      </w:tr>
      <w:tr>
        <w:trPr>
          <w:trHeight w:val="22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provision for (benefit from)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(2)</w:t>
            </w:r>
          </w:p>
        </w:tc>
      </w:tr>
      <w:tr>
        <w:trPr>
          <w:trHeight w:val="226"/>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(20,409)</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(20,735)</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(2)</w:t>
            </w:r>
          </w:p>
        </w:tc>
      </w:tr>
      <w:tr>
        <w:trPr>
          <w:trHeight w:val="25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69,804</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July 31, 2025 and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derive our revenue primarily from delivering cloud-based services, licensing our software applications, providing support, and delivering professional services.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five years, though in some instances customers have entered into contracts with an initial term of seven years or longer. Subscription agreements contain optional annual renewals commencing upon the expiration of the initial contract term. A majority of our subscription customers are billed annually in advance. In some arrangements with multiple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are sold under an initial term with optional annual renewals after the initial term. Term license revenue for the committed term of the customer agreement is generally fully recognized upon delivery of the software or at the beginning of the renewal term. We do enter into license arrangements that have an initial term of two or more years and renewal terms of more than one year which results in significantly higher revenue in the initial year of the committed term than arrangements for our subscription services.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189,976</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63,860</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71,627</w:t>
            </w: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440" w:type="dxa"/>
            <w:vAlign w:val="bottom"/>
          </w:tcPr>
          <w:p>
            <w:pPr>
              <w:spacing w:after="0"/>
              <w:rPr>
                <w:sz w:val="19"/>
                <w:szCs w:val="19"/>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license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251,817</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248,849</w:t>
            </w: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44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Perpetual license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219,228</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181,234</w:t>
            </w:r>
          </w:p>
        </w:tc>
        <w:tc>
          <w:tcPr>
            <w:tcW w:w="13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44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221,962</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towards the end of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 increased by $190.0 million compared to the prior year primarily due to the impact of new subscription agreements and cloud transition agreements entered into and provisioned since July 31, 2024 of $154.0 million, and the renewal or extension of subscription services at the fully ramped annual fees after the initial committed term of $28.2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Support revenue decreased by $7.8 million compared to the prior year,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result in lower support revenue in the future.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Term license revenue increased by $3.0 million compared to the prior year primarily due to higher renewals and expansion orders within our existing customer base, partially offset by the impact of customers that migrated from a term license to a subscription service. Ongoing revenue related to migration agreements is recorded as subscription revenue. The impact on term license revenue from contracts with an initial term of greater than two years or a renewal term of greater than one year was $0.5 million during fiscal year 2025, as compared to $2.7 million in the prior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Services revenue increased by $38.0 million compared to the prior year primarily due to improved operational focus that resulted in higher utilization of services employees and more new subscription implementation and migration projects than projects that were completed over the past year.</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we successfully leverage our SI partners to lead more implementations and migrations, we expect our services revenue could fluctuate between periods. Additionally, services revenue overall may continue to be impacted by contracts with lower average services billing rates and investments in customer implementations,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 As we continue to expand into new markets and develop new products, we have, and may continue to, enter into contracts with lower average billing rates, make investments in customer implementation and migration engagements, and enter into fixed price contracts.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a % of total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a % of total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1"/>
                <w:szCs w:val="11"/>
                <w:color w:val="auto"/>
              </w:rPr>
            </w:pPr>
          </w:p>
        </w:tc>
        <w:tc>
          <w:tcPr>
            <w:tcW w:w="8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13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204,794</w:t>
            </w:r>
          </w:p>
        </w:tc>
        <w:tc>
          <w:tcPr>
            <w:tcW w:w="13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420" w:type="dxa"/>
            <w:vAlign w:val="bottom"/>
          </w:tcPr>
          <w:p>
            <w:pPr>
              <w:spacing w:after="0"/>
              <w:rPr>
                <w:sz w:val="19"/>
                <w:szCs w:val="19"/>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211,676</w:t>
            </w:r>
          </w:p>
        </w:tc>
        <w:tc>
          <w:tcPr>
            <w:tcW w:w="13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187,806</w:t>
            </w:r>
          </w:p>
        </w:tc>
        <w:tc>
          <w:tcPr>
            <w:tcW w:w="13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420" w:type="dxa"/>
            <w:vAlign w:val="bottom"/>
          </w:tcPr>
          <w:p>
            <w:pPr>
              <w:spacing w:after="0"/>
              <w:rPr>
                <w:sz w:val="19"/>
                <w:szCs w:val="19"/>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450,406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$30.3 million increase in cost of subscription and support revenue was primarily due to increases in cloud infrastructure costs of $26.6 million from increased transaction volume on our cloud services, personnel costs of $4.5 million as a result of higher compensation related to bonus and other benefits, internal-use software amortization of $1.2 million, royalties of $0.6 million due to higher usage, and amortization of intangibles of $0.3 million due to newly acquired intangible assets being amortized. These increases were partially offset by a decrease in professional services expense of $2.9 million.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Cloud infrastructure expense continues to benefit from the efficiencies that we are achieving from our development efforts associated with our GWCP platform and the five-year agreement we entered into with a cloud infrastructure services provider. As a result of efficiencies that we are seeing from our previous investments in cloud operations and development efforts, we continue to critically evaluate headcount additions, professional services contracts and third-party software costs, along with other investment opportunities. However, we expect cost of subscription and support revenue to increase in absolute dollars due to the increased number of customers utilizing our cloud services, the volume of transactions by our cloud customers, and the impact of inflation and other macroeconomic events.</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$0.9 million decrease in our cost of license revenue was primarily due to a $0.6 million decrease in personnel costs associated with the development of online training curriculum included with the latest releases of InsuranceSuite and lower royalties of $0.3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continue to anticipate lower cost of license revenue over time as our term license customers transition to cloud subscription agreements.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$23.9 million increase in cost of services revenue was primarily due to increases in personnel expense of $13.5 million, subcontractor expense of $9.3 million due to implementations involving our SI partners, professional services expense of $0.6 million, and software subscriptions and travel expenses of $0.5 million.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606 cloud operations and technical support employees and 873 professional service employees as of July 31, 2025 compared to 613 cloud operations and technical support employees and 750 professional services employees as of July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Margin %</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344,293</w:t>
            </w:r>
          </w:p>
        </w:tc>
        <w:tc>
          <w:tcPr>
            <w:tcW w:w="32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151,897</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752,053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583,361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168,692</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gross profit increased by $168.7 million compared to the prior year. Gross profit was impacted by an increase in subscription and support gross profit due to the increase in subscription revenue and cloud operations efficiencies. License gross profit slightly increased primarily as a result of customer renewals and lower costs associated with development of online training curriculum. Services gross margin increased due to increased revenue from new implementation and migration projects, higher utilization rates and the completion of certain implementation projects that required significant investment by us.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margin increased to 63% in fiscal year 2025, as compared to 59% in fiscal year 2024. Gross margin was primarily impacted by the increase in subscription and support revenue at a higher margin due to cloud operations efficiencies and higher services margin after the completion of certain implementation projects that required significant investment by us and higher utilization rates.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subscription and support gross margin to continue to improve, though at a slower rate than in recent years, as we gain additional efficiencies and increase the number of cloud customers. We expect services gross margin will continue to improve as we enter into fewer fixed fee arrangements, but could fluctuate between periods based on the use of subcontractors to supplement our internal services team. We expect license gross profit to decline due to customers migrating from licenses to subscription services. Overall, we expect gross margins to continue to improve over time as improvements in subscription and support gross margin and services gross margin will more than offset the negative impact of revenue shifts away from high margin license revenue.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92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As a% of total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6"/>
                <w:szCs w:val="16"/>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296,160</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269,381</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44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230,346</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199,033</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184,479</w:t>
            </w: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167,520</w:t>
            </w: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710,985</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635,934</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75,051</w:t>
            </w: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40,213</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41,678</w:t>
            </w: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126,708</w:t>
            </w:r>
          </w:p>
        </w:tc>
        <w:tc>
          <w:tcPr>
            <w:tcW w:w="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113,836</w:t>
            </w:r>
          </w:p>
        </w:tc>
        <w:tc>
          <w:tcPr>
            <w:tcW w:w="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personnel costs for our technical staff and consultants providing professional services.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$26.8 million increase in research and development expenses was primarily due to increases in personnel costs of $23.3 million due to higher headcount, professional services of $1.0 million, web hosting costs of $1.0 million, software subscription costs of $0.9 million, and travel costs of $0.6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headcount was 1,273 as of July 31, 2025, as compared to 1,169 as of July 31, 2024.</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due to inflation and investments to enhance and develop our products and services, but decrease as a percentage of revenue after our recent period of significant investment in cloud platform capabilities as overall hiring slows, and we focus on hiring in lower cost regions. We continue to dedicate internal resources to develop, improve, and expand the functionality, efficiency, and security of our solutions in the cloud. Research and development expenses may also increase if we pursue additional acquisitions.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$31.3 million increase in sales and marketing expenses was primarily due to increases in personnel costs, including higher contract acquisition costs and stock-based compensation, of $24.1 million, travel costs of $3.2 million, web hosting expenses of $2.6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marketing and advertising expenses of $0.6 million, software subscriptions of $0.6 million, and professional services costs of $0.5 million. These increases were partially offset by a decrease in amortization of intangibles of $0.3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and marketing headcount was 533 as of July 31, 2025, as compared to 477 as of July 31, 2024.</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due to inflation and investments to support ongoing growth, but decrease as a percentage of revenue as overall hiring slows after our recent period of investment to build out our customer success team and add analytics and cloud sales capabilities.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$17.0 million increase in our general and administrative expenses was primarily due to increases in professional services expenses of $6.2 million, net of capitalized implementation costs, due to ongoing projects to upgrade our technology infrastructure, personnel costs of $5.6 million, travel costs of $3.4 million, bad debt expense of $1.0 million, software subscription costs of $0.5 million, and web hosting costs of $0.3 million.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was 487 as of July 31, 2025, as compared to 460 as of July 31, 2024. General and administrative headcount includes facilities personnel whose expenses are allocated across all functional departments.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absolute dollars due to inflation and investments required to support our strategic initiatives, grow our business, and meet our product and information security, compliance and reporting obligations, but decrease as a percentage of revenue as overall hiring and investments slow.</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8"/>
                <w:szCs w:val="18"/>
                <w:color w:val="auto"/>
                <w:w w:val="96"/>
              </w:rPr>
              <w:t>56,625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13,147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479"/>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(6,473)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rPr>
              <w:t>(35,087)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(24,082)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increased by $13.1 million in fiscal year 2025, primarily due to increased funds available for investment due to our October 2024 debt offering and positive operating cash flow.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Interest expense includes both stated interest and the amortization of debt issuance costs associated with the outstanding amount due on the aggregate principal amount of our 1.25% Convertible Senior Notes due 2025 (“2025 Convertible Senior Notes”) and the aggregate principal amount of our 1.25% Convertible Senior Notes due 2029 (the “2029 Convertible Senior Notes,” together with the 2025 Convertible Senior Notes, the “Convertible Senior Notes”). The amortization of debt issuance cost is recognized on an effective interest basis. Our 2025 Convertible Senior Notes were partially retired in October and December 2024, and were fully settled on their maturity date of March 15, 2025. Beginning in fiscal year 2025, interest expense also includes the commitment fees on our undrawn 2025 Credit Facility and the amortization of the associated issuance costs.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fiscal year ended July 31, 2025 consists of stated interest of $9.0 million, non-cash interest expense of $3.8 million, and $0.4 million of commitment fees and amortization of the associated issuance costs on our undrawn 2025 Credit Facility. Interest expense for the fiscal year ended July 31, 2024 consists of stated interest of $5.0 million and non-cash interest expense of $1.7 million.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New Zealand Dollar, Polish Zloty, and Swiss Franc. Other income (expense) also includes changes in the fair value of our strategic investments and expenses related to the retirement of a portion of our 2025 Convertible Senior Notes.</w:t>
      </w:r>
    </w:p>
    <w:p>
      <w:pPr>
        <w:spacing w:after="0" w:line="1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in fiscal year 2025 consists of a debt retirement loss associated with the 2025 Convertible Senior Notes of $53.6 million and a $2.1 million decrease in the fair value of our strategic investments, partially offset by a $16.7 million gain primarily from foreign currency fluctuations and a $3.7 million gain on the sale of one of our strategic investments. During the second quarter of fiscal year 2025, one of our strategic investments was acquired. As a result, we received $5.7 million in consideration for our equity interest in the investee, composed of $3.4 million in cash and $2.3 million of an ownership interest in the acquirer, and recognized a $3.7 million gain in excess of cost.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in fiscal year 2024 consists of a $10.8 million loss primarily from foreign currency fluctuations and a $2.0 million decrease in the fair value of our strategic investments, offset by $1.8 million of other income primarily from the gain on the sale of one of our strategic investments. During the fiscal year ended July 31, 2024, one of our investees was acquired by a privately held limited partnership. As a result, we received $12.1 million in consideration for our equity interest in the investee, composed of $6.5 million cash and $5.6 million of an ownership interest in the privately held limited partnership, and recognized a $1.8 million gain in excess of cost.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and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also be subject to U.S. income tax.</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(20,409)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326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recognized an income tax benefit of $20.4 million for fiscal year 2025 compared to $20.7 million for fiscal year 2024. Our fiscal year 2025 income tax benefit was similar to our fiscal year 2024 income tax benefit even though we generated more pre-tax income due to an increase in deductions from stock-based compensation, the foreign derived intangible income deduction, change in valuation allowance, and an increase in research and development tax credits, partially offset by non-deductible debt retirement expense and non-deductible executive compensation.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differs from the statutory U.S. Federal income tax rate of 21% primarily due to the debt retirement expense which is non-deductible for tax purposes and other permanent differences related to stock-based compensation including excess tax benefits, research and development credits, foreign earnings taxed in the U.S., the foreign derived intangible income deduction, and certain non-deductible expenses, including, but not limited to, executive compensation limitation.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on July 4, 2025, H.R. 1 was signed into law. Among other provisions, the legislation reinstates immediate expensing for domestic research and experimental expenditures, extends 100% bonus depreciation for qualified property placed in service beginning January 20, 2025, and makes certain other provisions of the Tax Cuts and Jobs Act permanent. We are evaluating the impact of the provisions of this legislation that are effective subsequent to fiscal year 2025 and will reflect its impact on our financial statements in the periods in which they are effective.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implemented a framework for a global minimum corporate tax of 15% applied on a country-by-country basis for companies with global revenues and profits above certain thresholds (referred to as Pillar 2). Pillar 2 provisions did not have a material impact on our financial statements for any of the years presented.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July 31, 2024 and 2023</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located in our 10-K for the fiscal year ended July 31, 2024, filed on September 16, 2024, for the discussion of the comparison of the fiscal year ended July 31, 2024 to the fiscal year ended July 31, 2023, the earliest of the three fiscal years presented in the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 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our business.</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 (in thousands, except share and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740" w:type="dxa"/>
            <w:vAlign w:val="bottom"/>
            <w:tcBorders>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r>
      <w:tr>
        <w:trPr>
          <w:trHeight w:val="19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reconciliation:</w:t>
            </w: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752,053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583,361</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789,156</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617,925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reconciliation:</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41,068</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161,556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208,245</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reconciliation:</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69,804</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161,556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Retirement of debt</w:t>
            </w:r>
            <w:r>
              <w:rPr>
                <w:rFonts w:ascii="Times New Roman" w:cs="Times New Roman" w:eastAsia="Times New Roman" w:hAnsi="Times New Roman"/>
                <w:sz w:val="21"/>
                <w:szCs w:val="21"/>
                <w:color w:val="auto"/>
                <w:vertAlign w:val="superscript"/>
              </w:rPr>
              <w:t>(1)</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53,565</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(64,888)</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(33,333)</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227,875</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114,521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 reconciliation:</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tax provision (benefit)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(20,735)</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9"/>
        </w:trPr>
        <w:tc>
          <w:tcPr>
            <w:tcW w:w="70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Retirement of debt</w:t>
            </w:r>
            <w:r>
              <w:rPr>
                <w:rFonts w:ascii="Times New Roman" w:cs="Times New Roman" w:eastAsia="Times New Roman" w:hAnsi="Times New Roman"/>
                <w:sz w:val="21"/>
                <w:szCs w:val="21"/>
                <w:color w:val="auto"/>
                <w:vertAlign w:val="superscript"/>
              </w:rPr>
              <w:t>(1)</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31,336</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18,681</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tax provision (benefit)</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reconciliation:</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6"/>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 per share – diluted</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7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Retirement of debt</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on convertible debt</w:t>
            </w:r>
          </w:p>
        </w:tc>
        <w:tc>
          <w:tcPr>
            <w:tcW w:w="7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dilutive shares excluded from GAAP net income (loss) per share calculation</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 per share – diluted</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in computing Non-GAAP net income (loss) per share amounts:</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weighted average shares – diluted</w:t>
            </w:r>
          </w:p>
        </w:tc>
        <w:tc>
          <w:tcPr>
            <w:tcW w:w="7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85,911,653</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82,291,483</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dilutive shares excluded from GAAP net income (loss) per share calculation</w:t>
            </w:r>
          </w:p>
        </w:tc>
        <w:tc>
          <w:tcPr>
            <w:tcW w:w="7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5,072,080</w:t>
            </w:r>
          </w:p>
        </w:tc>
      </w:tr>
      <w:tr>
        <w:trPr>
          <w:trHeight w:val="237"/>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weighted average shares – diluted</w:t>
            </w: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85,911,653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87,363,563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8"/>
        <w:spacing w:after="0" w:line="261" w:lineRule="auto"/>
        <w:tabs>
          <w:tab w:leader="none" w:pos="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 ended July 31, 2025, we recorded a $53.6 million loss on retirement of debt in other income (expense) comprised of a $53.3 million loss on extinguishment of a portion of the 2025 Convertible Senior Notes and a $0.3 million loss on the induced conversion of a portion of the 2025 Convertible Senior Notes. Prior to fiscal year 2025, there were no transactions similar to the retirement of debt in any periods presented in the consolidated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16"/>
                <w:szCs w:val="16"/>
                <w:color w:val="auto"/>
              </w:rPr>
            </w:pPr>
          </w:p>
        </w:tc>
        <w:tc>
          <w:tcPr>
            <w:tcW w:w="17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1,129,453</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962,613</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457,899</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approximately $90.3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working capital increased to $962.6 million as of July 31, 2025 compared to $457.9 million as of July 31, 2024, primarily due to proceeds received from the issuance of the 2029 Convertible Senior Notes in October 2024 and operating cash flow, partially offset by settlement of the 2025 Convertible Senior Notes and the purchase of capped calls related to the 2029 Convertible Senior Notes. We are required to, and have the ability to, settle the principal of the 2029 Convertible Senior Notes in cash and any conversion premium in cash, equity, or a combination of both.</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 we entered into a revolving credit agreement (the “Credit Agreement”), which provides for a senior secured revolving credit facility in an aggregate principal amount of $300.0 million (the “2025 Credit Facility”). At our discretion, it allows flexibility for an uncommitted upsize of the aggregate principal amount of the 2025 Credit Facility or the establishment of incremental term loan facilities, in each case, as further set forth in the Credit Agreement. As of July 31, 2025, there were no outstanding borrowings under the 2025 Credit Facility and we were in compliance with related covenants.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$400.0 million of our outstanding common stock. During fiscal years 2024 and 2025, we did not repurchase any shares of our common stock due to the market price of our shares. As of July 31, 2025, $138.2 million remained available for future share repurchases subject to our compliance with the terms of the Credit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the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We typically generate a significant portion of our annual operating cash flow in our fourth fiscal quarter, which is the quarter ending July 31, due to the significant number of customer agreements with annual billings in that quarter. Additionally, our capital expenditures may fluctuate depending on future office build outs and software development activities subject to capitalization.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other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and cloud operations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consolidated financial statements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124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195,748</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(236,965)</w:t>
            </w:r>
          </w:p>
        </w:tc>
        <w:tc>
          <w:tcPr>
            <w:tcW w:w="8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(52,359)</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by $105.1 million in fiscal year 2025 as compared to fiscal year 2024. The increase in cash provided by operating activities was primarily attributable to a $146.5 million increase in net income after excluding the impact of non-cash charges such as deferred taxes, stock-based compensation expense, depreciation and amortization expense, loss on retirement of debt, and other non-cash items, offset by an increase of $41.4 million of cash used in working capital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by $184.6 million in fiscal year 2025 as compared to fiscal year 2024. The increase in cash used in investing activities was primarily due to higher net purchases of available-for-sale securities transactions of $154.5 million, $26.9 million cash paid as purchase consideration for the acquisition of Quantee, higher capital expenditures and capitalized software development costs of $1.9 million, a decrease of $0.9 million in proceeds from the sale of strategic investments, and an increase of $0.4 million of acquisition of new strategic investments.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increased by $81.2 million in fiscal year 2025 as compared to fiscal year 2024. The increase in cash provided by financing activities was primarily because of $671.8 million cash received, net of paid issuance costs, from the issuance of the 2029 Convertible Senior Notes and an increase of $2.9 million cash received from the issuance of common stock upon exercise of stock options, partially offset by $353.5 million used to retire $220.9 million aggregate principal amount of the 2025 Convertible Senior Notes, $179.1 million used to settle the outstanding principal of the 2025 Convertible Senior Notes at maturity, $58.8 million used to purchase capped calls related to the 2029 Convertible Senior Notes, and $2.1 million used to establish our revolving credit facility.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royalties, purchase obligations, debt, and taxes as of July 31, 2025. Refer to Note 8 ‘’Leases,’’ Note 9 “Commitments and Contingencies” and Note 11 “Income Taxes” to our consolidated financial statements included in this Annual Report on Form 10-K for more information.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July 31, 2025, we retired $220.9 million aggregate principal amount of the 2025 Convertible Senior Notes in cash for $354.0 million, which included related accrued interest of $0.5 million, and issued $690.0 million aggregate principal amount of the 2029 Convertible Senior Notes. In March 2025, we fully settled at maturity the outstanding $179.1 million aggregate principal amount of the 2025 Convertible Senior Notes through aggregate cash payments totaling $180.2 million, which included related accrued interest of $1.1 million. See Note 7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July 31, 2025,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Our cash, cash equivalents, and investments as of July 31, 2025 and 2024 were $1,483.2 million and $1,129.5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one percent increase in interest rates is estimated to result in a decrease of $5.3 million and $3.3 million in the market value of our available-for-sale securities as of July 31, 2025 and 2024, respectively. Any realized gains or losses resulting from such interest rate changes would only occur if we sold the investments prior to maturity.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results of operations, ARR, and cash flows are subject to fluctuations due to changes in foreign currency exchange rates, particularly changes in the Australian Dollar, British Pound, Canadian Dollar, Euro, Indian Rupee, Japanese Yen, New Zealand Dollar, Polish Zloty, and Swiss Franc,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because our relationships with our customers are long-term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nature,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periods ended July 31, 2025 and 2024, we recorded a foreign currency gain of $16.7 million and loss of $10.8 million, respectively, as a component of other income (expense) in our consolidated statements of operations primarily due to currency exchange rate fluctuations. We will continue to experience fluctuations in foreign currency exchange rates. If a hypothetical ten percent change in foreign currency exchange rates were to occur in the future, the resulting transaction gain or loss is estimated to be approximately $60.7 million. As our international operations grow, we will continue to assess our approach to managing our risk relating to fluctuations in currency rates.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w:t>
      </w:r>
      <w:r>
        <w:rPr>
          <w:rFonts w:ascii="Times New Roman" w:cs="Times New Roman" w:eastAsia="Times New Roman" w:hAnsi="Times New Roman"/>
          <w:sz w:val="18"/>
          <w:szCs w:val="18"/>
          <w:b w:val="1"/>
          <w:bCs w:val="1"/>
          <w:color w:val="auto"/>
        </w:rPr>
        <w: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primarily consist of high 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2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Data</w:t>
            </w:r>
          </w:p>
        </w:tc>
        <w:tc>
          <w:tcPr>
            <w:tcW w:w="18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23"/>
                <w:szCs w:val="23"/>
                <w:color w:val="auto"/>
              </w:rPr>
            </w:pPr>
          </w:p>
        </w:tc>
      </w:tr>
      <w:tr>
        <w:trPr>
          <w:trHeight w:val="405"/>
        </w:trPr>
        <w:tc>
          <w:tcPr>
            <w:tcW w:w="20" w:type="dxa"/>
            <w:vAlign w:val="bottom"/>
          </w:tcPr>
          <w:p>
            <w:pPr>
              <w:spacing w:after="0"/>
              <w:rPr>
                <w:sz w:val="24"/>
                <w:szCs w:val="24"/>
                <w:color w:val="auto"/>
              </w:rPr>
            </w:pPr>
          </w:p>
        </w:tc>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33CC"/>
                <w:w w:val="88"/>
              </w:rPr>
              <w:t>67</w:t>
            </w: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480" w:type="dxa"/>
            <w:vAlign w:val="bottom"/>
            <w:tcBorders>
              <w:top w:val="single" w:sz="8" w:color="0000FF"/>
            </w:tcBorders>
            <w:gridSpan w:val="6"/>
          </w:tcPr>
          <w:p>
            <w:pPr>
              <w:spacing w:after="0"/>
              <w:rPr>
                <w:sz w:val="18"/>
                <w:szCs w:val="18"/>
                <w:color w:val="auto"/>
              </w:rPr>
            </w:pPr>
          </w:p>
        </w:tc>
        <w:tc>
          <w:tcPr>
            <w:tcW w:w="5440" w:type="dxa"/>
            <w:vAlign w:val="bottom"/>
          </w:tcPr>
          <w:p>
            <w:pPr>
              <w:spacing w:after="0"/>
              <w:rPr>
                <w:sz w:val="18"/>
                <w:szCs w:val="18"/>
                <w:color w:val="auto"/>
              </w:rPr>
            </w:pPr>
          </w:p>
        </w:tc>
        <w:tc>
          <w:tcPr>
            <w:tcW w:w="180" w:type="dxa"/>
            <w:vAlign w:val="bottom"/>
            <w:tcBorders>
              <w:top w:val="single" w:sz="8" w:color="0033CC"/>
              <w:bottom w:val="single" w:sz="8" w:color="0033CC"/>
            </w:tcBorders>
          </w:tcPr>
          <w:p>
            <w:pPr>
              <w:jc w:val="right"/>
              <w:spacing w:after="0"/>
              <w:rPr>
                <w:sz w:val="20"/>
                <w:szCs w:val="20"/>
                <w:color w:val="auto"/>
              </w:rPr>
            </w:pPr>
            <w:r>
              <w:rPr>
                <w:rFonts w:ascii="Times New Roman" w:cs="Times New Roman" w:eastAsia="Times New Roman" w:hAnsi="Times New Roman"/>
                <w:sz w:val="18"/>
                <w:szCs w:val="18"/>
                <w:color w:val="0033CC"/>
                <w:w w:val="88"/>
              </w:rPr>
              <w:t>69</w:t>
            </w:r>
          </w:p>
        </w:tc>
      </w:tr>
      <w:tr>
        <w:trPr>
          <w:trHeight w:val="209"/>
        </w:trPr>
        <w:tc>
          <w:tcPr>
            <w:tcW w:w="20" w:type="dxa"/>
            <w:vAlign w:val="bottom"/>
          </w:tcPr>
          <w:p>
            <w:pPr>
              <w:spacing w:after="0"/>
              <w:rPr>
                <w:sz w:val="18"/>
                <w:szCs w:val="18"/>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200" w:type="dxa"/>
            <w:vAlign w:val="bottom"/>
            <w:gridSpan w:val="6"/>
          </w:tcPr>
          <w:p>
            <w:pPr>
              <w:spacing w:after="0"/>
              <w:rPr>
                <w:sz w:val="18"/>
                <w:szCs w:val="18"/>
                <w:color w:val="auto"/>
              </w:rPr>
            </w:pPr>
          </w:p>
        </w:tc>
        <w:tc>
          <w:tcPr>
            <w:tcW w:w="18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8"/>
                <w:szCs w:val="18"/>
                <w:color w:val="0033CC"/>
                <w:w w:val="88"/>
              </w:rPr>
              <w:t>70</w:t>
            </w:r>
          </w:p>
        </w:tc>
      </w:tr>
      <w:tr>
        <w:trPr>
          <w:trHeight w:val="209"/>
        </w:trPr>
        <w:tc>
          <w:tcPr>
            <w:tcW w:w="20" w:type="dxa"/>
            <w:vAlign w:val="bottom"/>
          </w:tcPr>
          <w:p>
            <w:pPr>
              <w:spacing w:after="0"/>
              <w:rPr>
                <w:sz w:val="18"/>
                <w:szCs w:val="18"/>
                <w:color w:val="auto"/>
              </w:rPr>
            </w:pPr>
          </w:p>
        </w:tc>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33CC"/>
                <w:w w:val="88"/>
              </w:rPr>
              <w:t>71</w:t>
            </w:r>
          </w:p>
        </w:tc>
      </w:tr>
      <w:tr>
        <w:trPr>
          <w:trHeight w:val="210"/>
        </w:trPr>
        <w:tc>
          <w:tcPr>
            <w:tcW w:w="2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tcPr>
          <w:p>
            <w:pPr>
              <w:spacing w:after="0"/>
              <w:rPr>
                <w:sz w:val="18"/>
                <w:szCs w:val="18"/>
                <w:color w:val="auto"/>
              </w:rPr>
            </w:pPr>
          </w:p>
        </w:tc>
        <w:tc>
          <w:tcPr>
            <w:tcW w:w="6780" w:type="dxa"/>
            <w:vAlign w:val="bottom"/>
            <w:gridSpan w:val="2"/>
          </w:tcPr>
          <w:p>
            <w:pPr>
              <w:spacing w:after="0"/>
              <w:rPr>
                <w:sz w:val="18"/>
                <w:szCs w:val="18"/>
                <w:color w:val="auto"/>
              </w:rPr>
            </w:pPr>
          </w:p>
        </w:tc>
        <w:tc>
          <w:tcPr>
            <w:tcW w:w="180" w:type="dxa"/>
            <w:vAlign w:val="bottom"/>
            <w:tcBorders>
              <w:top w:val="single" w:sz="8" w:color="0033CC"/>
              <w:bottom w:val="single" w:sz="8" w:color="0033CC"/>
            </w:tcBorders>
          </w:tcPr>
          <w:p>
            <w:pPr>
              <w:jc w:val="right"/>
              <w:spacing w:after="0"/>
              <w:rPr>
                <w:sz w:val="20"/>
                <w:szCs w:val="20"/>
                <w:color w:val="auto"/>
              </w:rPr>
            </w:pPr>
            <w:r>
              <w:rPr>
                <w:rFonts w:ascii="Times New Roman" w:cs="Times New Roman" w:eastAsia="Times New Roman" w:hAnsi="Times New Roman"/>
                <w:sz w:val="18"/>
                <w:szCs w:val="18"/>
                <w:color w:val="0033CC"/>
                <w:w w:val="88"/>
              </w:rPr>
              <w:t>72</w:t>
            </w: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140" w:type="dxa"/>
            <w:vAlign w:val="bottom"/>
            <w:gridSpan w:val="5"/>
          </w:tcPr>
          <w:p>
            <w:pPr>
              <w:spacing w:after="0"/>
              <w:rPr>
                <w:sz w:val="18"/>
                <w:szCs w:val="18"/>
                <w:color w:val="auto"/>
              </w:rPr>
            </w:pPr>
          </w:p>
        </w:tc>
        <w:tc>
          <w:tcPr>
            <w:tcW w:w="18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8"/>
                <w:szCs w:val="18"/>
                <w:color w:val="0033CC"/>
                <w:w w:val="88"/>
              </w:rPr>
              <w:t>72</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860" w:type="dxa"/>
            <w:vAlign w:val="bottom"/>
            <w:gridSpan w:val="4"/>
          </w:tcPr>
          <w:p>
            <w:pPr>
              <w:spacing w:after="0"/>
              <w:rPr>
                <w:sz w:val="18"/>
                <w:szCs w:val="18"/>
                <w:color w:val="auto"/>
              </w:rPr>
            </w:pPr>
          </w:p>
        </w:tc>
        <w:tc>
          <w:tcPr>
            <w:tcW w:w="18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8"/>
                <w:szCs w:val="18"/>
                <w:color w:val="0033CC"/>
                <w:w w:val="88"/>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Guidewire Software,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Guidewire Software, Inc. and subsidiaries (the Company) as of July 31, 2025 and 2024, the related consolidated statements of operations, comprehensive income (loss), stockholders’ equity, and cash flows for each of the years in the three-year period ended July 31, 2025, and the related notes (collectively, the consolidated financial statements). We also have audited the Company’s internal control over financial reporting as of July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July 31, 2025 and 2024, and the results of its operations and its cash flows for each of the years in the three-year period ended July 31, 2025, in conformity with U.S. generally accepted accounting principles. Also in our opinion, the Company maintained, in all material respects, effective internal control over financial reporting as of July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revenue related to software licensing arrangements and subscriptions to cloud services with non-standard terms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1 and 2 to the consolidated financial statements, revenue was derived principally from subscriptions to cloud services, software licensing arrangements, and implementation and other professional services. The Company recognized total revenue of $1,202.5 million for the year ended July 31, 2025. The Company’s software licensing arrangements are sold under an initial term and subscriptions to cloud services generally have a five-year term, with a customer option to renew on an annual basis after the initial term. Consideration for subscriptions to cloud services and software licensing arrangements is typically billed in advance on an annual basis over the term.</w:t>
      </w:r>
    </w:p>
    <w:p>
      <w:pPr>
        <w:spacing w:after="0" w:line="1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revenue from subscriptions to cloud services and software licensing arrangements with non-standard terms and conditions as a critical audit matter. Significant auditor judgment was required to evaluate the Company’s assessment of the impact on revenue recognition of non-standard terms and conditions, including,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related to the critical audit matter. This control is related to the identification and evaluation of subscriptions to cloud services and software licensing arrangements with non-standard terms and conditions. We tested certain subscriptions to cloud services and software licensing arrangements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7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8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18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42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2"/>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547,992</w:t>
            </w:r>
          </w:p>
        </w:tc>
        <w:tc>
          <w:tcPr>
            <w:tcW w:w="0" w:type="dxa"/>
            <w:vAlign w:val="bottom"/>
          </w:tcPr>
          <w:p>
            <w:pPr>
              <w:spacing w:after="0"/>
              <w:rPr>
                <w:sz w:val="1"/>
                <w:szCs w:val="1"/>
                <w:color w:val="auto"/>
              </w:rPr>
            </w:pPr>
          </w:p>
        </w:tc>
      </w:tr>
      <w:tr>
        <w:trPr>
          <w:trHeight w:val="229"/>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455,576</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$1,166 and $646, respectively</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137,339</w:t>
            </w:r>
          </w:p>
        </w:tc>
        <w:tc>
          <w:tcPr>
            <w:tcW w:w="0" w:type="dxa"/>
            <w:vAlign w:val="bottom"/>
          </w:tcPr>
          <w:p>
            <w:pPr>
              <w:spacing w:after="0"/>
              <w:rPr>
                <w:sz w:val="1"/>
                <w:szCs w:val="1"/>
                <w:color w:val="auto"/>
              </w:rPr>
            </w:pPr>
          </w:p>
        </w:tc>
      </w:tr>
      <w:tr>
        <w:trPr>
          <w:trHeight w:val="229"/>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87,031</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67,596</w:t>
            </w:r>
          </w:p>
        </w:tc>
        <w:tc>
          <w:tcPr>
            <w:tcW w:w="0" w:type="dxa"/>
            <w:vAlign w:val="bottom"/>
          </w:tcPr>
          <w:p>
            <w:pPr>
              <w:spacing w:after="0"/>
              <w:rPr>
                <w:sz w:val="1"/>
                <w:szCs w:val="1"/>
                <w:color w:val="auto"/>
              </w:rPr>
            </w:pPr>
          </w:p>
        </w:tc>
      </w:tr>
      <w:tr>
        <w:trPr>
          <w:trHeight w:val="223"/>
        </w:trPr>
        <w:tc>
          <w:tcPr>
            <w:tcW w:w="7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1,295,534</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125,885</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372,214</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2,721,099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2,226,294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109,084</w:t>
            </w:r>
          </w:p>
        </w:tc>
        <w:tc>
          <w:tcPr>
            <w:tcW w:w="0" w:type="dxa"/>
            <w:vAlign w:val="bottom"/>
          </w:tcPr>
          <w:p>
            <w:pPr>
              <w:spacing w:after="0"/>
              <w:rPr>
                <w:sz w:val="1"/>
                <w:szCs w:val="1"/>
                <w:color w:val="auto"/>
              </w:rPr>
            </w:pPr>
          </w:p>
        </w:tc>
      </w:tr>
      <w:tr>
        <w:trPr>
          <w:trHeight w:val="230"/>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revenue, net</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281,855</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4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398,903</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837,635</w:t>
            </w: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3"/>
        </w:trPr>
        <w:tc>
          <w:tcPr>
            <w:tcW w:w="7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883,562</w:t>
            </w: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0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$0.0001 per share—500,000,000 shares authorized as of July 31,</w:t>
            </w:r>
          </w:p>
        </w:tc>
        <w:tc>
          <w:tcPr>
            <w:tcW w:w="4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2025 and 2024; 84,530,418 and 83,025,637 shares issued and outstanding as of July 31,</w:t>
            </w:r>
          </w:p>
        </w:tc>
        <w:tc>
          <w:tcPr>
            <w:tcW w:w="4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4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1,979,021</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(554,249)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(624,053)</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1,457,230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1,342,732</w:t>
            </w:r>
          </w:p>
        </w:tc>
        <w:tc>
          <w:tcPr>
            <w:tcW w:w="0" w:type="dxa"/>
            <w:vAlign w:val="bottom"/>
          </w:tcPr>
          <w:p>
            <w:pPr>
              <w:spacing w:after="0"/>
              <w:rPr>
                <w:sz w:val="1"/>
                <w:szCs w:val="1"/>
                <w:color w:val="auto"/>
              </w:rPr>
            </w:pPr>
          </w:p>
        </w:tc>
      </w:tr>
      <w:tr>
        <w:trPr>
          <w:trHeight w:val="22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2,721,099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2,226,294</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731,296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549,087</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210,081</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905,341</w:t>
            </w:r>
          </w:p>
        </w:tc>
        <w:tc>
          <w:tcPr>
            <w:tcW w:w="0" w:type="dxa"/>
            <w:vAlign w:val="bottom"/>
          </w:tcPr>
          <w:p>
            <w:pPr>
              <w:spacing w:after="0"/>
              <w:rPr>
                <w:sz w:val="1"/>
                <w:szCs w:val="1"/>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210,507</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450,406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447,130</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219,160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259,105</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458,211</w:t>
            </w:r>
          </w:p>
        </w:tc>
        <w:tc>
          <w:tcPr>
            <w:tcW w:w="0" w:type="dxa"/>
            <w:vAlign w:val="bottom"/>
          </w:tcPr>
          <w:p>
            <w:pPr>
              <w:spacing w:after="0"/>
              <w:rPr>
                <w:sz w:val="1"/>
                <w:szCs w:val="1"/>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249,746</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607,701</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(149,490)</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(134,094)</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83,846,793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82,291,483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82,176,629</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85,911,653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82,291,483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82,176,629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GUIDEWIRE SOFTWARE, INC. AND SUBSIDIARIES CONSOLIDATED STATEMENTS OF COMPREHENSIVE INCOME (LOSS)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Fiscal years ended July 31,</w:t>
            </w:r>
          </w:p>
        </w:tc>
        <w:tc>
          <w:tcPr>
            <w:tcW w:w="1200" w:type="dxa"/>
            <w:vAlign w:val="bottom"/>
            <w:tcBorders>
              <w:bottom w:val="single" w:sz="8" w:color="auto"/>
            </w:tcBorders>
          </w:tcPr>
          <w:p>
            <w:pPr>
              <w:spacing w:after="0"/>
              <w:rPr>
                <w:sz w:val="18"/>
                <w:szCs w:val="18"/>
                <w:color w:val="auto"/>
              </w:rPr>
            </w:pPr>
          </w:p>
        </w:tc>
      </w:tr>
      <w:tr>
        <w:trPr>
          <w:trHeight w:val="211"/>
        </w:trPr>
        <w:tc>
          <w:tcPr>
            <w:tcW w:w="63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(111,855)</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benefit (expense) on unrealized gain (loss) on available-for-sale securities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176"/>
        </w:trPr>
        <w:tc>
          <w:tcPr>
            <w:tcW w:w="63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realized gain (loss) on available-for-sale securities,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6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(105,869)</w:t>
            </w: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GUIDEWIRE SOFTWARE,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92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Retained earnings</w:t>
            </w:r>
          </w:p>
        </w:tc>
        <w:tc>
          <w:tcPr>
            <w:tcW w:w="140" w:type="dxa"/>
            <w:vAlign w:val="bottom"/>
          </w:tcPr>
          <w:p>
            <w:pPr>
              <w:spacing w:after="0"/>
              <w:rPr>
                <w:sz w:val="12"/>
                <w:szCs w:val="12"/>
                <w:color w:val="auto"/>
              </w:rPr>
            </w:pP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(accumulated</w:t>
            </w:r>
          </w:p>
        </w:tc>
        <w:tc>
          <w:tcPr>
            <w:tcW w:w="140" w:type="dxa"/>
            <w:vAlign w:val="bottom"/>
          </w:tcPr>
          <w:p>
            <w:pPr>
              <w:spacing w:after="0"/>
              <w:rPr>
                <w:sz w:val="10"/>
                <w:szCs w:val="10"/>
                <w:color w:val="auto"/>
              </w:rPr>
            </w:pPr>
          </w:p>
        </w:tc>
        <w:tc>
          <w:tcPr>
            <w:tcW w:w="92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tcPr>
          <w:p>
            <w:pPr>
              <w:spacing w:after="0"/>
              <w:rPr>
                <w:sz w:val="14"/>
                <w:szCs w:val="14"/>
                <w:color w:val="auto"/>
              </w:rPr>
            </w:pPr>
          </w:p>
        </w:tc>
        <w:tc>
          <w:tcPr>
            <w:tcW w:w="92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01"/>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84,084,209</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1,755,476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(283,982)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1,451,657</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1,391,162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143,566</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(4,041,284)</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(261,807)</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Adoption of Accounting Standards Update ("ASU") 2020-06</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(68,003)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81,440,669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1,831,267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(617,950)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1,199,466</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1,569,451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146,700</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39"/>
        </w:trPr>
        <w:tc>
          <w:tcPr>
            <w:tcW w:w="45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93"/>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83,025,637</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1,979,021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(624,053)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1,342,732</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1,473,839</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161,678</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capped calls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Retirement of convertible senior notes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(79,366)</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 asset related to debt issuance of convertible senior notes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Settlement of convertible senior notes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671,202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Settlement of capped calls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(697,140)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0" w:type="dxa"/>
            <w:vAlign w:val="bottom"/>
          </w:tcPr>
          <w:p>
            <w:pPr>
              <w:spacing w:after="0"/>
              <w:rPr>
                <w:sz w:val="1"/>
                <w:szCs w:val="1"/>
                <w:color w:val="auto"/>
              </w:rPr>
            </w:pPr>
          </w:p>
        </w:tc>
      </w:tr>
      <w:tr>
        <w:trPr>
          <w:trHeight w:val="195"/>
        </w:trPr>
        <w:tc>
          <w:tcPr>
            <w:tcW w:w="4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6"/>
        </w:trPr>
        <w:tc>
          <w:tcPr>
            <w:tcW w:w="45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available-for-sale</w:t>
            </w: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 included in net income (loss)</w:t>
            </w:r>
          </w:p>
        </w:tc>
        <w:tc>
          <w:tcPr>
            <w:tcW w:w="11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84,530,418</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2,020,393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(8,922)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(554,249)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1,457,230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69,804</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24,838</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contract acquisition costs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142,842</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to allowance for credit losses and revenue reserves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(27,516)</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premium (accretion of discount) on available-for-sale securities, net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sale of strategic investments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fair value of strategic investments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Accelerated depreciation related to lease assignment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26,921</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from lease assignment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retirement of debt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3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non-cash items affecting net income (loss)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0" w:type="dxa"/>
            <w:vAlign w:val="bottom"/>
          </w:tcPr>
          <w:p>
            <w:pPr>
              <w:spacing w:after="0"/>
              <w:rPr>
                <w:sz w:val="1"/>
                <w:szCs w:val="1"/>
                <w:color w:val="auto"/>
              </w:rPr>
            </w:pPr>
          </w:p>
        </w:tc>
      </w:tr>
      <w:tr>
        <w:trPr>
          <w:trHeight w:val="195"/>
        </w:trPr>
        <w:tc>
          <w:tcPr>
            <w:tcW w:w="6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(22,613)</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0" w:type="dxa"/>
            <w:vAlign w:val="bottom"/>
          </w:tcPr>
          <w:p>
            <w:pPr>
              <w:spacing w:after="0"/>
              <w:rPr>
                <w:sz w:val="1"/>
                <w:szCs w:val="1"/>
                <w:color w:val="auto"/>
              </w:rPr>
            </w:pPr>
          </w:p>
        </w:tc>
      </w:tr>
      <w:tr>
        <w:trPr>
          <w:trHeight w:val="195"/>
        </w:trPr>
        <w:tc>
          <w:tcPr>
            <w:tcW w:w="6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employee compensation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12,440</w:t>
            </w:r>
          </w:p>
        </w:tc>
        <w:tc>
          <w:tcPr>
            <w:tcW w:w="0" w:type="dxa"/>
            <w:vAlign w:val="bottom"/>
          </w:tcPr>
          <w:p>
            <w:pPr>
              <w:spacing w:after="0"/>
              <w:rPr>
                <w:sz w:val="1"/>
                <w:szCs w:val="1"/>
                <w:color w:val="auto"/>
              </w:rPr>
            </w:pPr>
          </w:p>
        </w:tc>
      </w:tr>
      <w:tr>
        <w:trPr>
          <w:trHeight w:val="195"/>
        </w:trPr>
        <w:tc>
          <w:tcPr>
            <w:tcW w:w="63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72,572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34,635</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300,867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195,748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38,395</w:t>
            </w:r>
          </w:p>
        </w:tc>
        <w:tc>
          <w:tcPr>
            <w:tcW w:w="0" w:type="dxa"/>
            <w:vAlign w:val="bottom"/>
          </w:tcPr>
          <w:p>
            <w:pPr>
              <w:spacing w:after="0"/>
              <w:rPr>
                <w:sz w:val="1"/>
                <w:szCs w:val="1"/>
                <w:color w:val="auto"/>
              </w:rPr>
            </w:pPr>
          </w:p>
        </w:tc>
      </w:tr>
      <w:tr>
        <w:trPr>
          <w:trHeight w:val="17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(506,115)</w:t>
            </w: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Maturities and sales of available-for-sale securities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547,094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strategic investments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w:t>
            </w: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strategic investments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business, net of acquired cash</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(236,965)</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(52,359)</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12,712</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convertible senior notes, net of issuance costs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for the retirement of convertible senior notes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for the maturity of convertible senior notes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capped calls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revolving credit facility costs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6"/>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(261,807)</w:t>
            </w: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82,293</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(261,579)</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cash equivalents, and restricted cash</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149,910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549,184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406,790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614,686</w:t>
            </w:r>
          </w:p>
        </w:tc>
        <w:tc>
          <w:tcPr>
            <w:tcW w:w="0" w:type="dxa"/>
            <w:vAlign w:val="bottom"/>
          </w:tcPr>
          <w:p>
            <w:pPr>
              <w:spacing w:after="0"/>
              <w:rPr>
                <w:sz w:val="1"/>
                <w:szCs w:val="1"/>
                <w:color w:val="auto"/>
              </w:rPr>
            </w:pP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699,094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549,184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406,790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95"/>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income taxes, net of tax refunds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7,557</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w:t>
            </w:r>
          </w:p>
        </w:tc>
        <w:tc>
          <w:tcPr>
            <w:tcW w:w="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Accruals for purchase of property and equipment</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0" w:type="dxa"/>
            <w:vAlign w:val="bottom"/>
          </w:tcPr>
          <w:p>
            <w:pPr>
              <w:spacing w:after="0"/>
              <w:rPr>
                <w:sz w:val="1"/>
                <w:szCs w:val="1"/>
                <w:color w:val="auto"/>
              </w:rPr>
            </w:pPr>
          </w:p>
        </w:tc>
      </w:tr>
      <w:tr>
        <w:trPr>
          <w:trHeight w:val="195"/>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Accruals for capitalized software development costs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Accruals for business acquisition purchase consideration holdback</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 technology platform which combines core systems of record with digital, analytics,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(“GAAP”).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and unbilled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the chief operating decision maker. The Company’s chief executive officer reviews financial information presented on a consolidated basis for purposes of assessing performance and making decisions on how to allocate resources and assess performance. Accordingly, the Company has determined that it operates in a single reportable segment. Since the Company operates in one operating segment, all required financial segment information can be found in the consolidated financial statements and accompanying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included in other income (expense) in the consolidated statements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with remaining maturities of 90 days or less at the date of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primarily consist of commercial paper and money market funds.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5"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Unearned acquisition consideration holdback subject to service conditions is held in escrow and considered restricted cash. The unearned consideration acquisition holdback included in prepaid expenses and other current assets was $1.2 million at July 31, 2025 and 2024 in the consolidated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Unrealized losses related to the credit worthiness of an investment, if any, are recorded in other income (expense), net on the consolidated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 Development Costs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tc>
        <w:tc>
          <w:tcPr>
            <w:tcW w:w="5060" w:type="dxa"/>
            <w:vAlign w:val="bottom"/>
          </w:tcPr>
          <w:p>
            <w:pPr>
              <w:spacing w:after="0"/>
              <w:rPr>
                <w:sz w:val="20"/>
                <w:szCs w:val="20"/>
                <w:color w:val="auto"/>
              </w:rPr>
            </w:pPr>
          </w:p>
        </w:tc>
      </w:tr>
      <w:tr>
        <w:trPr>
          <w:trHeight w:val="189"/>
        </w:trPr>
        <w:tc>
          <w:tcPr>
            <w:tcW w:w="618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5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50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5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50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Shorter of 10 years or remaining lease term</w:t>
            </w:r>
          </w:p>
        </w:tc>
      </w:tr>
    </w:tbl>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software development costs for technology applications that provide new or significantly enhanced functionality that the Company will offer solely as a cloud-based subscription.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in the consolidated statements of operations. Capitalized software development costs are recorded in property and equipment in the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leases under Accounting Standards Codification Topic 842: Leases (“ASC 842”) issued by the Financial Accounting Standards Board.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non-cancellable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consolidated statements of operations in each of the cost of revenue and operating expense categories.</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also enter into agreements to sublease unoccupied office space. Any sublease payments received in excess of the straight-line rent expense related to the subleased space are recorded as an offset to operating expenses over the sublease term.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are included in operating lease assets, other current liabilities, and lease liabilities on the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Intangible Assets, and Goodwill</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 impairments during the periods presented.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1.25% Convertible Senior Notes due March 2025 (the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 In October 2024, the Company issued $690.0 million aggregate principal amount of 1.25% Convertible Senior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2029 (the “2029 Convertible Senior Notes,” and together with the 2025 Convertible Senior Notes, the “Convertible Senior Notes”).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the Convertible Senior Notes as a liability measured at amortized cost. Debt issuance costs incurred in connection with the issuance of the Convertible Senior Notes are reflected in the consolidated balance sheets as a direct deduction from the carrying amount of the outstanding Convertible Senior Notes. These costs are amortized using the effective interest rate method over the terms of the Convertible Senior Notes and are included within interest expense on the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consolidated balance sheets are in excess of amounts that are insured by the Federal Deposit Insurance Corporation.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customer individually accounted for 10% or more of the Company’s revenue for the years ended July 31, 2025, 2024, and 2023. For the periods ended July 31, 2025 and 2024, the Company had one customer, which were different customers in each period, which accounted for 10% or more of the Company’s total accounts receivable.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and unbilled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consolidated statements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The core principle of ASC 606 is to recognize revenue upon the transfer of products to customers in an amount that reflects the consideration the Company expects to be entitled to in exchange for those services or products. When using the term “products,” the Company is generally referring to both our subscription services and term license software.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Identification of the contract, or contracts, with the customer</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products to be transferred, the Company can identify the payment terms for the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with the same customer should be combined and accounted for as a single contract. The customer’s ability and intent to pay is based on a variety of factors, including the customer’s historical payment experience or, in the case of a new customer, credit and financial information pertaining to the customer.</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products that are distinct from the existing contract and are priced commensurate with their standalone selling price are treated as separate contracts, and are accounted for prospectively. Contract modifications for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Identification of the performance obligation in the contract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or products that will be transferred to the customer that are both:</w:t>
      </w:r>
    </w:p>
    <w:p>
      <w:pPr>
        <w:spacing w:after="0" w:line="171" w:lineRule="exact"/>
        <w:rPr>
          <w:sz w:val="20"/>
          <w:szCs w:val="20"/>
          <w:color w:val="auto"/>
        </w:rPr>
      </w:pPr>
    </w:p>
    <w:p>
      <w:pPr>
        <w:ind w:left="660" w:hanging="328"/>
        <w:spacing w:after="0" w:line="282"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distinct in the context of the contract, whereby the transfer of the services or products is separately identifiable from other promises in the contract.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which represent the performance obligations of the Company:</w:t>
      </w:r>
    </w:p>
    <w:p>
      <w:pPr>
        <w:spacing w:after="0" w:line="17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related to the Company’s Software-as-a-Service offerings, including hosting;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activities that consist of email and phone support, bug fixes, and unspecified software updates and upgrades released when, and if, available during the support term;</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Self-managed software licenses related to term or perpetual agreements;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the implementation and configuration of the Company’s products, reimbursable travel, and training.</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Subscriptions are typically sold with a five-year initial term with a customer option to renew on an annual basis after the initial term. Term licenses have an initial term with a customer option to renew on an annual basis after the initial term. Support for term licenses follows the same contract periods. Professional services typically are time and materials contracts that last for an average period of approximately one year.</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Determination of the transaction price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or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Direct Written Premium (“DWP”) or a customer’s Gross Written Premium (“GWP”), with certain cloud-delivered products priced based on usage or other metrics. When consideration is subject to variable installments, the Company estimates variable consideration using the expected value method based on historical DWP or GWP usage to the extent that a significant revenue reversal is not probable to occur.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This timing difference can also occur when subscription services have significant ramps in the annual invoice amount over the committed term. A significant financing component generally does not exist under the Company’s standard contracting and billing practices.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the Company’s performance obligations, such as support, implementation services, training services, and a portion of subscription services, have observable inputs that are used to determine the SSP of those distinct performance obligations. Where SSP is not directly observable, the Company determines the SSP using information that may include market conditions and other observable inputs. In circumstances when available information to determine SSP is highly variable or uncertain, such as for term licenses, the Company will use the residual method.</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Recognition of revenue when, or as, the Company satisfies a performance obligation</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or products is transferred to a customer, in an amount that reflects the consideration the Company expects to be entitled to in exchange for those services or products. The Company is principally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the satisfaction of its distinct performance obligations, which are satisfied either at a point in time or over a period of time.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 satisfied at a point in time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 satisfied over a period of time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Subscriptions, support activities, and professional service arrangements comprise the majority of distinct performance obligations that are satisfied over a period of time.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subscription arrangements is recognized ratably over the subscription period using a time-based measure of progress as customers receive the benefits from their subscriptions over the contractually agreed-upon term. Subscription agreements generally have an initial term of five years, with annual renewals thereafter. In some instances, customers sign subscription agreements with an initial term of seven or more years. Consideration for subscription arrangements is typically billed in advance on an annual basis over the contract period and the annual billing may ramp over the contract period.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professional service arrangements is recognized over the service period as the underlying services are performed.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substantially all of the Company’s professional service contracts, services are separately identifiable performance obligations for which related revenue and costs are recognized according to when each service obligation is delivered. The majority of the Company’s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professional services are sold with a self-managed license or subscription arrangement, the Company evaluates whether the performance obligations are distinct or separately identifiable, or whether they constitute a single performance obligation.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Balance Sheet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Contracts with customers are reflected in the consolidated balance sheets as follows:</w:t>
      </w:r>
    </w:p>
    <w:p>
      <w:pPr>
        <w:spacing w:after="0" w:line="104" w:lineRule="exact"/>
        <w:rPr>
          <w:sz w:val="20"/>
          <w:szCs w:val="20"/>
          <w:color w:val="auto"/>
        </w:rPr>
      </w:pPr>
    </w:p>
    <w:p>
      <w:pPr>
        <w:ind w:left="1100" w:hanging="323"/>
        <w:spacing w:after="0" w:line="282" w:lineRule="auto"/>
        <w:tabs>
          <w:tab w:leader="none" w:pos="10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represents amounts billed to customers in accordance with contract terms for which payment has not yet been received. It is presented net of any allowances as part of current assets in the consolidated balance sheets.</w:t>
      </w:r>
    </w:p>
    <w:p>
      <w:pPr>
        <w:spacing w:after="0" w:line="26" w:lineRule="exact"/>
        <w:rPr>
          <w:rFonts w:ascii="Times New Roman" w:cs="Times New Roman" w:eastAsia="Times New Roman" w:hAnsi="Times New Roman"/>
          <w:sz w:val="18"/>
          <w:szCs w:val="18"/>
          <w:color w:val="auto"/>
        </w:rPr>
      </w:pPr>
    </w:p>
    <w:p>
      <w:pPr>
        <w:jc w:val="both"/>
        <w:ind w:left="1100" w:hanging="323"/>
        <w:spacing w:after="0" w:line="254" w:lineRule="auto"/>
        <w:tabs>
          <w:tab w:leader="none" w:pos="10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Additionally, subscription agreements with ramped billing schedules could result in unbilled accounts receivable in the early years of the committed term. Unbilled accounts receivable is classified as either current or non-current based on the duration of remaining time between the date of the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consolidated balance sheets. This balance represents contract assets.</w:t>
      </w:r>
    </w:p>
    <w:p>
      <w:pPr>
        <w:spacing w:after="0" w:line="66" w:lineRule="exact"/>
        <w:rPr>
          <w:rFonts w:ascii="Times New Roman" w:cs="Times New Roman" w:eastAsia="Times New Roman" w:hAnsi="Times New Roman"/>
          <w:sz w:val="18"/>
          <w:szCs w:val="18"/>
          <w:color w:val="auto"/>
        </w:rPr>
      </w:pPr>
    </w:p>
    <w:p>
      <w:pPr>
        <w:jc w:val="both"/>
        <w:ind w:left="1100" w:hanging="323"/>
        <w:spacing w:after="0" w:line="261" w:lineRule="auto"/>
        <w:tabs>
          <w:tab w:leader="none" w:pos="10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include customer acquisition costs, which consist primarily of sales commissions and related payroll taxes paid to sales personnel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0" w:hanging="323"/>
        <w:spacing w:after="0" w:line="282" w:lineRule="auto"/>
        <w:tabs>
          <w:tab w:leader="none" w:pos="10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26" w:lineRule="exact"/>
        <w:rPr>
          <w:rFonts w:ascii="Times New Roman" w:cs="Times New Roman" w:eastAsia="Times New Roman" w:hAnsi="Times New Roman"/>
          <w:sz w:val="18"/>
          <w:szCs w:val="18"/>
          <w:color w:val="auto"/>
        </w:rPr>
      </w:pPr>
    </w:p>
    <w:p>
      <w:pPr>
        <w:jc w:val="both"/>
        <w:ind w:left="1100" w:hanging="323"/>
        <w:spacing w:after="0" w:line="258" w:lineRule="auto"/>
        <w:tabs>
          <w:tab w:leader="none" w:pos="10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consists primarily of subscriptions and support services that are billed annually in advance but recognized over time. Deferred revenue that will be realized during the 12-month period following the date of the consolidated balance sheets is recorded as current. The remaining deferred revenue is recorded as non-current. These balances represent contract liabilities.</w:t>
      </w:r>
    </w:p>
    <w:p>
      <w:pPr>
        <w:spacing w:after="0" w:line="1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consideration from its customers in advance of performance on a portion of the contract, thereby creating a contractual liability, and, on another portion of the contract, perform in advance of receiving consideration, thereby creating a contractual asset.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costs consist of two components: customer acquisition costs and costs to fulfill a contract.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customer acquisition costs related to software licenses, subscriptions, and support services are amortized over the anticipated period in which the benefit is expected to be received, which the Company estimates to be approximately five years. The amortization of customer acquisition costs is classified as a sales and marketing expense in the consolidated statement of operations.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consolidated statement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warranty for its software services and products to its customers for periods ranging from three to 12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products or services. Warranty expense has been insignificant to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amounts incurred were less than $0.3 million, during the years ended July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The Company has granted stock options, time-based restricted stock units (“RSUs”) and performance-based restricted stock units (“PSUs”). RSUs and PSUs are collectively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referred to as “Stock Awards.” In December 2024, the Company’s stockholders approved the 2024 Employee Stock Purchase Plan (“ESPP”) at the Company’s annual meeting of stockholders.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performance conditions using the graded vesting method and a portion of the expense may fluctuate depending on changing estimates of the achievement of the performance conditions.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stock options and ESPP purchase rights is estimated at the grant date using the Black-Scholes option-pricing model. Stock options are subject to time-based vesting, which generally occurs over a period of two years. The Company recognizes compensation expense for stock options and ESPP purchase rights that contain only service conditions on a straight-line basis over the requisite service period, which is generally the vesting period of the respective stock options and each offering period of the ESPP purchase rights. The inputs used in the Black-Scholes option-pricing model, which are subjective and generally requires significant judgment to determine, include:</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expected term represents the period that the stock-based awards are expected to be outstanding.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calculates the expected term as the average of the time-to-vesting and the contractual life of the options. For stock options, the Company uses the simplified method to determine its expected term because of its limited history of stock option exercise activity. For the ESPP purchase rights, the Company uses the length of each offering period, which is approximately 0.5 years.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The expected volatility is derived from the historical volatility of the Company’s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the U.S. Treasury yield curve in effect at the time of grant for zero coupon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notes with maturities approximately equal to the expected term of the options and the offering period of each ESPP purchase rights.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expected dividend is zero, as the Company has never paid dividends and has no expectations to do so.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of 2017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as income tax expense in its consolidated statement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Adopted Pronouncements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that are regularly provided to the Chief Operating Decision Maker (the “CODM”). Public entities with a single reportable segment are required to apply the disclosure requirements in ASU No. 2023-07, as well as all existing segment disclosures and reconciliation requirements in ASC 280 on an interim and annual basis. The Company adopted the standard for its annual reporting effective August 1, 2024. While the standard requires additional disclosures related to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single reportable segment in its 2025 annual reporting, adoption of the standard did not have any impact on the consolidated operating results, financial condition, or cash flows. The standard requires retrospective application to all prior periods presented.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2024-04, Debt—Debt with Conversion and Other Options (Subtopic 470-20): Induced Conversions of Convertible Debt Instruments, which clarifies the requirements for determining whether certain settlements of convertible debt instruments should be accounted for as an induced conversion. The new standard was early adopted by the Company beginning August 1, 2024 and applied retrospectively for all periods presented. The new standard did not have an impact on prior periods presented on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new standard will be effective, and the Company will adopt it, beginning August 1, 2025, on a prospective basis and adoption will impact the Company’s disclosures.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requires public business entities to disclose qualitative and quantitative information about certain costs and expenses in the notes to the financial statements on an interim and annual basis. The new standard will be effective and the Company will adopt it for the annual period beginning August 1, 2027, and for the interim periods beginning after August 1, 2028. Upon adoption, the guidance can be applied prospectively or retrospectively. The adoption of this ASU will impact the Company’s disclosures.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Income Statement—Reporting Financial Instruments-Credit Losses (Subtopic 326-20): Measurement of Credit Losses for Accounts Receivable and Contract Assets, which provides a practical expedient for all entities related to the estimation of expected credit losses for current accounts receivable and current contract assets that arise from transactions accounted for under ASC 606. The new standard will be effective and the Company will adopt it beginning August 1, 2026 on a prospective basis. The Company is currently assessing the impact of adopting this standard on the consolidated financial statements.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will be applicable to the Company are not expected to have a material impact on its present or future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Revenue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by product type is as follows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6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years ended July 31,</w:t>
            </w:r>
          </w:p>
        </w:tc>
        <w:tc>
          <w:tcPr>
            <w:tcW w:w="1180" w:type="dxa"/>
            <w:vAlign w:val="bottom"/>
            <w:tcBorders>
              <w:bottom w:val="single" w:sz="8" w:color="auto"/>
            </w:tcBorders>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477,461</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352,145</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77,522</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license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265,389</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Perpetual license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210,081</w:t>
            </w:r>
          </w:p>
        </w:tc>
      </w:tr>
      <w:tr>
        <w:trPr>
          <w:trHeight w:val="223"/>
        </w:trPr>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1,202,459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980,497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905,341</w:t>
            </w:r>
          </w:p>
        </w:tc>
      </w:tr>
      <w:tr>
        <w:trPr>
          <w:trHeight w:val="21"/>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product type and by geography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 ended July 31, 2025</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Subscription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support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485,593</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770,859</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923,900</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183,584</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94,975</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731,296</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1,202,459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 ended July 31, 2024</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Subscription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support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373,675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632,568</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749,822</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76,241</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549,087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250,176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 ended July 31, 2023</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Subscription and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support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573,860</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691,845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142,642</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70,854</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country or region other than those listed above accounted for more than 10% of revenue during the fiscal years ended July 31, 2025, 2024, and 2023.</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 – Related Balance Sheet Amounts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on the consolidated balance sheets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acquisition costs,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67,922</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54,689</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fulfill a contract,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344,786</w:t>
            </w: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285,483</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Unbilled accounts receivable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Unbilled accounts receivable, net increased by $40.4 million primarily due to the impact of subscription orders with ramped billing schedules where billings occur later than revenue recognition and, to a lesser extent, due to the timing of billing on services projects.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and 2024, there was no allowance for credit losses associated with unbilled accounts receivable.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current portion of contract acquistion costs of $21.1 million and $17.7 million is included in prepaid and other current assets on the consolidated balance sheets as of July 31, 2025 and 2024, respectively. The non-current portion of contract acquisition costs of $46.8 million and $37.0 million is included in other assets on the consolidated balance sheets as of July 31, 2025 and 2024, respectively. The Company amortized $20.1 million, $17.8 million, and $18.0 million of contract acquisition costs during the fiscal years ended July 31, 2025, 2024, and 2023, respectively.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Costs to fulfill a contract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current portion of costs to fulfill a contract of $5.9 million and $6.0 million is included in prepaid and other current assets in the consolidated balance sheets as of July 31, 2025 and July 31, 2024, respectively. The non-current portion of costs to fulfill a contract of $3.5 million and $4.7 million is included in other assets in the consolidated balance sheets as of July 31, 2025 and July 31, 2024, respectively. The Company amortized $10.8 million, $10.6 million, and $9.0 million of costs to fulfill a contract during the fiscal years ended July 31, 2025, 2024, and 2023, respectively.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July 31, 2025, the Company recognized revenue of $275.4 million related to the Company’s deferred revenue balance as of July 31,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allocated to remaining performance obligations either not satisfied or partially satisfied, was approximately $3.1 billion as of July 31, 2025. During the fiscal year ended July 31, 2025, there was an increase in the number of cloud arrangements that were longer in duration than the typical five year initial term. Support services and professional services are generally satisfied within one year. Professional services under time and material contracts are not included in the remaining performance obligations calculation as these arrangements can be cancelled at any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69,457</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80,970</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130,628</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425,198</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488,854</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66,129</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64,184</w:t>
            </w:r>
          </w:p>
        </w:tc>
      </w:tr>
      <w:tr>
        <w:trPr>
          <w:trHeight w:val="248"/>
        </w:trPr>
        <w:tc>
          <w:tcPr>
            <w:tcW w:w="4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1,327,251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89,928</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89,883</w:t>
            </w:r>
          </w:p>
        </w:tc>
      </w:tr>
      <w:tr>
        <w:trPr>
          <w:trHeight w:val="248"/>
        </w:trPr>
        <w:tc>
          <w:tcPr>
            <w:tcW w:w="4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consider any portion of the unrealized losses at July 31, 2025 to be credit losses. The Company has recorded the securities at fair value in its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consolidated statements of comprehensive income (loss).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69,457</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80,970</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130,628</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425,198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488,854</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66,129</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64,184</w:t>
            </w:r>
          </w:p>
        </w:tc>
      </w:tr>
      <w:tr>
        <w:trPr>
          <w:trHeight w:val="248"/>
        </w:trPr>
        <w:tc>
          <w:tcPr>
            <w:tcW w:w="6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333,754</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1,327,251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applies the three-level valuation hierarchy when measuring the fair value of certain assets and liabilities: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in active markets for identical assets or liabilities;</w:t>
      </w:r>
    </w:p>
    <w:p>
      <w:pPr>
        <w:spacing w:after="0" w:line="1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53,102</w:t>
            </w:r>
          </w:p>
        </w:tc>
        <w:tc>
          <w:tcPr>
            <w:tcW w:w="8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53,102</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488,854</w:t>
            </w: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488,854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53,102</w:t>
            </w:r>
          </w:p>
        </w:tc>
        <w:tc>
          <w:tcPr>
            <w:tcW w:w="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541,956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80,970</w:t>
            </w: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77,526</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220,890</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w:t>
            </w:r>
          </w:p>
        </w:tc>
      </w:tr>
      <w:tr>
        <w:trPr>
          <w:trHeight w:val="223"/>
        </w:trPr>
        <w:tc>
          <w:tcPr>
            <w:tcW w:w="4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451,541</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451,541</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58,064</w:t>
            </w: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204,308</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52,941</w:t>
            </w: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w:t>
            </w:r>
          </w:p>
        </w:tc>
      </w:tr>
      <w:tr>
        <w:trPr>
          <w:trHeight w:val="223"/>
        </w:trPr>
        <w:tc>
          <w:tcPr>
            <w:tcW w:w="4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333,754</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333,754</w:t>
            </w:r>
          </w:p>
        </w:tc>
      </w:tr>
      <w:tr>
        <w:trPr>
          <w:trHeight w:val="223"/>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488,854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838,397</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1,327,251</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8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38,156</w:t>
            </w: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360,881</w:t>
            </w: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399,037</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w:t>
            </w: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100,442</w:t>
            </w: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177,081</w:t>
            </w:r>
          </w:p>
        </w:tc>
      </w:tr>
      <w:tr>
        <w:trPr>
          <w:trHeight w:val="23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r>
      <w:tr>
        <w:trPr>
          <w:trHeight w:val="229"/>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75,966</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75,966</w:t>
            </w:r>
          </w:p>
        </w:tc>
      </w:tr>
      <w:tr>
        <w:trPr>
          <w:trHeight w:val="223"/>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455,576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455,576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w:t>
            </w: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69,193</w:t>
            </w: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125,885</w:t>
            </w:r>
          </w:p>
        </w:tc>
      </w:tr>
      <w:tr>
        <w:trPr>
          <w:trHeight w:val="248"/>
        </w:trPr>
        <w:tc>
          <w:tcPr>
            <w:tcW w:w="4720" w:type="dxa"/>
            <w:vAlign w:val="bottom"/>
            <w:tcBorders>
              <w:top w:val="single" w:sz="8" w:color="CCEEFF"/>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16, 2025, the Company completed its acquisition of Quantee Sp. z o.o. (“Quantee”), a Poland-based insurtech company specializing in dynamic pricing software, for net cash consideration of approximately $27.9 million, subject to transaction adjustments to cover potential claims and indemnities after closing. Additionally, the Company awarded $6.4 million in holdback consideration subject to service conditions subsequent to closing.</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conjunction with the purchase price allocation, the Company determined that Quantee’s separately identifiable intangible assets were acquired technology and customer relationships. The valuation models were based on estimates of future operating projections of Quantee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and royalty and long-term sustainable growth rates based on a market analysis. These fair value measurements were based on significant inputs that were not observable in the market and thus represents a Level 3 measurement. The Company amortizes the acquired intangibles over their estimated useful lives as set forth in the table below.</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preliminary allocation of purchase price is pending the final working capital adjustment and the resolution of certain post-closing matters, and is therefore subject to potential future measurement period adjustments. The measurement period will end no later than April 15, 2026.</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preliminary allocation of the purchase consideration included goodwill of $21.4 million related to the acquired workforce, expected synergies, and the opportunity to sell into and expand the Company’s customer base. The goodwill recorded is not expected to be deductible for income tax purposes. The preliminary allocation also consisted of amounts allocated to acquired technology and customer relationships.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 forma and historical financial information has not been provided as the acquisition was not material to the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16"/>
                <w:szCs w:val="16"/>
                <w:color w:val="auto"/>
              </w:rPr>
            </w:pPr>
          </w:p>
        </w:tc>
        <w:tc>
          <w:tcPr>
            <w:tcW w:w="17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and revenue reserves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7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24"/>
                <w:szCs w:val="24"/>
                <w:color w:val="auto"/>
              </w:rPr>
            </w:pPr>
          </w:p>
        </w:tc>
        <w:tc>
          <w:tcPr>
            <w:tcW w:w="17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24"/>
                <w:szCs w:val="24"/>
                <w:color w:val="auto"/>
              </w:rPr>
            </w:pPr>
          </w:p>
        </w:tc>
        <w:tc>
          <w:tcPr>
            <w:tcW w:w="17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 ended July 31, 2025, the Company entered into a revolving credit agreement, guaranteed by its material domestic subsidiaries and secured by a security interest in substantially all of the assets of the Company and each guarantor, including certain property and equipment, subject to customary exclusions. See “Note 7—Debt—Revolving Credit Facility” below for further information.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excluding the amortization of capitalized software development costs, was $7.2 million, $6.9 million and $36.3 million for the fiscal years ended July 31, 2025, 2024, and 2023, respectively. Depreciation expense for the fiscal year ended July 31, 2023 includes $26.9 million of accelerated depreciation expense, recorded from the date the lease was assigned through the date that the lease term ended related to the assignment to an unrelated third party of the Company’s previous office headquarters, which was recognized in general and administrative expenses on the consolidated statements of operations. Refer to Note 8 “Leases” for information about the lease assignment of the previous office headquarters.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amortization of capitalized software development costs in cost of subscription and support revenue on the consolidated statements of operations of $13.0 million, $11.6 million, and $9.9 million during the fiscal years ended July 31, 2025, 2024, and 2023,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July 31, 2024</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372,214</w:t>
            </w:r>
          </w:p>
        </w:tc>
      </w:tr>
      <w:tr>
        <w:trPr>
          <w:trHeight w:val="230"/>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21,425</w:t>
            </w:r>
          </w:p>
        </w:tc>
      </w:tr>
      <w:tr>
        <w:trPr>
          <w:trHeight w:val="229"/>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July 31, 2025</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393,978</w:t>
            </w:r>
          </w:p>
        </w:tc>
      </w:tr>
      <w:tr>
        <w:trPr>
          <w:trHeight w:val="20"/>
        </w:trPr>
        <w:tc>
          <w:tcPr>
            <w:tcW w:w="9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are amortized over their estimated useful lives. Intangible assets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0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1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11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4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0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4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0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technology</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176"/>
        </w:trPr>
        <w:tc>
          <w:tcPr>
            <w:tcW w:w="3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Customer contracts and related</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relationships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Partner relationships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$5.4 million, $5.5 million, and $6.9 million during the years ended July 31, 2025, 2024, and 2023, respectively. The future amortization expense for existing intangible assets as of July 31, 2025, based on their current useful lives,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1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0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investments</w:t>
            </w:r>
          </w:p>
        </w:tc>
        <w:tc>
          <w:tcPr>
            <w:tcW w:w="1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other assets include strategic investments in privately held companies in which the Company does not have a controlling interest or the ability to exert significant influence. The strategic investments consist of non-marketable equity securities that do not have readily determinable market values (Level 3), which are recorded using the measurement alternative at cost less impairment and adjusts cost for subsequent observable changes in fair value, and an investment in a limited partnership, which is recorded using the net asset value practical expedient (Level 3) in accordance with ASC 820. Changes in fair value are recorded in other income (expense) on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year ended July 31, 2025, one of the Company’s investees was acquired by a publicly traded company. As a result, the Company received $5.7 million in consideration for its equity interest in the investee, composed of $3.4 million cash and $2.4 million of the acquirer’s shares, which were subsequently sold for $2.3 million, and recognized a $3.7 million gain in excess of cost in other income (expense), net on the consolidated statements of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year ended July 31, 2024, one of the Company’s investees was acquired by a privately held limited partnership. As a result, the Company received $12.1 million in consideration for its equity interest in the investee, composed of $6.5 million cash and $5.6 million of an ownership interest in the privately held limited partnership, and recognized a $1.8 million gain in excess of cost as a component of other income (expense), net on the consolidated statements of operations.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invested $1.8 million, $1.3 million, and $10.8 million in new strategic investments during the fiscal years ended July 31, 2025, 2024, and 2023, respectively.</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unrealized and realized gains (losses) on strategic investments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6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Unrealized gains (losses), net, recognized on privately held equity securities measured</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using net asset value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of strategic investments using the measurement alternative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6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gains (losses), net on sales of strategic investments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carrying amount of the Company’s strategic investments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16"/>
                <w:szCs w:val="16"/>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using the measurement alternative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using net asset value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454"/>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Employee Compensation</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employee compensation consists of the following (in thousands):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24"/>
                <w:szCs w:val="24"/>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Salaries, payroll taxes, and benefits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24"/>
                <w:szCs w:val="24"/>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(Loss)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calculates basic earnings per share by dividing the net income (loss) by the weighted average number of shares of common stock outstanding for the period. For calculating diluted earnings per share, the Company uses the treasury stock method for options to purchase common stock, Stock Awards, and ESPP purchase rights, and the if-converted method for the Convertible Senior Notes.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fiscal years ended July 31, 2025, 2024, and 2023 (in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vMerge w:val="continue"/>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83,846,793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82,291,483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82,176,629</w:t>
            </w:r>
          </w:p>
        </w:tc>
        <w:tc>
          <w:tcPr>
            <w:tcW w:w="0" w:type="dxa"/>
            <w:vAlign w:val="bottom"/>
          </w:tcPr>
          <w:p>
            <w:pPr>
              <w:spacing w:after="0"/>
              <w:rPr>
                <w:sz w:val="1"/>
                <w:szCs w:val="1"/>
                <w:color w:val="auto"/>
              </w:rPr>
            </w:pPr>
          </w:p>
        </w:tc>
      </w:tr>
      <w:tr>
        <w:trPr>
          <w:trHeight w:val="230"/>
        </w:trPr>
        <w:tc>
          <w:tcPr>
            <w:tcW w:w="6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 average effect of dilutive stock options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Weighted average effect of dilutive stock awards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 average effect of the ESPP purchase rights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85,911,653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82,291,483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82,176,629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23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3,763,725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2,352,203</w:t>
            </w: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purchase rights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3,516,480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3,516,480</w:t>
            </w:r>
          </w:p>
        </w:tc>
      </w:tr>
    </w:tbl>
    <w:p>
      <w:pPr>
        <w:spacing w:after="0" w:line="2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 ended July 31, 2025, there was no dilutive effect on net income (loss) per share due to maturity and settlement of the outstanding principal balance of the 2025 Convertible Senior Notes. During the fiscal years ended July 31, 2024 and 2023, the average market price of the Company’s common stock did not exceed the initial conversion price of the 2025 Convertible Senior Notes.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 ended July 31, 2025, the average market price of the Company’s common stock did not exceed the initial conversion price of the 2029 Convertible Senior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the 2025 Convertible Senior Notes. The 2025 Convertible Senior Notes were unsecured, bore interest at 1.25% per year payable semi-annually on March 15 and September 15, and matured on March 15, 2025, unless repurchased, redeemed, or converted. The 2025 Convertible Senior Notes were convertible at the option of holders at an initial conversion rate of 8.7912 shares of common stock per $1,000 principal (equivalent to an initial conversion price of approximately $113.75 per share of the Company’s common stock). No sinking fund was provided.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2024, the Company retired $120.9 million aggregate principal amount and $0.2 million of related debt issuance costs of the 2025 Convertible Senior Notes for $200.5 million in cash, which included related accrued interest of $0.1 million. The retirement was accounted for as an induced conversion resulting in an inducement expense of $0.3 million recorded in other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net on the consolidated statements of operations and a decrease to additional paid-in capital of $79.4 million on the consolidated balance sheets.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2024, the Company retired $100.0 million aggregate principal amount and $0.1 million of related debt issuance costs of the 2025 Convertible Senior Notes for $153.5 million in cash, which included related accrued interest of $0.3 million. The retirement was accounted for as a debt extinguishment resulting in an extinguishment expense of $53.3 million recorded in other income (expense), net on the consolidated statements of operations.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2025 Convertible Senior Notes matured on March 15, 2025. During the period from January 15, 2025 through the close of business on March 13, 2025, holders of the 2025 Convertible Senior Notes had the option to convert their outstanding 2025 Convertible Senior Notes, and they elected to convert substantially all of the outstanding notes. In accordance with the holders’ elections, the Company fully settled the outstanding $179.1 million aggregate principal amount of the 2025 Convertible Senior Notes through aggregate cash payments totaling $180.2 million, which included related accrued interest of $1.1 million, and the gross issuance of 671,202 shares of common stock. The share amount does not reflect the impact of the capped calls related to the 2025 Convertible Senior Notes. See “Note 7—Debt—Capped Calls” for further information.</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2025 Convertible Senior Notes was $528.0 million at July 31, 2024. The Company estimates the fair value of the Convertible Senior Notes using commonly accepted valuation methodologies and market-based risk measurements that are directly observable, such as unadjusted quoted prices in markets that are not active (Level 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2024, the Company offered and sold $690.0 million aggregate principal amount of its 2029 Convertible Senior Notes. The 2029 Convertible Senior Notes were issued in accordance with the Indenture, dated as of October 18, 2024, between the Company and U.S. Bank Trust Company, National Association, as trustee (the “2029 Indenture”). The net proceeds from the issuance of the 2029 Convertible Senior Notes were $671.8 million after deducting issuance costs.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2029 Convertible Senior Notes are unsecured obligations of the Company with interest payable semi-annually in arrears, at a rate of 1.25% per year, on May 1st and November 1st of each year. The 2029 Convertible Senior Notes will mature on November 1, 2029 unless repurchased, redeemed, or converted prior to such date. Before August 1, 2029, holders of the 2029 Convertible Senior Notes will have the right to convert their 2029 Convertible Senior Notes only upon the occurrence of certain events. On or after August 1, 2029, the 2029 Convertible Senior Notes are convertible at any time at the election of holders until the close of business on the second scheduled trading day immediately preceding the maturity date. The 2029 Convertible Senior Notes will have an initial conversion rate of 4.0875 shares of common stock per $1,000 principal (equivalent to an initial conversion price of approximately $244.65 per share of the Company’s common stock). The conversion rate is subject to customary adjustments upon the occurrence of certain events but will not be adjusted for any accrued and unpaid interest. The consideration due upon conversion will consist of cash, up to at least the proportional amount of the principal amount being converted, and any excess of the proportional conversion value for that trading day that will not be settled in cash will be settled in shares of the Company’s common stock.</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may redeem the 2029 Convertible Senior Notes, at its option, on or after November 5, 2027 and on or before the 20th scheduled trading day immediately before the maturity date, at a redemption price equal to 100% of the principal amount thereof, plus accrued and unpaid interest if (i) the 2029 Convertible Senior Notes are “Freely Tradable” (as defined in the 2029 Indenture) as of the date the Company sends the related redemption notice, and all accrued and unpaid additional interest, if any, has been paid in full, as of the most recent interest payment date occurring on or before the date the Company sends the related redemption notice; and (ii) the last reported sale price of the Company’s common stock has been at least 130% of the conversion price on (1) each of at least 20 trading days, whether or not consecutive, during the 30 consecutive trading day period ending on, and including, the trading day immediately preceding the date on which the Company provides notice of redemption; and (2) the trading day immediately preceding the date on which the Company provides notice of redemption. No sinking fund is required to be provided for the 2029 Convertible Senior Notes. Upon the occurrence of a fundamental change (as defined in the 2029 Indenture) prior to the maturity date, holders may require the Company to repurchase all or a portion of the 2029 Convertible Senior Notes for cash at a price equal to 100% of the principal amount of the notes to be repurchased, plus any accrued and unpaid interest to, but excluding, the fundamental change repurchase date.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2029 Convertible Senior Notes rank senior in right of payment to any of the Company’s indebtedness that is expressly subordinated in right of payment to the 2029 Convertible Senior Notes, and equal in right of payment to any of its indebtedness that is not so subordinated. The 2029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2029 Convertible Senior Notes was $795.0 million at July 31,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carrying value of the liability component and unamortized debt issuance costs of the Convertible Senior Notes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80" w:type="dxa"/>
            <w:vAlign w:val="bottom"/>
          </w:tcPr>
          <w:p>
            <w:pPr>
              <w:spacing w:after="0"/>
              <w:rPr>
                <w:sz w:val="16"/>
                <w:szCs w:val="16"/>
                <w:color w:val="auto"/>
              </w:rPr>
            </w:pPr>
          </w:p>
        </w:tc>
        <w:tc>
          <w:tcPr>
            <w:tcW w:w="17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convertible senior notes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convertible senior notes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credit facility</w:t>
            </w: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 amount</w:t>
            </w:r>
          </w:p>
        </w:tc>
        <w:tc>
          <w:tcPr>
            <w:tcW w:w="3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carrying amount of debt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398,903</w:t>
            </w:r>
          </w:p>
        </w:tc>
      </w:tr>
      <w:tr>
        <w:trPr>
          <w:trHeight w:val="229"/>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convertible senior notes, net</w:t>
            </w: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398,903</w:t>
            </w:r>
          </w:p>
        </w:tc>
      </w:tr>
      <w:tr>
        <w:trPr>
          <w:trHeight w:val="22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convertible senior notes, net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674,568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interest rate of the 2025 Convertible Senior Notes after the adoption of ASU 2020-06 on August 1, 2022 was 1.7%. The if-converted value of the 2025 Convertible Senior Notes exceeded the outstanding principal by $6.8 million as of July 31, 2024.</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effective interest rate of the 2029 Convertible Senior Notes was 1.8%. The if-converted value of the 2029 Convertible Senior Notes did not exceed the outstanding principal as of July 31,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debt instruments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each offering of the Convertible Senior Notes, the Company purchased capped calls with certain financial institutions pursuant to capped call confirmations (collectively the “Capped Calls”). The initial strike price of the Capped Calls corresponds to the initial conversion price of each of the Convertible Senior Notes.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a tender offer, and a nationalization, insolvency or delisting involving the Company. Additionally, the Capped Calls are subject to certain specified additional disruption events that may give rise to a termination of the Capped Calls, including changes in law, insolvency filings, and hedging disruptions. The Capped Calls were recorded in the period purchased as a reduction of the Company’s additional paid-in capital in the accompanying consolidated balance sheets and are not accounted for as derivatives.</w:t>
      </w:r>
    </w:p>
    <w:p>
      <w:pPr>
        <w:spacing w:after="0" w:line="13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key terms and costs incurred for the Capped Calls related to each of the Convertible Senior Notes (in millions,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 Convertible Senior Notes</w:t>
            </w:r>
          </w:p>
        </w:tc>
        <w:tc>
          <w:tcPr>
            <w:tcW w:w="100" w:type="dxa"/>
            <w:vAlign w:val="bottom"/>
          </w:tcPr>
          <w:p>
            <w:pPr>
              <w:spacing w:after="0"/>
              <w:rPr>
                <w:sz w:val="16"/>
                <w:szCs w:val="16"/>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2029 Convertible Senior Notes</w:t>
            </w:r>
          </w:p>
        </w:tc>
      </w:tr>
      <w:tr>
        <w:trPr>
          <w:trHeight w:val="23"/>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329.33</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 (in millions)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 (in millions)</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March 2025 settlement of the 2025 Convertible Senior Notes, the Company received 697,140 gross shares of common stock from the settlement of the Capped Calls related to the 2025 Convertible Senior Notes. These shares received from the settlement of such Capped Calls offset the 671,202 shares issued to holders of the 2025 Convertible Senior Notes upon maturity. As a result, the Company received 25,938 net shares, which were retired, resulting in a small decrease in the Company’s shares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 the Company entered into a revolving credit agreement (the “Credit Agreement”) with Bank of America, N.A., as administrative agent and certain other financial institutions from time to time thereto (with the administrative agent, the “Lenders”), which provides for a senior secured revolving credit facility in an aggregate principal amount of $300 million (the “2025 Credit Facility”). At the Company’s discretion, it allows flexibility for an uncommitted upsize of the aggregate principal amount of the 2025 Credit Facility or the establishment of incremental term loan facilities, in each case, as further set forth in the Credit Agreement.</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loans under the 2025 Credit Facility bear interest (i) for U.S. Dollar-denominated loans, at the Company’s option, at either (a) the bank’s base rate, plus an applicable margin ranging from 0.25% to 1.25% per annum, or (b) a term SOFR (as defined in the Credit Agreement), plus an applicable margin ranging from 1.25% to 2.25% per annum, and (ii) for alternative currency-denominated loans, at the applicable alternative currency rate (whether a daily rate or a term rate), plus an applicable margin ranging from 1.25% to 2.25% per annum, in each case, such applicable margins to be determined based on the Company’s total net leverage ratio.</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2025 Credit Facility, the Company is required to pay (i) a commitment fee ranging from 0.175% to 0.30% per annum, to be determined based on the Company’s total net leverage ratio, on the actual daily unused amount of each Lender’s commitment under the 2025 Credit Facility, (ii) a letter of credit fronting fee of 0.125% per annum of the daily amount available to be drawn under outstanding letters of credit, and (iii) certain other customary fees and expenses of the Lenders and agents.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covenants, including, but not limited to, restrictions on the Company’s ability to merge and consolidate with other companies, dispose of assets, incur indebtedness, or grant liens or other security interests on assets, in each case, subject to certain customary exceptions. The financial covenants require as of the end of each fiscal quarter that (a) the Company has a minimum consolidated net cash interest coverage ratio of 3.00:1.00 and (b) the Company does not exceed a maximum total net leverage ratio of 3.75:1.00. The maximum total net leverage ratio is subject to a step-up by 0.50:1.00 at the election of the Company for four fiscal quarters following certain material acquisitions, subject to certain customary exceptions.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covenants as of July 31, 2025.</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2025 Credit Facility has a scheduled maturity of December 2, 2029; provided that the Credit Agreement provides for a maturity date of 91 days prior to the earlier maturity date of any individual or related series of other indebtedness with an aggregate outstanding principal amount that exceeds the greater of (x) $107.5 million and (y) 50% of Consolidated EBITDA (as defined in the Credit Agreement) as of the most recent four fiscal quarter period preceding such 91st day for which financial statements were required to be delivered pursuant to the Credit Agreement, unless the Company maintains either (a) a total net leverage ratio lower than 2.00:1.00 or (b) liquidity greater than 125% of the aggregate outstanding principal amount of such indebtedness.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(as defined in the Credit Agreement) events, in each case, subject to certain customary exceptions and grace periods. During the continuance of an event of default, the Lenders may take a number of actions, including, among others, declaring the entire aggregate amount then outstanding under the 2025 Credit Facility to be due and payable.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required to be guaranteed by the Company’s material domestic subsidiaries. The Company’s obligations under the Credit Agreement are secured by a security interest in substantially all of the assets of the Company and each guarantor. Revolving loans may be prepaid, and revolving loan commitments may be permanently reduced by the Company in whole or in part, without penalty or premium.</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there were no outstanding borrowings under the 2025 Credit Facility.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2023, the Company assigned (“the Lease Assignment”) the remaining lease term of its previous headquarters and concurrently entered into a sublease for office space in San Mateo, California with the same third party for its worldwide headquarters. As a result of the Lease Assignment, the Company recognized an $8.5 million loss in general and administrative operating expenses during the fiscal year ended July 31, 2023 on the consolidated statements of operations. The loss is comprised of an $18.4 million gain from the de-recognition of the operating lease asset of $56.9 million, the de-recognition of the lease liability of $75.5 million,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expenses related to the Lease Assignment of $0.2 million, offset by accelerated depreciation expense related to property and equipment, primarily consisting of leasehold improvements, at the previous headquarters of $26.9 million. In fiscal year 2023 upon lease commencement of the new worldwide headquarters, the Company recognized a $27.1 million operating lease asset and $19.6 million lease liability.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operating lease costs were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Operating lease costs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operating lease costs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w:t>
            </w:r>
          </w:p>
        </w:tc>
      </w:tr>
      <w:tr>
        <w:trPr>
          <w:trHeight w:val="229"/>
        </w:trPr>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34"/>
        </w:trPr>
        <w:tc>
          <w:tcPr>
            <w:tcW w:w="3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-633730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-334010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5660" w:space="720"/>
            <w:col w:w="4860"/>
          </w:cols>
          <w:pgMar w:left="320" w:top="121" w:right="339" w:bottom="1440" w:gutter="0" w:footer="0" w:header="0"/>
          <w:type w:val="continuous"/>
        </w:sectPr>
      </w:pPr>
    </w:p>
    <w:p>
      <w:pPr>
        <w:ind w:firstLine="8"/>
        <w:spacing w:after="0" w:line="270" w:lineRule="auto"/>
        <w:tabs>
          <w:tab w:leader="none" w:pos="146"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Lease expense for leases with an initial term of 12 months or less is excluded from the table above and was $0.9 million, $0.8 million and $0.9 million in each of the fiscal years ended July 31, 2025, 2024, and 2023,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operating lease payments as of July 31, 2025 were as follows (in thousands):</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w:t>
            </w:r>
          </w:p>
        </w:tc>
      </w:tr>
      <w:tr>
        <w:trPr>
          <w:trHeight w:val="230"/>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r>
      <w:tr>
        <w:trPr>
          <w:trHeight w:val="229"/>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29"/>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30"/>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29"/>
        </w:trPr>
        <w:tc>
          <w:tcPr>
            <w:tcW w:w="9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196"/>
        </w:trPr>
        <w:tc>
          <w:tcPr>
            <w:tcW w:w="916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Total future lease payments</w:t>
            </w:r>
          </w:p>
        </w:tc>
        <w:tc>
          <w:tcPr>
            <w:tcW w:w="8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44,971</w:t>
            </w:r>
          </w:p>
        </w:tc>
      </w:tr>
      <w:tr>
        <w:trPr>
          <w:trHeight w:val="203"/>
        </w:trPr>
        <w:tc>
          <w:tcPr>
            <w:tcW w:w="9160" w:type="dxa"/>
            <w:vAlign w:val="bottom"/>
            <w:tcBorders>
              <w:bottom w:val="single" w:sz="8" w:color="CCEEFF"/>
            </w:tcBorders>
          </w:tcPr>
          <w:p>
            <w:pPr>
              <w:ind w:left="260"/>
              <w:spacing w:after="0" w:line="202" w:lineRule="exact"/>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(3,846)</w:t>
            </w:r>
          </w:p>
        </w:tc>
      </w:tr>
      <w:tr>
        <w:trPr>
          <w:trHeight w:val="221"/>
        </w:trPr>
        <w:tc>
          <w:tcPr>
            <w:tcW w:w="9160" w:type="dxa"/>
            <w:vAlign w:val="bottom"/>
            <w:tcBorders>
              <w:bottom w:val="single" w:sz="8" w:color="CCEEFF"/>
            </w:tcBorders>
            <w:shd w:val="clear" w:color="auto" w:fill="CCEEFF"/>
          </w:tcPr>
          <w:p>
            <w:pPr>
              <w:ind w:left="460"/>
              <w:spacing w:after="0" w:line="196" w:lineRule="exact"/>
              <w:rPr>
                <w:sz w:val="20"/>
                <w:szCs w:val="20"/>
                <w:color w:val="auto"/>
              </w:rPr>
            </w:pPr>
            <w:r>
              <w:rPr>
                <w:rFonts w:ascii="Times New Roman" w:cs="Times New Roman" w:eastAsia="Times New Roman" w:hAnsi="Times New Roman"/>
                <w:sz w:val="18"/>
                <w:szCs w:val="18"/>
                <w:color w:val="auto"/>
              </w:rPr>
              <w:t>Total lease liability balance</w:t>
            </w: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41,125</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 (in thousands, except for lease term and discount rate):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152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67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w:t>
            </w:r>
          </w:p>
        </w:tc>
        <w:tc>
          <w:tcPr>
            <w:tcW w:w="1400" w:type="dxa"/>
            <w:vAlign w:val="bottom"/>
            <w:tcBorders>
              <w:bottom w:val="single" w:sz="8" w:color="auto"/>
            </w:tcBorders>
            <w:shd w:val="clear" w:color="auto" w:fill="CCEEFF"/>
          </w:tcPr>
          <w:p>
            <w:pPr>
              <w:jc w:val="right"/>
              <w:ind w:right="11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Times New Roman" w:cs="Times New Roman" w:eastAsia="Times New Roman" w:hAnsi="Times New Roman"/>
                <w:sz w:val="18"/>
                <w:szCs w:val="18"/>
                <w:color w:val="auto"/>
              </w:rPr>
              <w:t>39,309</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43,750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Current portion of lease liabilities</w:t>
            </w:r>
          </w:p>
        </w:tc>
        <w:tc>
          <w:tcPr>
            <w:tcW w:w="1400" w:type="dxa"/>
            <w:vAlign w:val="bottom"/>
            <w:shd w:val="clear" w:color="auto" w:fill="CCEEFF"/>
          </w:tcPr>
          <w:p>
            <w:pPr>
              <w:jc w:val="right"/>
              <w:ind w:right="1195"/>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4"/>
              <w:spacing w:after="0" w:line="202" w:lineRule="exact"/>
              <w:rPr>
                <w:sz w:val="20"/>
                <w:szCs w:val="20"/>
                <w:color w:val="auto"/>
              </w:rPr>
            </w:pPr>
            <w:r>
              <w:rPr>
                <w:rFonts w:ascii="Times New Roman" w:cs="Times New Roman" w:eastAsia="Times New Roman" w:hAnsi="Times New Roman"/>
                <w:sz w:val="18"/>
                <w:szCs w:val="18"/>
                <w:color w:val="auto"/>
              </w:rPr>
              <w:t>10,438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9,295</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Non-current portion of lease liabilities</w:t>
            </w:r>
          </w:p>
        </w:tc>
        <w:tc>
          <w:tcPr>
            <w:tcW w:w="1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4"/>
              <w:spacing w:after="0" w:line="202" w:lineRule="exact"/>
              <w:rPr>
                <w:sz w:val="20"/>
                <w:szCs w:val="20"/>
                <w:color w:val="auto"/>
              </w:rPr>
            </w:pPr>
            <w:r>
              <w:rPr>
                <w:rFonts w:ascii="Times New Roman" w:cs="Times New Roman" w:eastAsia="Times New Roman" w:hAnsi="Times New Roman"/>
                <w:sz w:val="18"/>
                <w:szCs w:val="18"/>
                <w:color w:val="auto"/>
              </w:rPr>
              <w:t>30,687</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34,721</w:t>
            </w:r>
          </w:p>
        </w:tc>
      </w:tr>
      <w:tr>
        <w:trPr>
          <w:trHeight w:val="221"/>
        </w:trPr>
        <w:tc>
          <w:tcPr>
            <w:tcW w:w="678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lease liabilities</w:t>
            </w:r>
          </w:p>
        </w:tc>
        <w:tc>
          <w:tcPr>
            <w:tcW w:w="1400" w:type="dxa"/>
            <w:vAlign w:val="bottom"/>
            <w:tcBorders>
              <w:bottom w:val="single" w:sz="8" w:color="auto"/>
            </w:tcBorders>
            <w:shd w:val="clear" w:color="auto" w:fill="CCEEFF"/>
          </w:tcPr>
          <w:p>
            <w:pPr>
              <w:jc w:val="right"/>
              <w:ind w:right="119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41,125</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44,016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468"/>
        </w:trPr>
        <w:tc>
          <w:tcPr>
            <w:tcW w:w="7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Supplemental cash and non-cash information related to operating leases was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contractual obligations and commitments as of July 31, 2025 are as follows (in thousands):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6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8"/>
                <w:szCs w:val="18"/>
                <w:b w:val="1"/>
                <w:bCs w:val="1"/>
                <w:color w:val="auto"/>
                <w:vertAlign w:val="superscript"/>
              </w:rPr>
              <w:t>(2)</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Commitments</w:t>
            </w:r>
            <w:r>
              <w:rPr>
                <w:rFonts w:ascii="Times New Roman" w:cs="Times New Roman" w:eastAsia="Times New Roman" w:hAnsi="Times New Roman"/>
                <w:sz w:val="9"/>
                <w:szCs w:val="9"/>
                <w:b w:val="1"/>
                <w:bCs w:val="1"/>
                <w:color w:val="auto"/>
              </w:rPr>
              <w:t>(1)</w:t>
            </w:r>
          </w:p>
        </w:tc>
        <w:tc>
          <w:tcPr>
            <w:tcW w:w="3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July 31,</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170,078</w:t>
            </w:r>
          </w:p>
        </w:tc>
        <w:tc>
          <w:tcPr>
            <w:tcW w:w="0" w:type="dxa"/>
            <w:vAlign w:val="bottom"/>
          </w:tcPr>
          <w:p>
            <w:pPr>
              <w:spacing w:after="0"/>
              <w:rPr>
                <w:sz w:val="1"/>
                <w:szCs w:val="1"/>
                <w:color w:val="auto"/>
              </w:rPr>
            </w:pPr>
          </w:p>
        </w:tc>
      </w:tr>
      <w:tr>
        <w:trPr>
          <w:trHeight w:val="229"/>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2030 and thereafter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694,627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1,131,845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left="180" w:hanging="172"/>
        <w:spacing w:after="0" w:line="225" w:lineRule="auto"/>
        <w:tabs>
          <w:tab w:leader="none" w:pos="183"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Purchase commitments represent royalty obligations and commitments to purchase goods and services, entered into in the ordinary course of business, for which a penalty could be imposed if the agreement was cancelled for any reason other than an event of default as described by the agreement. During fiscal year 2023, the Company entered into an agreement with a cloud infrastructure services provider for a total obligation of $600 million over a five-year period. Purchase commitments do not include lease obligations (refer to Note 8).</w:t>
      </w:r>
    </w:p>
    <w:p>
      <w:pPr>
        <w:ind w:left="160" w:hanging="152"/>
        <w:spacing w:after="0" w:line="192" w:lineRule="auto"/>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Debt consists of principal and interest payments on the Company’s 2029 Convertible Senior Notes. The $690 million in principal will be due in November 2029.</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not recorded any accrual for claims as of July 31, 2025 and 2024, respectively. The Company has not accrued for estimated losses in the accompanying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July 31, 2025 and 2024.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6" w:lineRule="exact"/>
        <w:rPr>
          <w:sz w:val="20"/>
          <w:szCs w:val="20"/>
          <w:color w:val="auto"/>
        </w:rPr>
      </w:pPr>
    </w:p>
    <w:p>
      <w:pPr>
        <w:ind w:left="340" w:right="6160" w:hanging="332"/>
        <w:spacing w:after="0" w:line="440" w:lineRule="auto"/>
        <w:tabs>
          <w:tab w:leader="none" w:pos="28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Expense and Shareholders’ Equity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Stock Awards, and the ESPP purchase rights is included in the consolidated statements of operations as follows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143,566</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48"/>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is included in the following categories: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license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39,259</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142,842</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120,276</w:t>
            </w:r>
          </w:p>
        </w:tc>
      </w:tr>
      <w:tr>
        <w:trPr>
          <w:trHeight w:val="21"/>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Company’s stock options, Stock Awards, and ESPP purchase rights as of July 31, 2025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Expected</w:t>
            </w: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5"/>
        </w:trPr>
        <w:tc>
          <w:tcPr>
            <w:tcW w:w="7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274,666</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purchase rights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278,480</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Stock Awards activity under the Company’s equity incentive plans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 Outstanding</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42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7"/>
                <w:szCs w:val="17"/>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0" w:type="dxa"/>
            <w:vAlign w:val="bottom"/>
          </w:tcPr>
          <w:p>
            <w:pPr>
              <w:spacing w:after="0"/>
              <w:rPr>
                <w:sz w:val="17"/>
                <w:szCs w:val="17"/>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23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216,478</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2,287,778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97,324</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2023</w:t>
            </w:r>
          </w:p>
        </w:tc>
        <w:tc>
          <w:tcPr>
            <w:tcW w:w="23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3,414,706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289,635</w:t>
            </w: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168,144</w:t>
            </w:r>
          </w:p>
        </w:tc>
        <w:tc>
          <w:tcPr>
            <w:tcW w:w="0" w:type="dxa"/>
            <w:vAlign w:val="bottom"/>
          </w:tcPr>
          <w:p>
            <w:pPr>
              <w:spacing w:after="0"/>
              <w:rPr>
                <w:sz w:val="1"/>
                <w:szCs w:val="1"/>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23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3,202,066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480,534</w:t>
            </w:r>
          </w:p>
        </w:tc>
        <w:tc>
          <w:tcPr>
            <w:tcW w:w="0" w:type="dxa"/>
            <w:vAlign w:val="bottom"/>
          </w:tcPr>
          <w:p>
            <w:pPr>
              <w:spacing w:after="0"/>
              <w:rPr>
                <w:sz w:val="1"/>
                <w:szCs w:val="1"/>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1,099,795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284,544</w:t>
            </w: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2,672,857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 as of July 31, 2025</w:t>
            </w:r>
          </w:p>
        </w:tc>
        <w:tc>
          <w:tcPr>
            <w:tcW w:w="23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2,672,857</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117.25</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604,654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97</w:t>
            </w: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left="180" w:hanging="161"/>
        <w:spacing w:after="0" w:line="239"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Aggregate intrinsic value at each period end represents the total market value of Stock Awards at the Company’s closing stock price of $226.22, $150.07, and $84.82 on July 31, 2025, 2024, and 2023, respectively. Aggregate intrinsic value for released Stock Awards represents the total market value of released Stock Awards at date of release.</w:t>
      </w:r>
    </w:p>
    <w:p>
      <w:pPr>
        <w:spacing w:after="0" w:line="1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2023 and September 2024, certain executive officers were granted Stock Awards that cliff vest after three years, subject to continued service until such time, with the opportunity to increase the number of vested awards based on Company financial performance and, for a select number of awards, the market performance of the Company’s common stock. The fair value of the awards will be recognized over the three-year performance period and may increase or decrease depending on the estimated attainment of Company financial performance criteria. The Company determined the fair value of the portion of the awards subject to the market performance of the Company’s common stock using a Monte Carlo simulation model, which included the following assumptions: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42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Fiscal years ended July 31,</w:t>
            </w:r>
          </w:p>
        </w:tc>
      </w:tr>
      <w:tr>
        <w:trPr>
          <w:trHeight w:val="223"/>
        </w:trPr>
        <w:tc>
          <w:tcPr>
            <w:tcW w:w="70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69"/>
        </w:trPr>
        <w:tc>
          <w:tcPr>
            <w:tcW w:w="702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11, 2024 to</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13, 2023 to</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11, 2027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13, 2026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3-year historical volatility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36.0%</w:t>
            </w:r>
          </w:p>
        </w:tc>
        <w:tc>
          <w:tcPr>
            <w:tcW w:w="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3-year risk free rate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portion of the award subject to the market performance of the Company’s common stock, stock-based compensation expense is recognized over the requisite service period regardless of whether or not the market condition is ultimately satisfied, subject to continued service over the period.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fiscal year 2024, certain executives and employees of the Company received PSUs, which vest over three years, with 50% vesting annually over the three year period and the remaining 50% vesting at the end of the third year.</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related to PSUs of $26.2 million, $16.2 million, and $15.0 million during the fiscal years ended July 31, 2025, 2024, and 2023,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under the Company’s equity incentive plans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6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July 31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109,958</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64.09</w:t>
            </w:r>
          </w:p>
        </w:tc>
        <w:tc>
          <w:tcPr>
            <w:tcW w:w="8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17,828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July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jc w:val="both"/>
        <w:ind w:left="180" w:right="20" w:hanging="161"/>
        <w:spacing w:after="0" w:line="239"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Aggregate intrinsic value at each fiscal year end represents the difference between the Company’s closing stock price of $226.22, $150.07, and $84.82 on July 31, 2025, 2024, and 2023, respectively, and the exercise price of outstanding stock options. Aggregate intrinsic value for exercised options represents the difference between the Company’s stock price at date of exercise and the exercise price.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Awards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estimated at the grant date using the Black-Scholes option-pricing model, which included the following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- 33.1%</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options were granted during fiscal years ended July 31, 2025, and 2024, respectively.</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2024, the Company’s stockholders approved the 2024 ESPP at the Company’s annual meeting of stockholders, with an initial pool of 3,000,000 shares of the Company’s common stock that may be issued under the ESPP. The ESPP generally provides for six-month offering periods beginning on January 6 and July 6 of each calendar year where each offering period has one purchase period. The Company’s first ESPP offering period began on July 6, 2025. Eligible employees may authorize payroll deductions between 1% and 15% of their base salary compensation to purchase shares of common stock at 85% of the lower of the market price on the date of commencement of the applicable offering period or on the last day of each six month purchase period. The ESPP does not allow eligible employees to increase their contributions during any offering period.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estimated the fair value of the ESPP purchase rights using the Black-Scholes option pricing model with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July 31,</w:t>
            </w:r>
          </w:p>
        </w:tc>
        <w:tc>
          <w:tcPr>
            <w:tcW w:w="16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ESPP was approved by stockholders in December 2024. Therefore, there were no ESPP purchase rights during the fiscal years ended July 31, 2024, and 2023, respectively.</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common stock was issued under the ESPP during the fiscal year ended July 31, 2025. The weighted-average grant date fair value related to rights to acquire shares of common stock under the ESPP during the fiscal year ended July 31, 2025, was $63.29 per share.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and 2024, the Company was authorized to issue 500,000,000 shares of common stock with a par value of $0.0001 per share and, of these, 84,530,418 and 83,025,637 shares of common stock were issued and outstanding, respectively. As of July 31, 2025 and 2024, the Company had reserved shares of common stock for future issuance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1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0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70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 to purchase common stock</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109,958</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stock awards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2,672,857</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3,202,066</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under stock plans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4,505,472</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5,450,102</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ESPP</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10,288,287</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8,819,006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 On December 20, 2022, the Company’s stockholders approved the amendment and restatement of the 2020 Stock Plan to increase the total number of shares of common stock available for issuance under the 2020 Stock Plan by 1,780,000. On December 19, 2023, the Company’s stockholders approved the amendment and restatement of the 2020 Stock Plan to increase the total number of shares of common stock available for issuance under the 2020 Stock Plan by 3,800,000.</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the Company issues under the 2020 Plan will be from the Company’s pool of authorized but unissued shares. The shares of common stock underlying any awards under the 2011 Stock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 as amended.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 As of July 31, 2025, $138.2 million remained available to purchase under the authorized and approved share repurchase program.</w:t>
      </w:r>
    </w:p>
    <w:p>
      <w:pPr>
        <w:spacing w:after="0" w:line="2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accelerated share repurchase (“ASR”) agreement with a large financial institution whereupon the Company provided them with a prepayment of $200.0 million and received an initial delivery of 2,581,478 shares of the Company’s common stock. Under the terms of the ASR, the total number of shares delivered and average price paid per share was determined at the settlement date based on the volume weighted average price over the term of the ASR, less an agreed upon discount. The ASR was settled in full with the delivery of an additional 648,001 shares of common stock during the third quarter of fiscal year 2023, which resulted in total repurchases under the ASR of 3,229,479 shares of common stock at an average purchase price of $61.93 per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years ended July 31, 2025 and 2024, respectively, the Company did not repurchase any shares of common stock. During the fiscal year ended July 31, 2023, the Company repurchased 4,041,284 shares of common stock at an average price of $64.78 per share, for an aggregate purchase price of $261.8 million, which includes the shares repurchased under the ASR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an income tax benefit of $20.4 million for the fiscal year ended July 31, 2025 compared to an income tax benefit of $20.7 million for the fiscal year ended July 31, 2024. The Company’s fiscal year 2025 income tax benefit was similar to the fiscal year 2024 income tax benefit even though the Company generated more pre-tax income due to an increase in deductions from stock-based compensation, the foreign derived intangible income deduction, change in valuation allowance, and an increase in research and development tax credits, partially offset by non-deductible debt retirement expense and non-deductible executive compensation.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differs from the statutory U.S. Federal income tax rate of 21% mainly due to the debt retirement expense which is non-deductible for tax purposes and other permanent differences for stock-based compensation including excess tax benefits, research and development credits, foreign earnings taxed in the United States, the foreign derived intangible income deduction, and certain non-deductible expenses, including executive compensation limitation.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(loss) before provision for (benefit from) income taxes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(150,628)</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w:t>
            </w:r>
          </w:p>
        </w:tc>
      </w:tr>
      <w:tr>
        <w:trPr>
          <w:trHeight w:val="248"/>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the following (in thousands):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2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Differences between income taxes calculated using the statutory federal income tax rate of 21% and the provision for income taxes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earnings taxed in the U.S.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acquisition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 and others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retirement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(22,239)</w:t>
            </w:r>
          </w:p>
        </w:tc>
      </w:tr>
      <w:tr>
        <w:trPr>
          <w:trHeight w:val="21"/>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deferred tax assets and liabilities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144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13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145,934</w:t>
            </w:r>
          </w:p>
        </w:tc>
      </w:tr>
      <w:tr>
        <w:trPr>
          <w:trHeight w:val="22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404,545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354,551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65,791</w:t>
            </w:r>
          </w:p>
        </w:tc>
      </w:tr>
      <w:tr>
        <w:trPr>
          <w:trHeight w:val="22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288,760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tax liabilities:</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Capitalized commissions</w:t>
            </w:r>
          </w:p>
        </w:tc>
        <w:tc>
          <w:tcPr>
            <w:tcW w:w="1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w:t>
            </w:r>
          </w:p>
        </w:tc>
      </w:tr>
      <w:tr>
        <w:trPr>
          <w:trHeight w:val="223"/>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w:t>
            </w:r>
          </w:p>
        </w:tc>
      </w:tr>
      <w:tr>
        <w:trPr>
          <w:trHeight w:val="223"/>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293,019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250,891</w:t>
            </w:r>
          </w:p>
        </w:tc>
      </w:tr>
      <w:tr>
        <w:trPr>
          <w:trHeight w:val="20"/>
        </w:trPr>
        <w:tc>
          <w:tcPr>
            <w:tcW w:w="7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considered both positive and negative evidence, including future reversals of existing taxable temporary differences, projected future taxable income, tax planning strategies, differences between prior book and tax profits/losses, and results of future operations, and determined that a valuation allowance was not required for a significant portion of its deferred tax assets. A valuation allowance of $66.3 million and $65.8 million remained as of July 31, 2025 and 2024, respectively, primarily related to California, U.S. Federal, and Canada deferred tax assets. The increase of $0.5 million in the valuation allowance in the current fiscal year relates primarily to net operating losses and income tax credits in certain tax jurisdictions for which no tax benefit is expected to be recognized, offset by a release of valuation allowances on foreign tax credits.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the Company had U.S. Federal, California, and other states net operating loss (“NOL”) carryforwards of $15.7 million, $50.2 million and $145.2 million, respectively. The U.S. Federal and California NOL carryforwards will start to expire in 2032 and 2034, respectively. The NOL carryforwards in other states will primarily start to expire in various years between 2026 and 2034.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the Company had research and development tax credit (“R&amp;D credit”) carryforwards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82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98,595</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8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71,173</w:t>
            </w:r>
          </w:p>
        </w:tc>
      </w:tr>
      <w:tr>
        <w:trPr>
          <w:trHeight w:val="248"/>
        </w:trPr>
        <w:tc>
          <w:tcPr>
            <w:tcW w:w="7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R&amp;D credit carryforwards</w:t>
            </w:r>
          </w:p>
        </w:tc>
        <w:tc>
          <w:tcPr>
            <w:tcW w:w="1820" w:type="dxa"/>
            <w:vAlign w:val="bottom"/>
            <w:tcBorders>
              <w:bottom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Federal R&amp;D credit carryforwards available at July 31, 2025 will expire starting in 2027. California R&amp;D tax credits do not expire.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substantially restricted.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the Company has recorded a provisional estimate for foreign withholding taxes on undistributed earnings from foreign subsidiaries of $1.8 million. The Company may repatriate foreign earnings in the future to the extent that the repatriation is not restricted by local laws or there are no substantial incremental costs associated with such repatriation.</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on July 4, 2025, H.R. 1 was signed into law. Among other provisions, the legislation reinstates immediate expensing for domestic research and experimental expenditures, extends 100% bonus depreciation for qualified property placed in service beginning January 20, 2025, and makes certain other provisions of the Tax Cuts and Jobs Act permanent. The Company is evaluating the impact of the provisions of this legislation that are effective subsequent to fiscal year 2025 and will reflect its impact in its financial statements in the periods in which they are effective.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unrecognized tax benefits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beginning of period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prior period tax positions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 - prior period tax positions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end of period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July 31, 2025, the Company’s unrecognized tax benefits increased by $4.2 million. As of July 31, 2025, the Company had unrecognized tax benefits of $16.4 million that, if recognized, would affect the Company’s effective tax rate. The Company recognizes interest and penalties related to unrecognized tax benefits as income tax expense in its consolidated statements of operations. As of July 31, 2025, the total interest and penalties related to unrecognized tax benefits was not material.</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2025.</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implemented a framework for a global minimum corporate tax of 15% applied on a country-by-country basis for companies with global revenues and profits above certain thresholds (referred to as Pillar 2). Pillar 2 provisions did not have a material impact on the Company’s financial statements for any of the years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Defined Contribution and Other Post-Retirement Plans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employee savings and retirement plan in the United States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$6,000 per participant per calendar year. Certain of the Company’s foreign subsidiaries also have defined contribution plans in which a majority of its employees participate and the Company makes matching contributions. The Company’s contributions to its 401(k) and foreign subsidiaries’ plans were $15.4 million, $14.1 million, and $13.3 million for the fiscal years ended July 31, 2025,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that conducts business globally and is managed, operated, and organized on a consolidated basis. The Company’s chief executive officer is the chief operating decision maker. Since the Company operates in one segment, financial information, revenue by type, and revenue by geographic area presented in the consolidated financial statements represents the operations of the Company’s single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for the Company’s single operating segment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years ended July 31,</w:t>
            </w:r>
          </w:p>
        </w:tc>
        <w:tc>
          <w:tcPr>
            <w:tcW w:w="130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1,202,459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980,497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905,341</w:t>
            </w:r>
          </w:p>
        </w:tc>
      </w:tr>
      <w:tr>
        <w:trPr>
          <w:trHeight w:val="223"/>
        </w:trPr>
        <w:tc>
          <w:tcPr>
            <w:tcW w:w="6060" w:type="dxa"/>
            <w:vAlign w:val="bottom"/>
          </w:tcPr>
          <w:p>
            <w:pPr>
              <w:ind w:left="100"/>
              <w:spacing w:after="0" w:line="223" w:lineRule="exact"/>
              <w:rPr>
                <w:sz w:val="20"/>
                <w:szCs w:val="20"/>
                <w:color w:val="auto"/>
              </w:rPr>
            </w:pPr>
            <w:r>
              <w:rPr>
                <w:rFonts w:ascii="Times New Roman" w:cs="Times New Roman" w:eastAsia="Times New Roman" w:hAnsi="Times New Roman"/>
                <w:sz w:val="18"/>
                <w:szCs w:val="18"/>
                <w:color w:val="auto"/>
              </w:rPr>
              <w:t xml:space="preserve">Adjusted cost of revenue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362,572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409,977</w:t>
            </w: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33,793</w:t>
            </w:r>
          </w:p>
        </w:tc>
      </w:tr>
      <w:tr>
        <w:trPr>
          <w:trHeight w:val="229"/>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3,360</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450,406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397,136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447,130</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752,053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583,361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458,211</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580,911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518,427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483,683</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113,836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109,049</w:t>
            </w:r>
          </w:p>
        </w:tc>
      </w:tr>
      <w:tr>
        <w:trPr>
          <w:trHeight w:val="230"/>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3,528</w:t>
            </w:r>
          </w:p>
        </w:tc>
      </w:tr>
      <w:tr>
        <w:trPr>
          <w:trHeight w:val="229"/>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holdback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2,939</w:t>
            </w: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assignment of lease agreement</w:t>
            </w:r>
          </w:p>
        </w:tc>
        <w:tc>
          <w:tcPr>
            <w:tcW w:w="3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8,502</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710,985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635,934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607,701</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(149,490)</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(loss) from operations margin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(expense) and other income (expense)</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17,901</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 of strategic investment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strategic investment</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(1,703)</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 of debt</w:t>
            </w:r>
          </w:p>
        </w:tc>
        <w:tc>
          <w:tcPr>
            <w:tcW w:w="38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(26,838)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(134,094)</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(20,409)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(22,239)</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(111,855)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cost of revenue excludes stock-based compensation and amortization of intangible assets expense</w:t>
      </w:r>
    </w:p>
    <w:p>
      <w:pPr>
        <w:spacing w:after="0" w:line="14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long-lived assets for this disclosure are defined as property and equipment and operating lease assets. The Company’s long-lived assets by geographic region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7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99,159</w:t>
            </w:r>
          </w:p>
        </w:tc>
      </w:tr>
      <w:tr>
        <w:trPr>
          <w:trHeight w:val="20"/>
        </w:trPr>
        <w:tc>
          <w:tcPr>
            <w:tcW w:w="7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July 31, 2025, using the criteria set forth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the Committee of Sponsoring Organizations of the Treadway Commission. Based on this assessment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criteria, management concluded that our internal control over financial reporting was effective, at a reasonable level of assurance, as of July 31, 2025.</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has been audited by KPMG LLP, an independent registered public accounting firm, as stated in their report, which appears in Part II, Item 8 of this Annual Report on Form 10-K.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July 31, 2025 identified in management’s evaluation pursuant to Rules 13a-15(d) or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our principal financial officer, our principal accounting officer, and all other executive officers. The Code of Business Conduct and Ethics is posted on our investor relations website.</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will post any amendments to, or waivers from, a provision of this Code of Business Conduct and Ethics by posting such information on our investor relations website.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information required by this item will be contained in our definitive proxy statement to be filed with the SEC in connection with our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Stockholders (the “Proxy Statement”), which is expected to be filed not later than 120 days after the end of our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and is incorporated in this report by reference.</w:t>
      </w:r>
    </w:p>
    <w:p>
      <w:pPr>
        <w:spacing w:after="0" w:line="2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if any, required by this item will be set forth in the Proxy Statement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351" w:lineRule="exact"/>
        <w:rPr>
          <w:sz w:val="20"/>
          <w:szCs w:val="20"/>
          <w:color w:val="auto"/>
        </w:rPr>
      </w:pPr>
    </w:p>
    <w:p>
      <w:pPr>
        <w:ind w:left="700" w:hanging="247"/>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9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90" w:lineRule="exact"/>
        <w:rPr>
          <w:sz w:val="20"/>
          <w:szCs w:val="20"/>
          <w:color w:val="auto"/>
        </w:rPr>
      </w:pPr>
    </w:p>
    <w:p>
      <w:pPr>
        <w:ind w:firstLine="1458"/>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herein.</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Annual Report on Form 10-K.</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gridSpan w:val="31"/>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6"/>
        </w:trPr>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gridSpan w:val="31"/>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top w:val="single" w:sz="8" w:color="auto"/>
            </w:tcBorders>
          </w:tcPr>
          <w:p>
            <w:pPr>
              <w:spacing w:after="0"/>
              <w:rPr>
                <w:sz w:val="16"/>
                <w:szCs w:val="16"/>
                <w:color w:val="auto"/>
              </w:rPr>
            </w:pPr>
          </w:p>
        </w:tc>
        <w:tc>
          <w:tcPr>
            <w:tcW w:w="3700" w:type="dxa"/>
            <w:vAlign w:val="bottom"/>
            <w:tcBorders>
              <w:top w:val="single" w:sz="8" w:color="auto"/>
              <w:bottom w:val="single" w:sz="8" w:color="0000FF"/>
            </w:tcBorders>
            <w:gridSpan w:val="18"/>
          </w:tcPr>
          <w:p>
            <w:pPr>
              <w:spacing w:after="0" w:line="18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Amended and Restated Certificate of Incorporation</w:t>
              </w:r>
            </w:hyperlink>
          </w:p>
        </w:tc>
        <w:tc>
          <w:tcPr>
            <w:tcW w:w="500" w:type="dxa"/>
            <w:vAlign w:val="bottom"/>
            <w:tcBorders>
              <w:top w:val="single" w:sz="8" w:color="auto"/>
            </w:tcBorders>
            <w:gridSpan w:val="18"/>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December 21, 2022</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22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Amended and Restated Bylaws</w:t>
              </w:r>
            </w:hyperlink>
          </w:p>
        </w:tc>
        <w:tc>
          <w:tcPr>
            <w:tcW w:w="2020" w:type="dxa"/>
            <w:vAlign w:val="bottom"/>
            <w:gridSpan w:val="29"/>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21, 2022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Common Stock Certificate of Guidewire</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9, 2012</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Software, Inc.</w:t>
              </w:r>
            </w:hyperlink>
          </w:p>
        </w:tc>
        <w:tc>
          <w:tcPr>
            <w:tcW w:w="254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Indenture, dated as of October 18, 2024, between</w:t>
              </w:r>
            </w:hyperlink>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18, 2024</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Guidewire Software, Inc. and U.S. Bank Trust</w:t>
              </w:r>
            </w:hyperlink>
          </w:p>
        </w:tc>
        <w:tc>
          <w:tcPr>
            <w:tcW w:w="740" w:type="dxa"/>
            <w:vAlign w:val="bottom"/>
            <w:gridSpan w:val="23"/>
          </w:tcPr>
          <w:p>
            <w:pPr>
              <w:spacing w:after="0" w:line="156"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Company,</w:t>
              </w:r>
            </w:hyperlink>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National Association, as trustee</w:t>
              </w:r>
            </w:hyperlink>
          </w:p>
        </w:tc>
        <w:tc>
          <w:tcPr>
            <w:tcW w:w="18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certificate representing the 1.25% Convertible</w:t>
              </w:r>
            </w:hyperlink>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18, 2024</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Senior Notes due 2029 (included as Exhibit A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1"/>
              </w:rPr>
            </w:pPr>
            <w:hyperlink r:id="rId128">
              <w:r>
                <w:rPr>
                  <w:rFonts w:ascii="Times New Roman" w:cs="Times New Roman" w:eastAsia="Times New Roman" w:hAnsi="Times New Roman"/>
                  <w:sz w:val="18"/>
                  <w:szCs w:val="18"/>
                  <w:color w:val="0000FF"/>
                  <w:w w:val="91"/>
                </w:rPr>
                <w:t>4.</w:t>
              </w:r>
              <w:r>
                <w:rPr>
                  <w:rFonts w:ascii="Times New Roman" w:cs="Times New Roman" w:eastAsia="Times New Roman" w:hAnsi="Times New Roman"/>
                  <w:sz w:val="18"/>
                  <w:szCs w:val="18"/>
                  <w:u w:val="single" w:color="auto"/>
                  <w:color w:val="0000FF"/>
                  <w:w w:val="91"/>
                </w:rPr>
                <w:t>5)</w:t>
              </w:r>
            </w:hyperlink>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42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Description of Guidewire Software, Inc.’s Securities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Registered Pursuant to Section 12 of the Securities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4"/>
                <w:szCs w:val="14"/>
                <w:color w:val="auto"/>
              </w:rPr>
            </w:pPr>
          </w:p>
        </w:tc>
        <w:tc>
          <w:tcPr>
            <w:tcW w:w="366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5, 2020</w:t>
            </w: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Guidewire Software, Inc. Long Term Incentive Plan and</w:t>
              </w:r>
            </w:hyperlink>
          </w:p>
        </w:tc>
        <w:tc>
          <w:tcPr>
            <w:tcW w:w="194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Notice and Restricted Stock Unit Award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Agreement thereunder</w:t>
              </w:r>
            </w:hyperlink>
          </w:p>
        </w:tc>
        <w:tc>
          <w:tcPr>
            <w:tcW w:w="1900" w:type="dxa"/>
            <w:vAlign w:val="bottom"/>
            <w:tcBorders>
              <w:top w:val="single" w:sz="8" w:color="0000FF"/>
            </w:tcBorders>
            <w:gridSpan w:val="7"/>
          </w:tcPr>
          <w:p>
            <w:pPr>
              <w:spacing w:after="0"/>
              <w:rPr>
                <w:sz w:val="17"/>
                <w:szCs w:val="17"/>
                <w:color w:val="auto"/>
              </w:rPr>
            </w:pPr>
          </w:p>
        </w:tc>
        <w:tc>
          <w:tcPr>
            <w:tcW w:w="760" w:type="dxa"/>
            <w:vAlign w:val="bottom"/>
            <w:gridSpan w:val="24"/>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2020 Stock Plan and forms of</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agreement thereunder</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 Award Agreement for</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Company Employees under the Guidewire Software,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15"/>
          </w:tcPr>
          <w:p>
            <w:pPr>
              <w:ind w:left="20"/>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w:t>
              </w:r>
            </w:hyperlink>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Amended and Restated 2020 Stock Plan</w:t>
              </w:r>
            </w:hyperlink>
          </w:p>
        </w:tc>
        <w:tc>
          <w:tcPr>
            <w:tcW w:w="1280" w:type="dxa"/>
            <w:vAlign w:val="bottom"/>
            <w:tcBorders>
              <w:top w:val="single" w:sz="8" w:color="0000FF"/>
            </w:tcBorders>
            <w:gridSpan w:val="24"/>
          </w:tcPr>
          <w:p>
            <w:pPr>
              <w:spacing w:after="0"/>
              <w:rPr>
                <w:sz w:val="15"/>
                <w:szCs w:val="15"/>
                <w:color w:val="auto"/>
              </w:rPr>
            </w:pPr>
          </w:p>
        </w:tc>
        <w:tc>
          <w:tcPr>
            <w:tcW w:w="10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Global Restricted Stock Unit Award Agreement</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 Company Employees under the Guidewire Software,</w:t>
              </w:r>
            </w:hyperlink>
          </w:p>
        </w:tc>
        <w:tc>
          <w:tcPr>
            <w:tcW w:w="4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Inc. Amended and Restated 2020 Stock Plan</w:t>
              </w:r>
            </w:hyperlink>
          </w:p>
        </w:tc>
        <w:tc>
          <w:tcPr>
            <w:tcW w:w="86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Stock Option Agreement under the Guidewire</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Software, Inc. Amended and Restated 2020 Stock Plan</w:t>
              </w:r>
            </w:hyperlink>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Global Stock Option Agreement under the</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37"/>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Guidewire Software, Inc. Amended and Restated 2020</w:t>
              </w:r>
            </w:hyperlink>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Stock Plan</w:t>
              </w:r>
            </w:hyperlink>
          </w:p>
        </w:tc>
        <w:tc>
          <w:tcPr>
            <w:tcW w:w="3160" w:type="dxa"/>
            <w:vAlign w:val="bottom"/>
            <w:tcBorders>
              <w:top w:val="single" w:sz="8" w:color="0000FF"/>
            </w:tcBorders>
            <w:gridSpan w:val="23"/>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Stock Award Agreement under the</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Guidewire Software, Inc. Amended and Restated 2020</w:t>
              </w:r>
            </w:hyperlink>
          </w:p>
        </w:tc>
        <w:tc>
          <w:tcPr>
            <w:tcW w:w="16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Stock Plan</w:t>
              </w:r>
            </w:hyperlink>
          </w:p>
        </w:tc>
        <w:tc>
          <w:tcPr>
            <w:tcW w:w="3160" w:type="dxa"/>
            <w:vAlign w:val="bottom"/>
            <w:tcBorders>
              <w:top w:val="single" w:sz="8" w:color="0000FF"/>
            </w:tcBorders>
            <w:gridSpan w:val="23"/>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c>
          <w:tcPr>
            <w:tcW w:w="3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of Performance-Based Restricted Stock Award</w:t>
              </w:r>
            </w:hyperlink>
          </w:p>
        </w:tc>
        <w:tc>
          <w:tcPr>
            <w:tcW w:w="480" w:type="dxa"/>
            <w:vAlign w:val="bottom"/>
            <w:gridSpan w:val="17"/>
          </w:tcPr>
          <w:p>
            <w:pPr>
              <w:spacing w:after="0"/>
              <w:rPr>
                <w:sz w:val="20"/>
                <w:szCs w:val="20"/>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37"/>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under the Guidewire Software, Inc. Amended</w:t>
              </w:r>
            </w:hyperlink>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Restated 2020 Stock Plan</w:t>
              </w:r>
            </w:hyperlink>
          </w:p>
        </w:tc>
        <w:tc>
          <w:tcPr>
            <w:tcW w:w="120" w:type="dxa"/>
            <w:vAlign w:val="bottom"/>
            <w:gridSpan w:val="3"/>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Guidewire Software, Inc. Senior Executive Incentive</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13, 2011</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Bonus Plan</w:t>
              </w:r>
            </w:hyperlink>
          </w:p>
        </w:tc>
        <w:tc>
          <w:tcPr>
            <w:tcW w:w="2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6"/>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0" w:type="dxa"/>
            <w:vAlign w:val="bottom"/>
            <w:gridSpan w:val="18"/>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line="20" w:lineRule="exact"/>
              <w:rPr>
                <w:sz w:val="1"/>
                <w:szCs w:val="1"/>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18, 2023</w:t>
            </w:r>
          </w:p>
        </w:tc>
        <w:tc>
          <w:tcPr>
            <w:tcW w:w="0" w:type="dxa"/>
            <w:vAlign w:val="bottom"/>
          </w:tcPr>
          <w:p>
            <w:pPr>
              <w:spacing w:after="0" w:line="20" w:lineRule="exact"/>
              <w:rPr>
                <w:sz w:val="1"/>
                <w:szCs w:val="1"/>
                <w:color w:val="auto"/>
              </w:rPr>
            </w:pPr>
          </w:p>
        </w:tc>
      </w:tr>
      <w:tr>
        <w:trPr>
          <w:trHeight w:val="236"/>
        </w:trPr>
        <w:tc>
          <w:tcPr>
            <w:tcW w:w="1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Guidewire Software, Inc. Form of Executive Agreement</w:t>
              </w:r>
            </w:hyperlink>
          </w:p>
        </w:tc>
        <w:tc>
          <w:tcPr>
            <w:tcW w:w="180" w:type="dxa"/>
            <w:vAlign w:val="bottom"/>
            <w:gridSpan w:val="6"/>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428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Executive Agreement between Guidewire Software, Inc.</w:t>
              </w:r>
            </w:hyperlink>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2019</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and Michael Rosenbaum, dated as of August 3, 2019</w:t>
              </w:r>
            </w:hyperlink>
          </w:p>
        </w:tc>
        <w:tc>
          <w:tcPr>
            <w:tcW w:w="280" w:type="dxa"/>
            <w:vAlign w:val="bottom"/>
            <w:tcBorders>
              <w:top w:val="single" w:sz="8" w:color="0000FF"/>
            </w:tcBorders>
            <w:gridSpan w:val="10"/>
          </w:tcPr>
          <w:p>
            <w:pPr>
              <w:spacing w:after="0"/>
              <w:rPr>
                <w:sz w:val="15"/>
                <w:szCs w:val="15"/>
                <w:color w:val="auto"/>
              </w:rPr>
            </w:pPr>
          </w:p>
        </w:tc>
        <w:tc>
          <w:tcPr>
            <w:tcW w:w="180" w:type="dxa"/>
            <w:vAlign w:val="bottom"/>
            <w:gridSpan w:val="6"/>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0"/>
                <w:szCs w:val="20"/>
                <w:color w:val="auto"/>
              </w:rPr>
            </w:pPr>
          </w:p>
        </w:tc>
        <w:tc>
          <w:tcPr>
            <w:tcW w:w="4280" w:type="dxa"/>
            <w:vAlign w:val="bottom"/>
            <w:gridSpan w:val="37"/>
          </w:tcPr>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First Amendment to Executive Agreement between</w:t>
              </w:r>
            </w:hyperlink>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9, 2020</w:t>
            </w:r>
          </w:p>
        </w:tc>
        <w:tc>
          <w:tcPr>
            <w:tcW w:w="0" w:type="dxa"/>
            <w:vAlign w:val="bottom"/>
          </w:tcPr>
          <w:p>
            <w:pPr>
              <w:spacing w:after="0"/>
              <w:rPr>
                <w:sz w:val="1"/>
                <w:szCs w:val="1"/>
                <w:color w:val="auto"/>
              </w:rPr>
            </w:pPr>
          </w:p>
        </w:tc>
      </w:tr>
    </w:tbl>
    <w:p>
      <w:pPr>
        <w:ind w:left="1240"/>
        <w:spacing w:after="0" w:line="219"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Guidewire Software, Inc. and Mike Rosenbaum, dated as</w:t>
        </w:r>
      </w:hyperlink>
    </w:p>
    <w:p>
      <w:pPr>
        <w:ind w:left="124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of November 4, 2020</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5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9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Executive Agreement between Guidewire Software, Inc.</w:t>
              </w:r>
            </w:hyperlink>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June 7, 2022</w:t>
            </w:r>
          </w:p>
        </w:tc>
      </w:tr>
      <w:tr>
        <w:trPr>
          <w:trHeight w:val="156"/>
        </w:trPr>
        <w:tc>
          <w:tcPr>
            <w:tcW w:w="12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and John Mullen, dated as of February 3, 2022</w:t>
              </w:r>
            </w:hyperlink>
          </w:p>
        </w:tc>
        <w:tc>
          <w:tcPr>
            <w:tcW w:w="7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Indemnification Agreement for directors and</w:t>
              </w:r>
            </w:hyperlink>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October 28, 2011</w:t>
            </w:r>
          </w:p>
        </w:tc>
      </w:tr>
      <w:tr>
        <w:trPr>
          <w:trHeight w:val="156"/>
        </w:trPr>
        <w:tc>
          <w:tcPr>
            <w:tcW w:w="1280" w:type="dxa"/>
            <w:vAlign w:val="bottom"/>
          </w:tcPr>
          <w:p>
            <w:pPr>
              <w:spacing w:after="0"/>
              <w:rPr>
                <w:sz w:val="13"/>
                <w:szCs w:val="13"/>
                <w:color w:val="auto"/>
              </w:rPr>
            </w:pPr>
          </w:p>
        </w:tc>
        <w:tc>
          <w:tcPr>
            <w:tcW w:w="38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executive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Lease Agreement between Bay Meadows Station 2</w:t>
              </w:r>
            </w:hyperlink>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September 19, 2018</w:t>
            </w:r>
          </w:p>
        </w:tc>
      </w:tr>
      <w:tr>
        <w:trPr>
          <w:trHeight w:val="156"/>
        </w:trPr>
        <w:tc>
          <w:tcPr>
            <w:tcW w:w="1280" w:type="dxa"/>
            <w:vAlign w:val="bottom"/>
          </w:tcPr>
          <w:p>
            <w:pPr>
              <w:spacing w:after="0"/>
              <w:rPr>
                <w:sz w:val="13"/>
                <w:szCs w:val="13"/>
                <w:color w:val="auto"/>
              </w:rPr>
            </w:pPr>
          </w:p>
        </w:tc>
        <w:tc>
          <w:tcPr>
            <w:tcW w:w="3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Investors, LLC and Guidewire Software, Inc. dated</w:t>
              </w:r>
            </w:hyperlink>
          </w:p>
        </w:tc>
        <w:tc>
          <w:tcPr>
            <w:tcW w:w="20" w:type="dxa"/>
            <w:vAlign w:val="bottom"/>
          </w:tcPr>
          <w:p>
            <w:pPr>
              <w:spacing w:after="0"/>
              <w:rPr>
                <w:sz w:val="13"/>
                <w:szCs w:val="13"/>
                <w:color w:val="auto"/>
              </w:rPr>
            </w:pPr>
          </w:p>
        </w:tc>
        <w:tc>
          <w:tcPr>
            <w:tcW w:w="600" w:type="dxa"/>
            <w:vAlign w:val="bottom"/>
            <w:gridSpan w:val="12"/>
          </w:tcPr>
          <w:p>
            <w:pPr>
              <w:ind w:left="40"/>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as of</w:t>
              </w:r>
            </w:hyperlink>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December 18, 2017</w:t>
              </w:r>
            </w:hyperlink>
          </w:p>
        </w:tc>
        <w:tc>
          <w:tcPr>
            <w:tcW w:w="26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Assignment of Lease, dated as of February 11, 2023, by</w:t>
              </w:r>
            </w:hyperlink>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March 3, 2023</w:t>
            </w:r>
          </w:p>
        </w:tc>
      </w:tr>
      <w:tr>
        <w:trPr>
          <w:trHeight w:val="156"/>
        </w:trPr>
        <w:tc>
          <w:tcPr>
            <w:tcW w:w="1280" w:type="dxa"/>
            <w:vAlign w:val="bottom"/>
          </w:tcPr>
          <w:p>
            <w:pPr>
              <w:spacing w:after="0"/>
              <w:rPr>
                <w:sz w:val="13"/>
                <w:szCs w:val="13"/>
                <w:color w:val="auto"/>
              </w:rPr>
            </w:pPr>
          </w:p>
        </w:tc>
        <w:tc>
          <w:tcPr>
            <w:tcW w:w="39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and between Guidewire Software, Inc. and Roblox</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8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45">
              <w:r>
                <w:rPr>
                  <w:rFonts w:ascii="Times New Roman" w:cs="Times New Roman" w:eastAsia="Times New Roman" w:hAnsi="Times New Roman"/>
                  <w:sz w:val="18"/>
                  <w:szCs w:val="18"/>
                  <w:color w:val="0000FF"/>
                  <w:w w:val="94"/>
                </w:rPr>
                <w:t>Corporation</w:t>
              </w:r>
            </w:hyperlink>
          </w:p>
        </w:tc>
        <w:tc>
          <w:tcPr>
            <w:tcW w:w="276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Sublease, dated as of February 11, 2023, by and between</w:t>
              </w:r>
            </w:hyperlink>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March 3, 2023</w:t>
            </w:r>
          </w:p>
        </w:tc>
      </w:tr>
      <w:tr>
        <w:trPr>
          <w:trHeight w:val="156"/>
        </w:trPr>
        <w:tc>
          <w:tcPr>
            <w:tcW w:w="128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Roblox Corporation and Guidewire Software, Inc.</w:t>
              </w:r>
            </w:hyperlink>
          </w:p>
        </w:tc>
        <w:tc>
          <w:tcPr>
            <w:tcW w:w="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Capped Call Confirmations in relation to</w:t>
              </w:r>
            </w:hyperlink>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October 18, 2024</w:t>
            </w:r>
          </w:p>
        </w:tc>
      </w:tr>
      <w:tr>
        <w:trPr>
          <w:trHeight w:val="156"/>
        </w:trPr>
        <w:tc>
          <w:tcPr>
            <w:tcW w:w="12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Convertible Senior Notes due 2029</w:t>
              </w:r>
            </w:hyperlink>
          </w:p>
        </w:tc>
        <w:tc>
          <w:tcPr>
            <w:tcW w:w="1040" w:type="dxa"/>
            <w:vAlign w:val="bottom"/>
            <w:tcBorders>
              <w:top w:val="single" w:sz="8" w:color="0000FF"/>
            </w:tcBorders>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Credit Agreement, dated as of December 2, 2024, among</w:t>
              </w:r>
            </w:hyperlink>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5, 2024</w:t>
            </w:r>
          </w:p>
        </w:tc>
      </w:tr>
      <w:tr>
        <w:trPr>
          <w:trHeight w:val="156"/>
        </w:trPr>
        <w:tc>
          <w:tcPr>
            <w:tcW w:w="1280" w:type="dxa"/>
            <w:vAlign w:val="bottom"/>
          </w:tcPr>
          <w:p>
            <w:pPr>
              <w:spacing w:after="0"/>
              <w:rPr>
                <w:sz w:val="13"/>
                <w:szCs w:val="13"/>
                <w:color w:val="auto"/>
              </w:rPr>
            </w:pPr>
          </w:p>
        </w:tc>
        <w:tc>
          <w:tcPr>
            <w:tcW w:w="41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Guidewire Software, Inc., as borrower, certain</w:t>
              </w:r>
            </w:hyperlink>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33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subsidiaries as guarantors, Bank of America,</w:t>
              </w:r>
            </w:hyperlink>
          </w:p>
        </w:tc>
        <w:tc>
          <w:tcPr>
            <w:tcW w:w="940" w:type="dxa"/>
            <w:vAlign w:val="bottom"/>
            <w:gridSpan w:val="18"/>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N.A., as</w:t>
              </w:r>
            </w:hyperlink>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38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administrative agent, and certain other lenders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6"/>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8">
              <w:r>
                <w:rPr>
                  <w:rFonts w:ascii="Times New Roman" w:cs="Times New Roman" w:eastAsia="Times New Roman" w:hAnsi="Times New Roman"/>
                  <w:sz w:val="18"/>
                  <w:szCs w:val="18"/>
                  <w:color w:val="0000FF"/>
                  <w:w w:val="93"/>
                </w:rPr>
                <w:t>thereunder</w:t>
              </w:r>
            </w:hyperlink>
          </w:p>
        </w:tc>
        <w:tc>
          <w:tcPr>
            <w:tcW w:w="2560" w:type="dxa"/>
            <w:vAlign w:val="bottom"/>
            <w:tcBorders>
              <w:top w:val="single" w:sz="8" w:color="0000FF"/>
            </w:tcBorders>
            <w:gridSpan w:val="10"/>
          </w:tcPr>
          <w:p>
            <w:pPr>
              <w:spacing w:after="0"/>
              <w:rPr>
                <w:sz w:val="13"/>
                <w:szCs w:val="13"/>
                <w:color w:val="auto"/>
              </w:rPr>
            </w:pPr>
          </w:p>
        </w:tc>
        <w:tc>
          <w:tcPr>
            <w:tcW w:w="360" w:type="dxa"/>
            <w:vAlign w:val="bottom"/>
            <w:gridSpan w:val="7"/>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6"/>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Insider Trading Policy and Guidelines</w:t>
              </w:r>
            </w:hyperlink>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6, 2024</w:t>
            </w: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1560" w:type="dxa"/>
            <w:vAlign w:val="bottom"/>
            <w:gridSpan w:val="22"/>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r>
      <w:tr>
        <w:trPr>
          <w:trHeight w:val="156"/>
        </w:trPr>
        <w:tc>
          <w:tcPr>
            <w:tcW w:w="128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7"/>
              </w:rPr>
              <w:t>Accounting Firm</w:t>
            </w:r>
          </w:p>
        </w:tc>
        <w:tc>
          <w:tcPr>
            <w:tcW w:w="2720" w:type="dxa"/>
            <w:vAlign w:val="bottom"/>
            <w:tcBorders>
              <w:top w:val="single" w:sz="8" w:color="0000FF"/>
            </w:tcBorders>
            <w:gridSpan w:val="21"/>
          </w:tcPr>
          <w:p>
            <w:pPr>
              <w:spacing w:after="0"/>
              <w:rPr>
                <w:sz w:val="13"/>
                <w:szCs w:val="13"/>
                <w:color w:val="auto"/>
              </w:rPr>
            </w:pPr>
          </w:p>
        </w:tc>
        <w:tc>
          <w:tcPr>
            <w:tcW w:w="300" w:type="dxa"/>
            <w:vAlign w:val="bottom"/>
            <w:gridSpan w:val="6"/>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r>
      <w:tr>
        <w:trPr>
          <w:trHeight w:val="155"/>
        </w:trPr>
        <w:tc>
          <w:tcPr>
            <w:tcW w:w="128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302 of the Sarbanes-Oxley Act</w:t>
            </w:r>
          </w:p>
        </w:tc>
        <w:tc>
          <w:tcPr>
            <w:tcW w:w="1160" w:type="dxa"/>
            <w:vAlign w:val="bottom"/>
            <w:tcBorders>
              <w:top w:val="single" w:sz="8" w:color="0000FF"/>
            </w:tcBorders>
            <w:gridSpan w:val="14"/>
          </w:tcPr>
          <w:p>
            <w:pPr>
              <w:spacing w:after="0"/>
              <w:rPr>
                <w:sz w:val="13"/>
                <w:szCs w:val="13"/>
                <w:color w:val="auto"/>
              </w:rPr>
            </w:pPr>
          </w:p>
        </w:tc>
        <w:tc>
          <w:tcPr>
            <w:tcW w:w="320" w:type="dxa"/>
            <w:vAlign w:val="bottom"/>
            <w:gridSpan w:val="7"/>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128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302 of the Sarbanes-Oxley Act</w:t>
            </w:r>
          </w:p>
        </w:tc>
        <w:tc>
          <w:tcPr>
            <w:tcW w:w="1120" w:type="dxa"/>
            <w:vAlign w:val="bottom"/>
            <w:tcBorders>
              <w:top w:val="single" w:sz="8" w:color="0000FF"/>
            </w:tcBorders>
            <w:gridSpan w:val="13"/>
          </w:tcPr>
          <w:p>
            <w:pPr>
              <w:spacing w:after="0"/>
              <w:rPr>
                <w:sz w:val="13"/>
                <w:szCs w:val="13"/>
                <w:color w:val="auto"/>
              </w:rPr>
            </w:pPr>
          </w:p>
        </w:tc>
        <w:tc>
          <w:tcPr>
            <w:tcW w:w="360" w:type="dxa"/>
            <w:vAlign w:val="bottom"/>
            <w:gridSpan w:val="8"/>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w:t>
            </w: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Furnished herewith</w:t>
            </w: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r>
      <w:tr>
        <w:trPr>
          <w:trHeight w:val="156"/>
        </w:trPr>
        <w:tc>
          <w:tcPr>
            <w:tcW w:w="1280" w:type="dxa"/>
            <w:vAlign w:val="bottom"/>
          </w:tcPr>
          <w:p>
            <w:pPr>
              <w:spacing w:after="0"/>
              <w:rPr>
                <w:sz w:val="13"/>
                <w:szCs w:val="13"/>
                <w:color w:val="auto"/>
              </w:rPr>
            </w:pPr>
          </w:p>
        </w:tc>
        <w:tc>
          <w:tcPr>
            <w:tcW w:w="36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Chief Financial Officer pursuant to Section 906 of</w:t>
            </w:r>
          </w:p>
        </w:tc>
        <w:tc>
          <w:tcPr>
            <w:tcW w:w="60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the</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6"/>
              </w:rPr>
              <w:t>Sarbanes-Oxley Act</w:t>
            </w:r>
          </w:p>
        </w:tc>
        <w:tc>
          <w:tcPr>
            <w:tcW w:w="2440" w:type="dxa"/>
            <w:vAlign w:val="bottom"/>
            <w:tcBorders>
              <w:top w:val="single" w:sz="8" w:color="0000FF"/>
            </w:tcBorders>
            <w:gridSpan w:val="16"/>
          </w:tcPr>
          <w:p>
            <w:pPr>
              <w:spacing w:after="0"/>
              <w:rPr>
                <w:sz w:val="14"/>
                <w:szCs w:val="14"/>
                <w:color w:val="auto"/>
              </w:rPr>
            </w:pPr>
          </w:p>
        </w:tc>
        <w:tc>
          <w:tcPr>
            <w:tcW w:w="400" w:type="dxa"/>
            <w:vAlign w:val="bottom"/>
            <w:gridSpan w:val="9"/>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99.6</w:t>
            </w:r>
          </w:p>
        </w:tc>
        <w:tc>
          <w:tcPr>
            <w:tcW w:w="4260" w:type="dxa"/>
            <w:vAlign w:val="bottom"/>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Compensation Recovery (“Clawback”) Policy</w:t>
              </w:r>
            </w:hyperlink>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6, 2024</w:t>
            </w:r>
          </w:p>
        </w:tc>
      </w:tr>
      <w:tr>
        <w:trPr>
          <w:trHeight w:val="24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2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80" w:type="dxa"/>
            <w:vAlign w:val="bottom"/>
            <w:gridSpan w:val="20"/>
          </w:tcPr>
          <w:p>
            <w:pPr>
              <w:spacing w:after="0"/>
              <w:rPr>
                <w:sz w:val="21"/>
                <w:szCs w:val="21"/>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60" w:type="dxa"/>
            <w:vAlign w:val="bottom"/>
            <w:gridSpan w:val="3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9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84"/>
        </w:trPr>
        <w:tc>
          <w:tcPr>
            <w:tcW w:w="1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60" w:type="dxa"/>
            <w:vAlign w:val="bottom"/>
            <w:gridSpan w:val="3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84"/>
        </w:trPr>
        <w:tc>
          <w:tcPr>
            <w:tcW w:w="1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260" w:type="dxa"/>
            <w:vAlign w:val="bottom"/>
            <w:gridSpan w:val="3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84"/>
        </w:trPr>
        <w:tc>
          <w:tcPr>
            <w:tcW w:w="1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4260" w:type="dxa"/>
            <w:vAlign w:val="bottom"/>
            <w:gridSpan w:val="3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96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28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with applicable taxonomy extension information</w:t>
            </w: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30" w:lineRule="exact"/>
        <w:rPr>
          <w:sz w:val="20"/>
          <w:szCs w:val="20"/>
          <w:color w:val="auto"/>
        </w:rPr>
      </w:pPr>
    </w:p>
    <w:p>
      <w:pPr>
        <w:ind w:left="400" w:hanging="374"/>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400" w:right="20" w:hanging="374"/>
        <w:spacing w:after="0" w:line="234" w:lineRule="auto"/>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601(a)(5) of Regulation S-K. The Company undertakes to furnish a copy of all omitted schedules and exhibits to the SEC upon its request.</w:t>
      </w:r>
    </w:p>
    <w:p>
      <w:pPr>
        <w:spacing w:after="0" w:line="10" w:lineRule="exact"/>
        <w:rPr>
          <w:sz w:val="20"/>
          <w:szCs w:val="20"/>
          <w:color w:val="auto"/>
        </w:rPr>
      </w:pPr>
    </w:p>
    <w:p>
      <w:pPr>
        <w:jc w:val="both"/>
        <w:ind w:left="400" w:hanging="374"/>
        <w:spacing w:after="0" w:line="224" w:lineRule="auto"/>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8" w:right="7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9"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11, 2025</w:t>
      </w:r>
    </w:p>
    <w:p>
      <w:pPr>
        <w:spacing w:after="0" w:line="34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GUIDEWIRE SOFTWARE, INC.</w:t>
      </w:r>
    </w:p>
    <w:p>
      <w:pPr>
        <w:spacing w:after="0" w:line="142" w:lineRule="exact"/>
        <w:rPr>
          <w:sz w:val="20"/>
          <w:szCs w:val="20"/>
          <w:color w:val="auto"/>
        </w:rPr>
      </w:pPr>
    </w:p>
    <w:p>
      <w:pPr>
        <w:ind w:left="6400"/>
        <w:spacing w:after="0"/>
        <w:tabs>
          <w:tab w:leader="none" w:pos="69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20320</wp:posOffset>
            </wp:positionV>
            <wp:extent cx="28117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Jeff Cooper</w:t>
      </w:r>
    </w:p>
    <w:p>
      <w:pPr>
        <w:spacing w:after="0" w:line="2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Chief Financial Officer</w:t>
      </w:r>
    </w:p>
    <w:p>
      <w:pPr>
        <w:ind w:left="69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37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4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MIKE ROSENBAUM</w:t>
            </w:r>
          </w:p>
        </w:tc>
        <w:tc>
          <w:tcPr>
            <w:tcW w:w="8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  (Principal</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107"/>
        </w:trPr>
        <w:tc>
          <w:tcPr>
            <w:tcW w:w="370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Executive Officer)</w:t>
            </w: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Mike Rosenbaum</w:t>
            </w:r>
          </w:p>
        </w:tc>
        <w:tc>
          <w:tcPr>
            <w:tcW w:w="8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JEFF COOPER</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62"/>
        </w:trPr>
        <w:tc>
          <w:tcPr>
            <w:tcW w:w="370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 Cooper</w:t>
            </w:r>
          </w:p>
        </w:tc>
        <w:tc>
          <w:tcPr>
            <w:tcW w:w="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DAVID PETERSON</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Accounting  Officer  (Principal  Accounting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54"/>
        </w:trPr>
        <w:tc>
          <w:tcPr>
            <w:tcW w:w="37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David Peterson</w:t>
            </w:r>
          </w:p>
        </w:tc>
        <w:tc>
          <w:tcPr>
            <w:tcW w:w="80" w:type="dxa"/>
            <w:vAlign w:val="bottom"/>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KELLER</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 (Chairman of the Board)</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Keller</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MARK ANQUILLARE</w:t>
            </w:r>
          </w:p>
        </w:tc>
        <w:tc>
          <w:tcPr>
            <w:tcW w:w="80" w:type="dxa"/>
            <w:vAlign w:val="bottom"/>
          </w:tcPr>
          <w:p>
            <w:pPr>
              <w:spacing w:after="0"/>
              <w:rPr>
                <w:sz w:val="23"/>
                <w:szCs w:val="23"/>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Anquillare</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BAUER</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Bauer</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MARGARET DILLON</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Margaret Dillon</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PAUL LAVIN</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Paul Lavin</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CATHERINE P. LEGO</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Catherine P. Lego</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RAJANI RAMANATHAN</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Rajani Ramanathan</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JEFFREY SLOAN</w:t>
            </w:r>
          </w:p>
        </w:tc>
        <w:tc>
          <w:tcPr>
            <w:tcW w:w="8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11, 2025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Jeffrey Sloan</w:t>
            </w: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July 31, 2025, Guidewire Software, Inc. (“Guidewire,” the “Company,” “we,” “us,” or “our”) had one class of securities registered under Section 12 of the Securities Exchange Act of 1934, as amended (the “Exchange Act”): our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$0.0001 per share, and 25,000,000 shares of undesignated preferred stock, par value $0.0001 per share. The following description of our common stock does not purport to be complete and is subject to, and qualified in its entirety by, our amended and restated certificate of incorporation and our amended and restated bylaws, each of which is incorporated by reference as an exhibit to our Annual Report on Form 10-K for the fiscal year ended July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the stockholders. Subject to preferences that may be applicable to any outstanding shares of preferred stock, holders of common stock are entitled to receive ratably such dividends when, as and if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and traded on the New York Stock Exchange under the symbol “GWRE.”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 Limitations on Rights of Holders of Common Stock</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rights and terms of redemption (including sinking fund provisions),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could have the effect of delaying, deferring or discouraging another party from acquiring control of</w:t>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us. These provisions, which are summarized below, may have the effect of discouraging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Limits on ability of stockholders to call a special meeting</w:t>
      </w:r>
      <w:r>
        <w:rPr>
          <w:rFonts w:ascii="Times New Roman" w:cs="Times New Roman" w:eastAsia="Times New Roman" w:hAnsi="Times New Roman"/>
          <w:sz w:val="18"/>
          <w:szCs w:val="18"/>
          <w:color w:val="auto"/>
        </w:rPr>
        <w:t>. Our amended and restated bylaws provide that special meetings of the stockholders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only by the board of directors, chairperson of the board of directors, chief executive officer or president (in the absence of a chief executive officer) or the corporate secretary at the written request of one or more holders of record of at least twenty percent (20%) of all then outstanding shares of capital stock of the Company entitled to vote at such meeting, but a special meeting may not be called by any other person or persons. These restrictions may delay the ability of our stockholders to force consideration of a proposal, including the removal of directors.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amended and restated bylaws establish advance notice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Delaware General Corporation Law provides that stockholders are not entitled to the right to cumulate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unless our amended and restated certificate of incorporation provides otherwise. Our amended and restated certificate of incorporation and amended and restated bylaws do not expressly provide for cumulative voting.</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Board Composition and Filling Vacancies</w:t>
      </w:r>
      <w:r>
        <w:rPr>
          <w:rFonts w:ascii="Times New Roman" w:cs="Times New Roman" w:eastAsia="Times New Roman" w:hAnsi="Times New Roman"/>
          <w:sz w:val="18"/>
          <w:szCs w:val="18"/>
          <w:color w:val="auto"/>
        </w:rPr>
        <w:t>. Each director shall be elected to hold office for a one-year term expiring at the next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subject to any limitations set forth in our amended and restated bylaws. Any vacancy on our board of directors, however occurring, including a vacancy resulting from an increase in the size of our board, may only be filled by the affirmative vote of a majority of our directors then in office even if less than a quorum. The limitations on treatment of vacancies have the effect of making it more difficult for stockholders to change the composition of our board of directors.</w:t>
      </w:r>
    </w:p>
    <w:p>
      <w:pPr>
        <w:spacing w:after="0" w:line="1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No Written Consent of Stockholders</w:t>
      </w:r>
      <w:r>
        <w:rPr>
          <w:rFonts w:ascii="Times New Roman" w:cs="Times New Roman" w:eastAsia="Times New Roman" w:hAnsi="Times New Roman"/>
          <w:sz w:val="18"/>
          <w:szCs w:val="18"/>
          <w:color w:val="auto"/>
        </w:rPr>
        <w:t>. Our amended and restated certificate of incorporation provides that all stockholder actions are required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Amendment to Certificate of Incorporation and Bylaws</w:t>
      </w:r>
      <w:r>
        <w:rPr>
          <w:rFonts w:ascii="Times New Roman" w:cs="Times New Roman" w:eastAsia="Times New Roman" w:hAnsi="Times New Roman"/>
          <w:sz w:val="18"/>
          <w:szCs w:val="18"/>
          <w:color w:val="auto"/>
        </w:rPr>
        <w:t>. Any amendment of our amended and restated certificate of incorporation must first be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Our amended and restated bylaws may be amended by the affirmative vote of a majority of the directors then in office, subject to any limitations set forth in our amended and restated bylaws; and may also be amended by the affirmative vote of a majority of the outstanding shares entitled to vote on the amendment.</w:t>
      </w:r>
    </w:p>
    <w:p>
      <w:pPr>
        <w:spacing w:after="0" w:line="182"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amended and restated certificate of incorporation provides for 25,000,000 authorized shares of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authorized but unissued shares of preferred stock may enable our board of directors to render more difficult or to discourage an attempt to obtain control of us by means of</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6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i w:val="1"/>
          <w:iCs w:val="1"/>
          <w:color w:val="auto"/>
        </w:rPr>
        <w:t>Exclusive Forum</w:t>
      </w:r>
      <w:r>
        <w:rPr>
          <w:rFonts w:ascii="Times New Roman" w:cs="Times New Roman" w:eastAsia="Times New Roman" w:hAnsi="Times New Roman"/>
          <w:sz w:val="17"/>
          <w:szCs w:val="17"/>
          <w:color w:val="auto"/>
        </w:rPr>
        <w:t>. Our amended and restated bylaws provide that, unless we consent in writing to the selection of an alternative forum, the Court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Chancery of the State of Delaware (or, if the Chancery Court does not have jurisdiction, the federal district court for the District of Delaware or other state courts of the State of Delaware) will be the sole and exclusive forum for any state law claim for (i) any derivative action or proceeding brought on our behalf; (ii) any action asserting a claim of breach of a fiduciary duty owed by any of our directors, officers or other employees to us or our stockholders;</w:t>
      </w:r>
    </w:p>
    <w:p>
      <w:pPr>
        <w:spacing w:after="0" w:line="1" w:lineRule="exact"/>
        <w:rPr>
          <w:sz w:val="20"/>
          <w:szCs w:val="20"/>
          <w:color w:val="auto"/>
        </w:rPr>
      </w:pPr>
    </w:p>
    <w:p>
      <w:pPr>
        <w:ind w:right="60" w:firstLine="8"/>
        <w:spacing w:after="0" w:line="251"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 Provision will not apply to any causes of action arising under the the Exchange Act or any other claim for which the federal courts of the United States have exclusive jurisdiction.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of 1933, as amended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w:t>
      </w:r>
    </w:p>
    <w:p>
      <w:pPr>
        <w:spacing w:after="0" w:line="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20" w:lineRule="exact"/>
        <w:rPr>
          <w:sz w:val="20"/>
          <w:szCs w:val="20"/>
          <w:color w:val="auto"/>
        </w:rPr>
      </w:pPr>
    </w:p>
    <w:p>
      <w:pPr>
        <w:ind w:left="980" w:hanging="401"/>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of the corporation approved either the business combination or the transaction which resulted in the stockholder becoming an interested stockholder;</w:t>
      </w:r>
    </w:p>
    <w:p>
      <w:pPr>
        <w:spacing w:after="0" w:line="324" w:lineRule="exact"/>
        <w:rPr>
          <w:rFonts w:ascii="Times New Roman" w:cs="Times New Roman" w:eastAsia="Times New Roman" w:hAnsi="Times New Roman"/>
          <w:sz w:val="18"/>
          <w:szCs w:val="18"/>
          <w:color w:val="auto"/>
        </w:rPr>
      </w:pPr>
    </w:p>
    <w:p>
      <w:pPr>
        <w:ind w:left="980" w:hanging="401"/>
        <w:spacing w:after="0" w:line="224"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13" w:lineRule="exact"/>
        <w:rPr>
          <w:sz w:val="20"/>
          <w:szCs w:val="20"/>
          <w:color w:val="auto"/>
        </w:rPr>
      </w:pPr>
    </w:p>
    <w:p>
      <w:pPr>
        <w:ind w:left="980" w:right="20" w:hanging="401"/>
        <w:spacing w:after="0" w:line="22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66" w:lineRule="exact"/>
        <w:rPr>
          <w:sz w:val="20"/>
          <w:szCs w:val="20"/>
          <w:color w:val="auto"/>
        </w:rPr>
      </w:pPr>
    </w:p>
    <w:p>
      <w:pPr>
        <w:ind w:left="980" w:hanging="40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360" w:lineRule="exact"/>
        <w:rPr>
          <w:rFonts w:ascii="Times New Roman" w:cs="Times New Roman" w:eastAsia="Times New Roman" w:hAnsi="Times New Roman"/>
          <w:sz w:val="18"/>
          <w:szCs w:val="18"/>
          <w:color w:val="auto"/>
        </w:rPr>
      </w:pPr>
    </w:p>
    <w:p>
      <w:pPr>
        <w:ind w:left="980" w:hanging="40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360" w:lineRule="exact"/>
        <w:rPr>
          <w:rFonts w:ascii="Times New Roman" w:cs="Times New Roman" w:eastAsia="Times New Roman" w:hAnsi="Times New Roman"/>
          <w:sz w:val="18"/>
          <w:szCs w:val="18"/>
          <w:color w:val="auto"/>
        </w:rPr>
      </w:pPr>
    </w:p>
    <w:p>
      <w:pPr>
        <w:ind w:left="980" w:hanging="401"/>
        <w:spacing w:after="0" w:line="23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347" w:lineRule="exact"/>
        <w:rPr>
          <w:rFonts w:ascii="Times New Roman" w:cs="Times New Roman" w:eastAsia="Times New Roman" w:hAnsi="Times New Roman"/>
          <w:sz w:val="18"/>
          <w:szCs w:val="18"/>
          <w:color w:val="auto"/>
        </w:rPr>
      </w:pPr>
    </w:p>
    <w:p>
      <w:pPr>
        <w:ind w:left="980" w:right="280" w:hanging="401"/>
        <w:spacing w:after="0" w:line="23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347" w:lineRule="exact"/>
        <w:rPr>
          <w:rFonts w:ascii="Times New Roman" w:cs="Times New Roman" w:eastAsia="Times New Roman" w:hAnsi="Times New Roman"/>
          <w:sz w:val="18"/>
          <w:szCs w:val="18"/>
          <w:color w:val="auto"/>
        </w:rPr>
      </w:pPr>
    </w:p>
    <w:p>
      <w:pPr>
        <w:ind w:left="980" w:right="180" w:hanging="401"/>
        <w:spacing w:after="0" w:line="23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2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00"/>
          </w:cols>
          <w:pgMar w:left="320" w:top="1440" w:right="3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0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257"/>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3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Country or Jurisdiction</w:t>
            </w: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Pty Ltd.</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Servicos de Software do Brasil Ltda.</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Canada ULC</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Denmark ApS</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France S.A.S.</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GmbH</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Solutions India Private Limited</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(Ireland) Limited</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(Italy) S.r.l.</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Japan K.K.</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(Malaysia) Sdn. Bhd.</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Mexico, S. de R.L. de C.V.</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Poland Sp. z o.o.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Quantee Sp. z o.o.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Spain, S.L.</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(Switzerland) GmbH</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Software (UK) Limited</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Cyence LLC</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EagleEye Analytics, LLC</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HazardHub LLC</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Guidewire International Holdings, Inc.</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r>
    </w:tbl>
    <w:p>
      <w:pPr>
        <w:sectPr>
          <w:pgSz w:w="11900" w:h="16838" w:orient="portrait"/>
          <w:cols w:equalWidth="0" w:num="1">
            <w:col w:w="11200"/>
          </w:cols>
          <w:pgMar w:left="36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(333-285642, 333-277769, 333-270321, 333-253968, 333-230132, 333-223478, 333-216530, 333-209906, 333-202541, 333-194290, 333-187004, and 333-479799) on Form S-8 of Guidewire Software, Inc. of our report dated September 11, 2025, with respect to the consolidated financial statements of Guidewire Software, Inc. and the effectiveness of internal control over financial reporting</w:t>
      </w:r>
      <w:r>
        <w:rPr>
          <w:rFonts w:ascii="Times New Roman" w:cs="Times New Roman" w:eastAsia="Times New Roman" w:hAnsi="Times New Roman"/>
          <w:sz w:val="18"/>
          <w:szCs w:val="18"/>
          <w:i w:val="1"/>
          <w:iCs w:val="1"/>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2025</w:t>
      </w:r>
    </w:p>
    <w:p>
      <w:pPr>
        <w:sectPr>
          <w:pgSz w:w="11900" w:h="16838" w:orient="portrait"/>
          <w:cols w:equalWidth="0" w:num="1">
            <w:col w:w="11240"/>
          </w:cols>
          <w:pgMar w:left="320" w:top="110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Mike Rosenbaum, certify that:</w:t>
      </w:r>
    </w:p>
    <w:p>
      <w:pPr>
        <w:spacing w:after="0" w:line="4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Guidewire Software, Inc.;</w:t>
      </w:r>
    </w:p>
    <w:p>
      <w:pPr>
        <w:spacing w:after="0" w:line="72"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Times New Roman" w:cs="Times New Roman" w:eastAsia="Times New Roman" w:hAnsi="Times New Roman"/>
          <w:sz w:val="16"/>
          <w:szCs w:val="16"/>
          <w:color w:val="auto"/>
        </w:rPr>
      </w:pPr>
    </w:p>
    <w:p>
      <w:pPr>
        <w:ind w:left="1300" w:right="100" w:hanging="320"/>
        <w:spacing w:after="0" w:line="263"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6"/>
          <w:szCs w:val="16"/>
          <w:color w:val="auto"/>
        </w:rPr>
      </w:pPr>
    </w:p>
    <w:p>
      <w:pPr>
        <w:ind w:left="1300" w:right="160" w:hanging="320"/>
        <w:spacing w:after="0" w:line="280"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7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6"/>
          <w:szCs w:val="16"/>
          <w:color w:val="auto"/>
        </w:rPr>
      </w:pPr>
    </w:p>
    <w:p>
      <w:pPr>
        <w:ind w:left="1300" w:right="300" w:hanging="320"/>
        <w:spacing w:after="0" w:line="298" w:lineRule="auto"/>
        <w:tabs>
          <w:tab w:leader="none" w:pos="130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11, 2025</w:t>
      </w:r>
      <w:r>
        <w:rPr>
          <w:sz w:val="20"/>
          <w:szCs w:val="20"/>
          <w:color w:val="auto"/>
        </w:rPr>
        <w:tab/>
      </w:r>
      <w:r>
        <w:rPr>
          <w:rFonts w:ascii="Times New Roman" w:cs="Times New Roman" w:eastAsia="Times New Roman" w:hAnsi="Times New Roman"/>
          <w:sz w:val="16"/>
          <w:szCs w:val="16"/>
          <w:color w:val="auto"/>
        </w:rPr>
        <w:t>By:</w:t>
        <w:tab/>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20320</wp:posOffset>
            </wp:positionV>
            <wp:extent cx="31375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Mike Rosenbaum</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Jeff Cooper, certify that:</w:t>
      </w:r>
    </w:p>
    <w:p>
      <w:pPr>
        <w:spacing w:after="0" w:line="4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Guidewire Software, Inc.;</w:t>
      </w:r>
    </w:p>
    <w:p>
      <w:pPr>
        <w:spacing w:after="0" w:line="72"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Times New Roman" w:cs="Times New Roman" w:eastAsia="Times New Roman" w:hAnsi="Times New Roman"/>
          <w:sz w:val="16"/>
          <w:szCs w:val="16"/>
          <w:color w:val="auto"/>
        </w:rPr>
      </w:pPr>
    </w:p>
    <w:p>
      <w:pPr>
        <w:ind w:left="1300" w:right="100" w:hanging="320"/>
        <w:spacing w:after="0" w:line="263"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6"/>
          <w:szCs w:val="16"/>
          <w:color w:val="auto"/>
        </w:rPr>
      </w:pPr>
    </w:p>
    <w:p>
      <w:pPr>
        <w:ind w:left="1300" w:right="160" w:hanging="320"/>
        <w:spacing w:after="0" w:line="280"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7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6"/>
          <w:szCs w:val="16"/>
          <w:color w:val="auto"/>
        </w:rPr>
      </w:pPr>
    </w:p>
    <w:p>
      <w:pPr>
        <w:ind w:left="1300" w:right="300" w:hanging="320"/>
        <w:spacing w:after="0" w:line="298" w:lineRule="auto"/>
        <w:tabs>
          <w:tab w:leader="none" w:pos="13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11, 2025</w:t>
      </w:r>
      <w:r>
        <w:rPr>
          <w:sz w:val="20"/>
          <w:szCs w:val="20"/>
          <w:color w:val="auto"/>
        </w:rPr>
        <w:tab/>
      </w:r>
      <w:r>
        <w:rPr>
          <w:rFonts w:ascii="Times New Roman" w:cs="Times New Roman" w:eastAsia="Times New Roman" w:hAnsi="Times New Roman"/>
          <w:sz w:val="16"/>
          <w:szCs w:val="16"/>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20320</wp:posOffset>
            </wp:positionV>
            <wp:extent cx="31375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Jeff Cooper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6"/>
          <w:szCs w:val="16"/>
          <w:b w:val="1"/>
          <w:bCs w:val="1"/>
          <w:color w:val="auto"/>
        </w:rPr>
        <w:t>xhibit 32.1</w:t>
      </w:r>
    </w:p>
    <w:p>
      <w:pPr>
        <w:spacing w:after="0" w:line="9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92" w:lineRule="exact"/>
        <w:rPr>
          <w:sz w:val="20"/>
          <w:szCs w:val="20"/>
          <w:color w:val="auto"/>
        </w:rPr>
      </w:pPr>
    </w:p>
    <w:p>
      <w:pPr>
        <w:ind w:right="100" w:firstLine="162"/>
        <w:spacing w:after="0" w:line="259" w:lineRule="auto"/>
        <w:rPr>
          <w:sz w:val="20"/>
          <w:szCs w:val="20"/>
          <w:color w:val="auto"/>
        </w:rPr>
      </w:pPr>
      <w:r>
        <w:rPr>
          <w:rFonts w:ascii="Times New Roman" w:cs="Times New Roman" w:eastAsia="Times New Roman" w:hAnsi="Times New Roman"/>
          <w:sz w:val="16"/>
          <w:szCs w:val="16"/>
          <w:color w:val="auto"/>
        </w:rPr>
        <w:t>In connection with the Annual Report on Form 10-K of Guidewire Software, Inc. for the year ended July 31, 2025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14"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11, 2025</w:t>
      </w:r>
      <w:r>
        <w:rPr>
          <w:sz w:val="20"/>
          <w:szCs w:val="20"/>
          <w:color w:val="auto"/>
        </w:rPr>
        <w:tab/>
      </w:r>
      <w:r>
        <w:rPr>
          <w:rFonts w:ascii="Times New Roman" w:cs="Times New Roman" w:eastAsia="Times New Roman" w:hAnsi="Times New Roman"/>
          <w:sz w:val="16"/>
          <w:szCs w:val="16"/>
          <w:color w:val="auto"/>
        </w:rPr>
        <w:t>By:</w:t>
        <w:tab/>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20320</wp:posOffset>
            </wp:positionV>
            <wp:extent cx="31375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Mike Rosenbaum</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43" w:lineRule="exact"/>
        <w:rPr>
          <w:sz w:val="20"/>
          <w:szCs w:val="20"/>
          <w:color w:val="auto"/>
        </w:rPr>
      </w:pPr>
    </w:p>
    <w:p>
      <w:pPr>
        <w:ind w:right="60" w:firstLine="202"/>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on Form 10-K of Guidewire Software, Inc. for the year ended July 31, 2025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4"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6"/>
          <w:szCs w:val="16"/>
          <w:color w:val="auto"/>
        </w:rPr>
        <w:t>Date:</w:t>
        <w:tab/>
        <w:t>September 11, 2025</w:t>
      </w:r>
      <w:r>
        <w:rPr>
          <w:sz w:val="20"/>
          <w:szCs w:val="20"/>
          <w:color w:val="auto"/>
        </w:rPr>
        <w:tab/>
      </w:r>
      <w:r>
        <w:rPr>
          <w:rFonts w:ascii="Times New Roman" w:cs="Times New Roman" w:eastAsia="Times New Roman" w:hAnsi="Times New Roman"/>
          <w:sz w:val="16"/>
          <w:szCs w:val="16"/>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20320</wp:posOffset>
            </wp:positionV>
            <wp:extent cx="31375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Jeff Cooper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Roman"/>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0"/>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Letter"/>
      <w:start w:val="1"/>
    </w:lvl>
    <w:lvl w:ilvl="1">
      <w:lvlJc w:val="left"/>
      <w:lvlText w:val="%2."/>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Roman"/>
      <w:start w:val="3"/>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1"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25" Type="http://schemas.openxmlformats.org/officeDocument/2006/relationships/hyperlink" Target="https://www.sec.gov/Archives/edgar/data/1528396/000152839622000021/gwre-1312022x10xqex31resta.htm" TargetMode="External"/><Relationship Id="rId126" Type="http://schemas.openxmlformats.org/officeDocument/2006/relationships/hyperlink" Target="https://www.sec.gov/Archives/edgar/data/0001528396/000119312522310042/d440763dex32.htm" TargetMode="External"/><Relationship Id="rId127" Type="http://schemas.openxmlformats.org/officeDocument/2006/relationships/hyperlink" Target="https://www.sec.gov/Archives/edgar/data/1528396/000119312512006627/d219721dex41.htm" TargetMode="External"/><Relationship Id="rId128" Type="http://schemas.openxmlformats.org/officeDocument/2006/relationships/hyperlink" Target="https://www.sec.gov/Archives/edgar/data/1528396/000119312524239688/d869983dex41.htm" TargetMode="External"/><Relationship Id="rId129" Type="http://schemas.openxmlformats.org/officeDocument/2006/relationships/hyperlink" Target="https://www.sec.gov/Archives/edgar/data/1528396/000152839620000012/a104-formltip.htm" TargetMode="External"/><Relationship Id="rId130" Type="http://schemas.openxmlformats.org/officeDocument/2006/relationships/hyperlink" Target="https://www.sec.gov/Archives/edgar/data/1528396/000152839623000017/gwreex101guidewire_ar2020s.htm" TargetMode="External"/><Relationship Id="rId131" Type="http://schemas.openxmlformats.org/officeDocument/2006/relationships/hyperlink" Target="https://www.sec.gov/Archives/edgar/data/1528396/000152839623000089/gwreex109-10k.htm" TargetMode="External"/><Relationship Id="rId132" Type="http://schemas.openxmlformats.org/officeDocument/2006/relationships/hyperlink" Target="https://www.sec.gov/Archives/edgar/data/1528396/000152839623000089/gwreex1010-10k.htm" TargetMode="External"/><Relationship Id="rId133" Type="http://schemas.openxmlformats.org/officeDocument/2006/relationships/hyperlink" Target="https://www.sec.gov/Archives/edgar/data/1528396/000152839623000089/gwreex1011-10k.htm" TargetMode="External"/><Relationship Id="rId134" Type="http://schemas.openxmlformats.org/officeDocument/2006/relationships/hyperlink" Target="https://www.sec.gov/Archives/edgar/data/1528396/000152839623000089/gwreex1012-10k.htm" TargetMode="External"/><Relationship Id="rId135" Type="http://schemas.openxmlformats.org/officeDocument/2006/relationships/hyperlink" Target="https://www.sec.gov/Archives/edgar/data/1528396/000152839623000089/gwreex1013-10k.htm" TargetMode="External"/><Relationship Id="rId136" Type="http://schemas.openxmlformats.org/officeDocument/2006/relationships/hyperlink" Target="https://www.sec.gov/Archives/edgar/data/1528396/000152839623000089/gwreex1014-10k.htm" TargetMode="External"/><Relationship Id="rId137" Type="http://schemas.openxmlformats.org/officeDocument/2006/relationships/hyperlink" Target="https://www.sec.gov/Archives/edgar/data/1528396/000119312511339725/d219721dex1012.htm" TargetMode="External"/><Relationship Id="rId138" Type="http://schemas.openxmlformats.org/officeDocument/2006/relationships/hyperlink" Target="https://www.sec.gov/Archives/edgar/data/1528396/000152839623000089/gwreex1016-10k.htm" TargetMode="External"/><Relationship Id="rId139" Type="http://schemas.openxmlformats.org/officeDocument/2006/relationships/hyperlink" Target="https://www.sec.gov/Archives/edgar/data/1528396/000119312519213000/d759177dex101.htm" TargetMode="External"/><Relationship Id="rId140" Type="http://schemas.openxmlformats.org/officeDocument/2006/relationships/hyperlink" Target="https://www.sec.gov/Archives/edgar/data/1528396/000152839620000070/gwre-ex101rosenbaumexe.htm" TargetMode="External"/><Relationship Id="rId142" Type="http://schemas.openxmlformats.org/officeDocument/2006/relationships/hyperlink" Target="https://www.sec.gov/Archives/edgar/data/1528396/000152839622000053/gwreex101executiveagreem.htm" TargetMode="External"/><Relationship Id="rId143" Type="http://schemas.openxmlformats.org/officeDocument/2006/relationships/hyperlink" Target="https://www.sec.gov/Archives/edgar/data/1528396/000119312511285002/d219721dex101.htm" TargetMode="External"/><Relationship Id="rId144" Type="http://schemas.openxmlformats.org/officeDocument/2006/relationships/hyperlink" Target="https://www.sec.gov/Archives/edgar/data/1528396/000152839618000037/hqleasebaymeadowsex1011.htm" TargetMode="External"/><Relationship Id="rId145" Type="http://schemas.openxmlformats.org/officeDocument/2006/relationships/hyperlink" Target="https://www.sec.gov/Archives/edgar/data/1528396/000152839623000024/ex101-guidewireleaseassign.htm" TargetMode="External"/><Relationship Id="rId146" Type="http://schemas.openxmlformats.org/officeDocument/2006/relationships/hyperlink" Target="https://www.sec.gov/Archives/edgar/data/1528396/000152839623000024/ex102-guidewiresublease.htm" TargetMode="External"/><Relationship Id="rId147" Type="http://schemas.openxmlformats.org/officeDocument/2006/relationships/hyperlink" Target="https://www.sec.gov/Archives/edgar/data/1528396/000119312524239688/d869983dex101.htm" TargetMode="External"/><Relationship Id="rId148" Type="http://schemas.openxmlformats.org/officeDocument/2006/relationships/hyperlink" Target="https://www.sec.gov/Archives/edgar/data/1528396/000152839624000160/exhibit101toxcreditagreeme.htm" TargetMode="External"/><Relationship Id="rId149" Type="http://schemas.openxmlformats.org/officeDocument/2006/relationships/hyperlink" Target="https://www.sec.gov/Archives/edgar/data/1528396/000152839624000162/gwreex191insidertradingp.htm" TargetMode="External"/><Relationship Id="rId150" Type="http://schemas.openxmlformats.org/officeDocument/2006/relationships/hyperlink" Target="https://www.sec.gov/Archives/edgar/data/1528396/000152839624000162/gwreex996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2025-09-11T15:34:31Z</dcterms:created>
  <dcterms:modified xsi:type="dcterms:W3CDTF">2025-09-11T15:34:31Z</dcterms:modified>
</cp:coreProperties>
</file>