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ind w:left="29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45" w:lineRule="exact"/>
        <w:rPr>
          <w:sz w:val="24"/>
          <w:szCs w:val="24"/>
          <w:color w:val="auto"/>
        </w:rPr>
      </w:pPr>
    </w:p>
    <w:p>
      <w:pPr>
        <w:ind w:left="296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6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2" w:lineRule="exact"/>
        <w:rPr>
          <w:sz w:val="24"/>
          <w:szCs w:val="24"/>
          <w:color w:val="auto"/>
        </w:rPr>
      </w:pPr>
    </w:p>
    <w:p>
      <w:pPr>
        <w:ind w:left="240" w:hanging="237"/>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80" w:lineRule="exact"/>
        <w:rPr>
          <w:rFonts w:ascii="MS PGothic" w:cs="MS PGothic" w:eastAsia="MS PGothic" w:hAnsi="MS PGothic"/>
          <w:sz w:val="21"/>
          <w:szCs w:val="21"/>
          <w:color w:val="auto"/>
        </w:rPr>
      </w:pPr>
    </w:p>
    <w:p>
      <w:pPr>
        <w:ind w:left="3840"/>
        <w:spacing w:after="0"/>
        <w:rPr>
          <w:rFonts w:ascii="MS PGothic" w:cs="MS PGothic" w:eastAsia="MS PGothic" w:hAnsi="MS PGothic"/>
          <w:sz w:val="21"/>
          <w:szCs w:val="21"/>
          <w:color w:val="auto"/>
        </w:rPr>
      </w:pPr>
      <w:r>
        <w:rPr>
          <w:rFonts w:ascii="Arial" w:cs="Arial" w:eastAsia="Arial" w:hAnsi="Arial"/>
          <w:sz w:val="17"/>
          <w:szCs w:val="17"/>
          <w:b w:val="1"/>
          <w:bCs w:val="1"/>
          <w:color w:val="auto"/>
        </w:rPr>
        <w:t>For the quarterly period ended October 31, 2021</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32" w:lineRule="exact"/>
        <w:rPr>
          <w:sz w:val="24"/>
          <w:szCs w:val="24"/>
          <w:color w:val="auto"/>
        </w:rPr>
      </w:pPr>
    </w:p>
    <w:p>
      <w:pPr>
        <w:ind w:left="260" w:hanging="257"/>
        <w:spacing w:after="0"/>
        <w:tabs>
          <w:tab w:leader="none" w:pos="26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67" w:lineRule="exact"/>
        <w:rPr>
          <w:sz w:val="24"/>
          <w:szCs w:val="24"/>
          <w:color w:val="auto"/>
        </w:rPr>
      </w:pPr>
    </w:p>
    <w:p>
      <w:pPr>
        <w:ind w:left="3860"/>
        <w:spacing w:after="0"/>
        <w:tabs>
          <w:tab w:leader="none" w:pos="6620" w:val="left"/>
          <w:tab w:leader="none" w:pos="73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001-35394</w:t>
      </w:r>
    </w:p>
    <w:p>
      <w:pPr>
        <w:spacing w:after="0" w:line="28" w:lineRule="exact"/>
        <w:rPr>
          <w:sz w:val="24"/>
          <w:szCs w:val="24"/>
          <w:color w:val="auto"/>
        </w:rPr>
      </w:pPr>
    </w:p>
    <w:p>
      <w:pPr>
        <w:ind w:left="298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Guidewire Software,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61" w:lineRule="exact"/>
        <w:rPr>
          <w:sz w:val="24"/>
          <w:szCs w:val="24"/>
          <w:color w:val="auto"/>
        </w:rPr>
      </w:pPr>
    </w:p>
    <w:p>
      <w:pPr>
        <w:ind w:left="298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48" w:lineRule="exact"/>
        <w:rPr>
          <w:sz w:val="24"/>
          <w:szCs w:val="24"/>
          <w:color w:val="auto"/>
        </w:rPr>
      </w:pPr>
    </w:p>
    <w:tbl>
      <w:tblPr>
        <w:tblLayout w:type="fixed"/>
        <w:tblInd w:w="1680" w:type="dxa"/>
        <w:tblCellMar>
          <w:top w:w="0" w:type="dxa"/>
          <w:left w:w="0" w:type="dxa"/>
          <w:bottom w:w="0" w:type="dxa"/>
          <w:right w:w="0" w:type="dxa"/>
        </w:tblCellMar>
      </w:tblPr>
      <w:tr>
        <w:trPr>
          <w:trHeight w:val="198"/>
        </w:trPr>
        <w:tc>
          <w:tcPr>
            <w:tcW w:w="4320" w:type="dxa"/>
            <w:vAlign w:val="bottom"/>
          </w:tcPr>
          <w:p>
            <w:pPr>
              <w:jc w:val="center"/>
              <w:ind w:right="1686"/>
              <w:spacing w:after="0"/>
              <w:rPr>
                <w:sz w:val="20"/>
                <w:szCs w:val="20"/>
                <w:color w:val="auto"/>
              </w:rPr>
            </w:pPr>
            <w:r>
              <w:rPr>
                <w:rFonts w:ascii="Arial" w:cs="Arial" w:eastAsia="Arial" w:hAnsi="Arial"/>
                <w:sz w:val="15"/>
                <w:szCs w:val="15"/>
                <w:b w:val="1"/>
                <w:bCs w:val="1"/>
                <w:color w:val="auto"/>
                <w:w w:val="97"/>
              </w:rPr>
              <w:t>Delaware</w:t>
            </w:r>
          </w:p>
        </w:tc>
        <w:tc>
          <w:tcPr>
            <w:tcW w:w="2820" w:type="dxa"/>
            <w:vAlign w:val="bottom"/>
          </w:tcPr>
          <w:p>
            <w:pPr>
              <w:jc w:val="right"/>
              <w:ind w:right="86"/>
              <w:spacing w:after="0"/>
              <w:rPr>
                <w:sz w:val="20"/>
                <w:szCs w:val="20"/>
                <w:color w:val="auto"/>
              </w:rPr>
            </w:pPr>
            <w:r>
              <w:rPr>
                <w:rFonts w:ascii="Arial" w:cs="Arial" w:eastAsia="Arial" w:hAnsi="Arial"/>
                <w:sz w:val="15"/>
                <w:szCs w:val="15"/>
                <w:b w:val="1"/>
                <w:bCs w:val="1"/>
                <w:color w:val="auto"/>
              </w:rPr>
              <w:t>36-4468504</w:t>
            </w:r>
          </w:p>
        </w:tc>
      </w:tr>
      <w:tr>
        <w:trPr>
          <w:trHeight w:val="138"/>
        </w:trPr>
        <w:tc>
          <w:tcPr>
            <w:tcW w:w="4320" w:type="dxa"/>
            <w:vAlign w:val="bottom"/>
          </w:tcPr>
          <w:p>
            <w:pPr>
              <w:jc w:val="center"/>
              <w:ind w:right="1686"/>
              <w:spacing w:after="0" w:line="139" w:lineRule="exact"/>
              <w:rPr>
                <w:sz w:val="20"/>
                <w:szCs w:val="20"/>
                <w:color w:val="auto"/>
              </w:rPr>
            </w:pPr>
            <w:r>
              <w:rPr>
                <w:rFonts w:ascii="Arial" w:cs="Arial" w:eastAsia="Arial" w:hAnsi="Arial"/>
                <w:sz w:val="14"/>
                <w:szCs w:val="14"/>
                <w:b w:val="1"/>
                <w:bCs w:val="1"/>
                <w:color w:val="auto"/>
                <w:w w:val="89"/>
              </w:rPr>
              <w:t>(State or other jurisdiction of</w:t>
            </w:r>
          </w:p>
        </w:tc>
        <w:tc>
          <w:tcPr>
            <w:tcW w:w="2820" w:type="dxa"/>
            <w:vAlign w:val="bottom"/>
          </w:tcPr>
          <w:p>
            <w:pPr>
              <w:jc w:val="center"/>
              <w:ind w:left="1666"/>
              <w:spacing w:after="0" w:line="139" w:lineRule="exact"/>
              <w:rPr>
                <w:sz w:val="20"/>
                <w:szCs w:val="20"/>
                <w:color w:val="auto"/>
              </w:rPr>
            </w:pPr>
            <w:r>
              <w:rPr>
                <w:rFonts w:ascii="Arial" w:cs="Arial" w:eastAsia="Arial" w:hAnsi="Arial"/>
                <w:sz w:val="14"/>
                <w:szCs w:val="14"/>
                <w:b w:val="1"/>
                <w:bCs w:val="1"/>
                <w:color w:val="auto"/>
                <w:w w:val="93"/>
              </w:rPr>
              <w:t>(I.R.S. Employer</w:t>
            </w:r>
          </w:p>
        </w:tc>
      </w:tr>
      <w:tr>
        <w:trPr>
          <w:trHeight w:val="178"/>
        </w:trPr>
        <w:tc>
          <w:tcPr>
            <w:tcW w:w="4320" w:type="dxa"/>
            <w:vAlign w:val="bottom"/>
          </w:tcPr>
          <w:p>
            <w:pPr>
              <w:jc w:val="center"/>
              <w:ind w:right="1686"/>
              <w:spacing w:after="0"/>
              <w:rPr>
                <w:sz w:val="20"/>
                <w:szCs w:val="20"/>
                <w:color w:val="auto"/>
              </w:rPr>
            </w:pPr>
            <w:r>
              <w:rPr>
                <w:rFonts w:ascii="Arial" w:cs="Arial" w:eastAsia="Arial" w:hAnsi="Arial"/>
                <w:sz w:val="14"/>
                <w:szCs w:val="14"/>
                <w:b w:val="1"/>
                <w:bCs w:val="1"/>
                <w:color w:val="auto"/>
                <w:w w:val="90"/>
              </w:rPr>
              <w:t>Incorporation or organization)</w:t>
            </w:r>
          </w:p>
        </w:tc>
        <w:tc>
          <w:tcPr>
            <w:tcW w:w="2820" w:type="dxa"/>
            <w:vAlign w:val="bottom"/>
          </w:tcPr>
          <w:p>
            <w:pPr>
              <w:jc w:val="center"/>
              <w:ind w:left="1666"/>
              <w:spacing w:after="0"/>
              <w:rPr>
                <w:sz w:val="20"/>
                <w:szCs w:val="20"/>
                <w:color w:val="auto"/>
              </w:rPr>
            </w:pPr>
            <w:r>
              <w:rPr>
                <w:rFonts w:ascii="Arial" w:cs="Arial" w:eastAsia="Arial" w:hAnsi="Arial"/>
                <w:sz w:val="14"/>
                <w:szCs w:val="14"/>
                <w:b w:val="1"/>
                <w:bCs w:val="1"/>
                <w:color w:val="auto"/>
                <w:w w:val="91"/>
              </w:rPr>
              <w:t>Identification No.)</w:t>
            </w:r>
          </w:p>
        </w:tc>
      </w:tr>
      <w:tr>
        <w:trPr>
          <w:trHeight w:val="208"/>
        </w:trPr>
        <w:tc>
          <w:tcPr>
            <w:tcW w:w="4320" w:type="dxa"/>
            <w:vAlign w:val="bottom"/>
          </w:tcPr>
          <w:p>
            <w:pPr>
              <w:jc w:val="center"/>
              <w:ind w:right="1686"/>
              <w:spacing w:after="0"/>
              <w:rPr>
                <w:sz w:val="20"/>
                <w:szCs w:val="20"/>
                <w:color w:val="auto"/>
              </w:rPr>
            </w:pPr>
            <w:r>
              <w:rPr>
                <w:rFonts w:ascii="Arial" w:cs="Arial" w:eastAsia="Arial" w:hAnsi="Arial"/>
                <w:sz w:val="15"/>
                <w:szCs w:val="15"/>
                <w:b w:val="1"/>
                <w:bCs w:val="1"/>
                <w:color w:val="auto"/>
                <w:w w:val="93"/>
              </w:rPr>
              <w:t>2850 S. Delaware St., Suite 400</w:t>
            </w:r>
          </w:p>
        </w:tc>
        <w:tc>
          <w:tcPr>
            <w:tcW w:w="2820" w:type="dxa"/>
            <w:vAlign w:val="bottom"/>
          </w:tcPr>
          <w:p>
            <w:pPr>
              <w:jc w:val="right"/>
              <w:ind w:right="266"/>
              <w:spacing w:after="0"/>
              <w:rPr>
                <w:sz w:val="20"/>
                <w:szCs w:val="20"/>
                <w:color w:val="auto"/>
              </w:rPr>
            </w:pPr>
            <w:r>
              <w:rPr>
                <w:rFonts w:ascii="Arial" w:cs="Arial" w:eastAsia="Arial" w:hAnsi="Arial"/>
                <w:sz w:val="15"/>
                <w:szCs w:val="15"/>
                <w:b w:val="1"/>
                <w:bCs w:val="1"/>
                <w:color w:val="auto"/>
              </w:rPr>
              <w:t>94403</w:t>
            </w:r>
          </w:p>
        </w:tc>
      </w:tr>
      <w:tr>
        <w:trPr>
          <w:trHeight w:val="202"/>
        </w:trPr>
        <w:tc>
          <w:tcPr>
            <w:tcW w:w="4320" w:type="dxa"/>
            <w:vAlign w:val="bottom"/>
          </w:tcPr>
          <w:p>
            <w:pPr>
              <w:jc w:val="center"/>
              <w:ind w:right="1686"/>
              <w:spacing w:after="0"/>
              <w:rPr>
                <w:sz w:val="20"/>
                <w:szCs w:val="20"/>
                <w:color w:val="auto"/>
              </w:rPr>
            </w:pPr>
            <w:r>
              <w:rPr>
                <w:rFonts w:ascii="Arial" w:cs="Arial" w:eastAsia="Arial" w:hAnsi="Arial"/>
                <w:sz w:val="15"/>
                <w:szCs w:val="15"/>
                <w:b w:val="1"/>
                <w:bCs w:val="1"/>
                <w:color w:val="auto"/>
                <w:w w:val="96"/>
              </w:rPr>
              <w:t>San Mateo, California</w:t>
            </w:r>
          </w:p>
        </w:tc>
        <w:tc>
          <w:tcPr>
            <w:tcW w:w="2820" w:type="dxa"/>
            <w:vAlign w:val="bottom"/>
          </w:tcPr>
          <w:p>
            <w:pPr>
              <w:spacing w:after="0"/>
              <w:rPr>
                <w:sz w:val="17"/>
                <w:szCs w:val="17"/>
                <w:color w:val="auto"/>
              </w:rPr>
            </w:pPr>
          </w:p>
        </w:tc>
      </w:tr>
      <w:tr>
        <w:trPr>
          <w:trHeight w:val="205"/>
        </w:trPr>
        <w:tc>
          <w:tcPr>
            <w:tcW w:w="4320" w:type="dxa"/>
            <w:vAlign w:val="bottom"/>
          </w:tcPr>
          <w:p>
            <w:pPr>
              <w:jc w:val="center"/>
              <w:ind w:right="1686"/>
              <w:spacing w:after="0"/>
              <w:rPr>
                <w:sz w:val="20"/>
                <w:szCs w:val="20"/>
                <w:color w:val="auto"/>
              </w:rPr>
            </w:pPr>
            <w:r>
              <w:rPr>
                <w:rFonts w:ascii="Arial" w:cs="Arial" w:eastAsia="Arial" w:hAnsi="Arial"/>
                <w:sz w:val="15"/>
                <w:szCs w:val="15"/>
                <w:b w:val="1"/>
                <w:bCs w:val="1"/>
                <w:color w:val="auto"/>
                <w:w w:val="91"/>
              </w:rPr>
              <w:t>(Address of principal executive offices)</w:t>
            </w:r>
          </w:p>
        </w:tc>
        <w:tc>
          <w:tcPr>
            <w:tcW w:w="2820" w:type="dxa"/>
            <w:vAlign w:val="bottom"/>
          </w:tcPr>
          <w:p>
            <w:pPr>
              <w:jc w:val="center"/>
              <w:ind w:left="1666"/>
              <w:spacing w:after="0"/>
              <w:rPr>
                <w:sz w:val="20"/>
                <w:szCs w:val="20"/>
                <w:color w:val="auto"/>
              </w:rPr>
            </w:pPr>
            <w:r>
              <w:rPr>
                <w:rFonts w:ascii="Arial" w:cs="Arial" w:eastAsia="Arial" w:hAnsi="Arial"/>
                <w:sz w:val="15"/>
                <w:szCs w:val="15"/>
                <w:b w:val="1"/>
                <w:bCs w:val="1"/>
                <w:color w:val="auto"/>
                <w:w w:val="97"/>
              </w:rPr>
              <w:t>(Zip Code)</w:t>
            </w:r>
          </w:p>
        </w:tc>
      </w:tr>
    </w:tbl>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(650) 357-9100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7"/>
          <w:szCs w:val="17"/>
          <w:color w:val="auto"/>
        </w:rPr>
        <w:t>______________________________________________________________</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9" w:lineRule="exact"/>
        <w:rPr>
          <w:sz w:val="24"/>
          <w:szCs w:val="24"/>
          <w:color w:val="auto"/>
        </w:rPr>
      </w:pPr>
    </w:p>
    <w:tbl>
      <w:tblPr>
        <w:tblLayout w:type="fixed"/>
        <w:tblInd w:w="850" w:type="dxa"/>
        <w:tblCellMar>
          <w:top w:w="0" w:type="dxa"/>
          <w:left w:w="0" w:type="dxa"/>
          <w:bottom w:w="0" w:type="dxa"/>
          <w:right w:w="0" w:type="dxa"/>
        </w:tblCellMar>
      </w:tblPr>
      <w:tr>
        <w:trPr>
          <w:trHeight w:val="231"/>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1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GWRE</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310" w:lineRule="exact"/>
        <w:rPr>
          <w:sz w:val="24"/>
          <w:szCs w:val="24"/>
          <w:color w:val="auto"/>
        </w:rPr>
      </w:pPr>
    </w:p>
    <w:p>
      <w:pPr>
        <w:ind w:firstLine="425"/>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400" w:firstLine="425"/>
        <w:spacing w:after="0" w:line="29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96" w:lineRule="exact"/>
        <w:tabs>
          <w:tab w:leader="none" w:pos="580" w:val="left"/>
          <w:tab w:leader="none" w:pos="124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140" w:firstLine="425"/>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433705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798"/>
        </w:trPr>
        <w:tc>
          <w:tcPr>
            <w:tcW w:w="1800" w:type="dxa"/>
            <w:vAlign w:val="bottom"/>
            <w:gridSpan w:val="3"/>
          </w:tcPr>
          <w:p>
            <w:pPr>
              <w:spacing w:after="0"/>
              <w:rPr>
                <w:sz w:val="20"/>
                <w:szCs w:val="20"/>
                <w:color w:val="auto"/>
              </w:rPr>
            </w:pPr>
            <w:r>
              <w:rPr>
                <w:rFonts w:ascii="Arial" w:cs="Arial" w:eastAsia="Arial" w:hAnsi="Arial"/>
                <w:sz w:val="17"/>
                <w:szCs w:val="17"/>
                <w:color w:val="auto"/>
              </w:rPr>
              <w:t>Large accelerated filer</w:t>
            </w:r>
          </w:p>
        </w:tc>
        <w:tc>
          <w:tcPr>
            <w:tcW w:w="318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60"/>
              <w:spacing w:after="0"/>
              <w:rPr>
                <w:sz w:val="20"/>
                <w:szCs w:val="20"/>
                <w:color w:val="auto"/>
              </w:rPr>
            </w:pPr>
            <w:r>
              <w:rPr>
                <w:rFonts w:ascii="Arial" w:cs="Arial" w:eastAsia="Arial" w:hAnsi="Arial"/>
                <w:sz w:val="17"/>
                <w:szCs w:val="17"/>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1800" w:type="dxa"/>
            <w:vAlign w:val="bottom"/>
            <w:gridSpan w:val="3"/>
          </w:tcPr>
          <w:p>
            <w:pPr>
              <w:spacing w:after="0"/>
              <w:rPr>
                <w:sz w:val="20"/>
                <w:szCs w:val="20"/>
                <w:color w:val="auto"/>
              </w:rPr>
            </w:pPr>
            <w:r>
              <w:rPr>
                <w:rFonts w:ascii="Arial" w:cs="Arial" w:eastAsia="Arial" w:hAnsi="Arial"/>
                <w:sz w:val="17"/>
                <w:szCs w:val="17"/>
                <w:color w:val="auto"/>
              </w:rPr>
              <w:t>Non-accelerated filer</w:t>
            </w:r>
          </w:p>
        </w:tc>
        <w:tc>
          <w:tcPr>
            <w:tcW w:w="318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60"/>
              <w:spacing w:after="0"/>
              <w:rPr>
                <w:sz w:val="20"/>
                <w:szCs w:val="20"/>
                <w:color w:val="auto"/>
              </w:rPr>
            </w:pPr>
            <w:r>
              <w:rPr>
                <w:rFonts w:ascii="Arial" w:cs="Arial" w:eastAsia="Arial" w:hAnsi="Arial"/>
                <w:sz w:val="17"/>
                <w:szCs w:val="17"/>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516"/>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60" w:type="dxa"/>
            <w:vAlign w:val="bottom"/>
          </w:tcPr>
          <w:p>
            <w:pPr>
              <w:ind w:left="2760"/>
              <w:spacing w:after="0"/>
              <w:rPr>
                <w:sz w:val="20"/>
                <w:szCs w:val="20"/>
                <w:color w:val="auto"/>
              </w:rPr>
            </w:pPr>
            <w:r>
              <w:rPr>
                <w:rFonts w:ascii="Arial" w:cs="Arial" w:eastAsia="Arial" w:hAnsi="Arial"/>
                <w:sz w:val="17"/>
                <w:szCs w:val="17"/>
                <w:color w:val="auto"/>
              </w:rPr>
              <w:t>Emerging growth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9" w:lineRule="exact"/>
        <w:rPr>
          <w:sz w:val="20"/>
          <w:szCs w:val="20"/>
          <w:color w:val="auto"/>
        </w:rPr>
      </w:pPr>
    </w:p>
    <w:p>
      <w:pPr>
        <w:ind w:firstLine="387"/>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34" w:lineRule="exact"/>
        <w:rPr>
          <w:sz w:val="20"/>
          <w:szCs w:val="20"/>
          <w:color w:val="auto"/>
        </w:rPr>
      </w:pPr>
    </w:p>
    <w:p>
      <w:pPr>
        <w:ind w:left="420" w:right="180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On November 30, 2021, the registrant had 83,308,062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447040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6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0440" w:type="dxa"/>
            <w:vAlign w:val="bottom"/>
            <w:gridSpan w:val="20"/>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636"/>
        </w:trPr>
        <w:tc>
          <w:tcPr>
            <w:tcW w:w="3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60" w:type="dxa"/>
            <w:vAlign w:val="bottom"/>
            <w:gridSpan w:val="10"/>
          </w:tcPr>
          <w:p>
            <w:pPr>
              <w:jc w:val="center"/>
              <w:ind w:right="3020"/>
              <w:spacing w:after="0"/>
              <w:rPr>
                <w:sz w:val="20"/>
                <w:szCs w:val="20"/>
                <w:color w:val="auto"/>
              </w:rPr>
            </w:pPr>
            <w:r>
              <w:rPr>
                <w:rFonts w:ascii="Arial" w:cs="Arial" w:eastAsia="Arial" w:hAnsi="Arial"/>
                <w:sz w:val="17"/>
                <w:szCs w:val="17"/>
                <w:b w:val="1"/>
                <w:bCs w:val="1"/>
                <w:color w:val="auto"/>
                <w:w w:val="93"/>
              </w:rPr>
              <w:t>Guidewire Software,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1"/>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7"/>
          </w:tcPr>
          <w:p>
            <w:pPr>
              <w:jc w:val="center"/>
              <w:ind w:right="4840"/>
              <w:spacing w:after="0"/>
              <w:rPr>
                <w:sz w:val="20"/>
                <w:szCs w:val="20"/>
                <w:color w:val="auto"/>
              </w:rPr>
            </w:pPr>
            <w:r>
              <w:rPr>
                <w:rFonts w:ascii="Arial" w:cs="Arial" w:eastAsia="Arial" w:hAnsi="Arial"/>
                <w:sz w:val="17"/>
                <w:szCs w:val="17"/>
                <w:b w:val="1"/>
                <w:bCs w:val="1"/>
                <w:color w:val="auto"/>
                <w:w w:val="94"/>
              </w:rPr>
              <w:t>Index</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0"/>
        </w:trPr>
        <w:tc>
          <w:tcPr>
            <w:tcW w:w="320" w:type="dxa"/>
            <w:vAlign w:val="bottom"/>
          </w:tcPr>
          <w:p>
            <w:pPr>
              <w:spacing w:after="0"/>
              <w:rPr>
                <w:sz w:val="24"/>
                <w:szCs w:val="24"/>
                <w:color w:val="auto"/>
              </w:rPr>
            </w:pPr>
          </w:p>
        </w:tc>
        <w:tc>
          <w:tcPr>
            <w:tcW w:w="2240" w:type="dxa"/>
            <w:vAlign w:val="bottom"/>
            <w:tcBorders>
              <w:bottom w:val="single" w:sz="8" w:color="0000FF"/>
            </w:tcBorders>
            <w:gridSpan w:val="8"/>
          </w:tcPr>
          <w:p>
            <w:pPr>
              <w:spacing w:after="0"/>
              <w:rPr>
                <w:rFonts w:ascii="Arial" w:cs="Arial" w:eastAsia="Arial" w:hAnsi="Arial"/>
                <w:sz w:val="17"/>
                <w:szCs w:val="17"/>
                <w:b w:val="1"/>
                <w:bCs w:val="1"/>
                <w:color w:val="0000FF"/>
                <w:w w:val="95"/>
              </w:rPr>
            </w:pPr>
            <w:hyperlink w:anchor="page5">
              <w:r>
                <w:rPr>
                  <w:rFonts w:ascii="Arial" w:cs="Arial" w:eastAsia="Arial" w:hAnsi="Arial"/>
                  <w:sz w:val="17"/>
                  <w:szCs w:val="17"/>
                  <w:b w:val="1"/>
                  <w:bCs w:val="1"/>
                  <w:color w:val="0000FF"/>
                  <w:w w:val="95"/>
                </w:rPr>
                <w:t>Part I – Financial Information</w:t>
              </w:r>
            </w:hyperlink>
          </w:p>
        </w:tc>
        <w:tc>
          <w:tcPr>
            <w:tcW w:w="820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580" w:type="dxa"/>
            <w:vAlign w:val="bottom"/>
            <w:gridSpan w:val="18"/>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Financial Statements (unaudited):</w:t>
              </w:r>
            </w:hyperlink>
          </w:p>
        </w:tc>
        <w:tc>
          <w:tcPr>
            <w:tcW w:w="480" w:type="dxa"/>
            <w:vAlign w:val="bottom"/>
            <w:gridSpan w:val="3"/>
          </w:tcPr>
          <w:p>
            <w:pPr>
              <w:jc w:val="right"/>
              <w:ind w:right="320"/>
              <w:spacing w:after="0"/>
              <w:rPr>
                <w:rFonts w:ascii="Arial" w:cs="Arial" w:eastAsia="Arial" w:hAnsi="Arial"/>
                <w:sz w:val="17"/>
                <w:szCs w:val="17"/>
                <w:color w:val="0000FF"/>
              </w:rPr>
            </w:pPr>
            <w:hyperlink w:anchor="page5">
              <w:r>
                <w:rPr>
                  <w:rFonts w:ascii="Arial" w:cs="Arial" w:eastAsia="Arial" w:hAnsi="Arial"/>
                  <w:sz w:val="17"/>
                  <w:szCs w:val="17"/>
                  <w:color w:val="0000FF"/>
                </w:rPr>
                <w:t>2</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580" w:type="dxa"/>
            <w:vAlign w:val="bottom"/>
            <w:gridSpan w:val="18"/>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 xml:space="preserve">Condensed Consolidated Balance Sheets as of </w:t>
              </w:r>
            </w:hyperlink>
            <w:r>
              <w:rPr>
                <w:rFonts w:ascii="Arial" w:cs="Arial" w:eastAsia="Arial" w:hAnsi="Arial"/>
                <w:sz w:val="17"/>
                <w:szCs w:val="17"/>
                <w:color w:val="0000FF"/>
              </w:rPr>
              <w:t xml:space="preserve">October 31, </w:t>
            </w:r>
            <w:hyperlink w:anchor="page5">
              <w:r>
                <w:rPr>
                  <w:rFonts w:ascii="Arial" w:cs="Arial" w:eastAsia="Arial" w:hAnsi="Arial"/>
                  <w:sz w:val="17"/>
                  <w:szCs w:val="17"/>
                  <w:color w:val="0000FF"/>
                </w:rPr>
                <w:t xml:space="preserve">2021 and July 31, </w:t>
              </w:r>
            </w:hyperlink>
            <w:r>
              <w:rPr>
                <w:rFonts w:ascii="Arial" w:cs="Arial" w:eastAsia="Arial" w:hAnsi="Arial"/>
                <w:sz w:val="17"/>
                <w:szCs w:val="17"/>
                <w:color w:val="0000FF"/>
              </w:rPr>
              <w:t>2021</w:t>
            </w:r>
          </w:p>
        </w:tc>
        <w:tc>
          <w:tcPr>
            <w:tcW w:w="480" w:type="dxa"/>
            <w:vAlign w:val="bottom"/>
            <w:gridSpan w:val="3"/>
          </w:tcPr>
          <w:p>
            <w:pPr>
              <w:jc w:val="right"/>
              <w:ind w:right="320"/>
              <w:spacing w:after="0"/>
              <w:rPr>
                <w:rFonts w:ascii="Arial" w:cs="Arial" w:eastAsia="Arial" w:hAnsi="Arial"/>
                <w:sz w:val="17"/>
                <w:szCs w:val="17"/>
                <w:color w:val="0000FF"/>
              </w:rPr>
            </w:pPr>
            <w:hyperlink w:anchor="page5">
              <w:r>
                <w:rPr>
                  <w:rFonts w:ascii="Arial" w:cs="Arial" w:eastAsia="Arial" w:hAnsi="Arial"/>
                  <w:sz w:val="17"/>
                  <w:szCs w:val="17"/>
                  <w:color w:val="0000FF"/>
                </w:rPr>
                <w:t>3</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580" w:type="dxa"/>
            <w:vAlign w:val="bottom"/>
            <w:gridSpan w:val="1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 xml:space="preserve">Condensed Consolidated Statements of Operations for the Three Months Ended October </w:t>
              </w:r>
            </w:hyperlink>
            <w:r>
              <w:rPr>
                <w:rFonts w:ascii="Arial" w:cs="Arial" w:eastAsia="Arial" w:hAnsi="Arial"/>
                <w:sz w:val="17"/>
                <w:szCs w:val="17"/>
                <w:color w:val="0000FF"/>
              </w:rPr>
              <w:t xml:space="preserve">31, </w:t>
            </w:r>
            <w:hyperlink w:anchor="page6">
              <w:r>
                <w:rPr>
                  <w:rFonts w:ascii="Arial" w:cs="Arial" w:eastAsia="Arial" w:hAnsi="Arial"/>
                  <w:sz w:val="17"/>
                  <w:szCs w:val="17"/>
                  <w:color w:val="0000FF"/>
                </w:rPr>
                <w:t xml:space="preserve">2021 and </w:t>
              </w:r>
            </w:hyperlink>
            <w:r>
              <w:rPr>
                <w:rFonts w:ascii="Arial" w:cs="Arial" w:eastAsia="Arial" w:hAnsi="Arial"/>
                <w:sz w:val="17"/>
                <w:szCs w:val="17"/>
                <w:color w:val="0000FF"/>
              </w:rPr>
              <w:t>2020</w:t>
            </w:r>
          </w:p>
        </w:tc>
        <w:tc>
          <w:tcPr>
            <w:tcW w:w="480" w:type="dxa"/>
            <w:vAlign w:val="bottom"/>
            <w:gridSpan w:val="3"/>
          </w:tcPr>
          <w:p>
            <w:pPr>
              <w:jc w:val="right"/>
              <w:ind w:right="320"/>
              <w:spacing w:after="0"/>
              <w:rPr>
                <w:rFonts w:ascii="Arial" w:cs="Arial" w:eastAsia="Arial" w:hAnsi="Arial"/>
                <w:sz w:val="17"/>
                <w:szCs w:val="17"/>
                <w:color w:val="0000FF"/>
              </w:rPr>
            </w:pPr>
            <w:hyperlink w:anchor="page6">
              <w:r>
                <w:rPr>
                  <w:rFonts w:ascii="Arial" w:cs="Arial" w:eastAsia="Arial" w:hAnsi="Arial"/>
                  <w:sz w:val="17"/>
                  <w:szCs w:val="17"/>
                  <w:color w:val="0000FF"/>
                </w:rPr>
                <w:t>4</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80" w:type="dxa"/>
            <w:vAlign w:val="bottom"/>
            <w:gridSpan w:val="16"/>
          </w:tcPr>
          <w:p>
            <w:pPr>
              <w:spacing w:after="0"/>
              <w:rPr>
                <w:rFonts w:ascii="Arial" w:cs="Arial" w:eastAsia="Arial" w:hAnsi="Arial"/>
                <w:sz w:val="17"/>
                <w:szCs w:val="17"/>
                <w:color w:val="0000FF"/>
                <w:w w:val="90"/>
              </w:rPr>
            </w:pPr>
            <w:hyperlink w:anchor="page7">
              <w:r>
                <w:rPr>
                  <w:rFonts w:ascii="Arial" w:cs="Arial" w:eastAsia="Arial" w:hAnsi="Arial"/>
                  <w:sz w:val="17"/>
                  <w:szCs w:val="17"/>
                  <w:color w:val="0000FF"/>
                  <w:w w:val="90"/>
                </w:rPr>
                <w:t xml:space="preserve">Condensed Consolidated Statements of Comprehensive Income (Loss) for the Three Months Ended October </w:t>
              </w:r>
            </w:hyperlink>
            <w:r>
              <w:rPr>
                <w:rFonts w:ascii="Arial" w:cs="Arial" w:eastAsia="Arial" w:hAnsi="Arial"/>
                <w:sz w:val="17"/>
                <w:szCs w:val="17"/>
                <w:color w:val="0000FF"/>
                <w:w w:val="90"/>
              </w:rPr>
              <w:t>31, 2021 and 2020</w:t>
            </w:r>
          </w:p>
        </w:tc>
        <w:tc>
          <w:tcPr>
            <w:tcW w:w="800" w:type="dxa"/>
            <w:vAlign w:val="bottom"/>
            <w:gridSpan w:val="2"/>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rPr>
            </w:pPr>
            <w:hyperlink w:anchor="page7">
              <w:r>
                <w:rPr>
                  <w:rFonts w:ascii="Arial" w:cs="Arial" w:eastAsia="Arial" w:hAnsi="Arial"/>
                  <w:sz w:val="17"/>
                  <w:szCs w:val="17"/>
                  <w:color w:val="0000FF"/>
                </w:rPr>
                <w:t>5</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580" w:type="dxa"/>
            <w:vAlign w:val="bottom"/>
            <w:gridSpan w:val="18"/>
          </w:tcPr>
          <w:p>
            <w:pPr>
              <w:spacing w:after="0"/>
              <w:rPr>
                <w:rFonts w:ascii="Arial" w:cs="Arial" w:eastAsia="Arial" w:hAnsi="Arial"/>
                <w:sz w:val="17"/>
                <w:szCs w:val="17"/>
                <w:color w:val="0000FF"/>
                <w:w w:val="97"/>
              </w:rPr>
            </w:pPr>
            <w:hyperlink w:anchor="page8">
              <w:r>
                <w:rPr>
                  <w:rFonts w:ascii="Arial" w:cs="Arial" w:eastAsia="Arial" w:hAnsi="Arial"/>
                  <w:sz w:val="17"/>
                  <w:szCs w:val="17"/>
                  <w:color w:val="0000FF"/>
                  <w:w w:val="97"/>
                </w:rPr>
                <w:t xml:space="preserve">Condensed Consolidated Statements of Changes in Stockholders’ Equity for the Three Months Ended October </w:t>
              </w:r>
            </w:hyperlink>
            <w:r>
              <w:rPr>
                <w:rFonts w:ascii="Arial" w:cs="Arial" w:eastAsia="Arial" w:hAnsi="Arial"/>
                <w:sz w:val="17"/>
                <w:szCs w:val="17"/>
                <w:color w:val="0000FF"/>
                <w:w w:val="97"/>
              </w:rPr>
              <w:t>31, 2021 and 2020</w:t>
            </w:r>
          </w:p>
        </w:tc>
        <w:tc>
          <w:tcPr>
            <w:tcW w:w="480" w:type="dxa"/>
            <w:vAlign w:val="bottom"/>
            <w:gridSpan w:val="3"/>
          </w:tcPr>
          <w:p>
            <w:pPr>
              <w:jc w:val="right"/>
              <w:ind w:right="320"/>
              <w:spacing w:after="0"/>
              <w:rPr>
                <w:rFonts w:ascii="Arial" w:cs="Arial" w:eastAsia="Arial" w:hAnsi="Arial"/>
                <w:sz w:val="17"/>
                <w:szCs w:val="17"/>
                <w:color w:val="0000FF"/>
              </w:rPr>
            </w:pPr>
            <w:hyperlink w:anchor="page8">
              <w:r>
                <w:rPr>
                  <w:rFonts w:ascii="Arial" w:cs="Arial" w:eastAsia="Arial" w:hAnsi="Arial"/>
                  <w:sz w:val="17"/>
                  <w:szCs w:val="17"/>
                  <w:color w:val="0000FF"/>
                </w:rPr>
                <w:t>6</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580" w:type="dxa"/>
            <w:vAlign w:val="bottom"/>
            <w:gridSpan w:val="18"/>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 xml:space="preserve">Condensed Consolidated Statements of Cash Flows for the Three Months Ended October </w:t>
              </w:r>
            </w:hyperlink>
            <w:r>
              <w:rPr>
                <w:rFonts w:ascii="Arial" w:cs="Arial" w:eastAsia="Arial" w:hAnsi="Arial"/>
                <w:sz w:val="17"/>
                <w:szCs w:val="17"/>
                <w:color w:val="0000FF"/>
              </w:rPr>
              <w:t xml:space="preserve">31, 2021 </w:t>
            </w:r>
            <w:hyperlink w:anchor="page9">
              <w:r>
                <w:rPr>
                  <w:rFonts w:ascii="Arial" w:cs="Arial" w:eastAsia="Arial" w:hAnsi="Arial"/>
                  <w:sz w:val="17"/>
                  <w:szCs w:val="17"/>
                  <w:color w:val="0000FF"/>
                </w:rPr>
                <w:t xml:space="preserve">and </w:t>
              </w:r>
            </w:hyperlink>
            <w:r>
              <w:rPr>
                <w:rFonts w:ascii="Arial" w:cs="Arial" w:eastAsia="Arial" w:hAnsi="Arial"/>
                <w:sz w:val="17"/>
                <w:szCs w:val="17"/>
                <w:color w:val="0000FF"/>
              </w:rPr>
              <w:t>2020</w:t>
            </w:r>
          </w:p>
        </w:tc>
        <w:tc>
          <w:tcPr>
            <w:tcW w:w="480" w:type="dxa"/>
            <w:vAlign w:val="bottom"/>
            <w:gridSpan w:val="3"/>
          </w:tcPr>
          <w:p>
            <w:pPr>
              <w:jc w:val="right"/>
              <w:ind w:right="320"/>
              <w:spacing w:after="0"/>
              <w:rPr>
                <w:rFonts w:ascii="Arial" w:cs="Arial" w:eastAsia="Arial" w:hAnsi="Arial"/>
                <w:sz w:val="17"/>
                <w:szCs w:val="17"/>
                <w:color w:val="0000FF"/>
              </w:rPr>
            </w:pPr>
            <w:hyperlink w:anchor="page9">
              <w:r>
                <w:rPr>
                  <w:rFonts w:ascii="Arial" w:cs="Arial" w:eastAsia="Arial" w:hAnsi="Arial"/>
                  <w:sz w:val="17"/>
                  <w:szCs w:val="17"/>
                  <w:color w:val="0000FF"/>
                </w:rPr>
                <w:t>7</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20" w:type="dxa"/>
            <w:vAlign w:val="bottom"/>
            <w:gridSpan w:val="9"/>
          </w:tcPr>
          <w:p>
            <w:pPr>
              <w:spacing w:after="0"/>
              <w:rPr>
                <w:rFonts w:ascii="Arial" w:cs="Arial" w:eastAsia="Arial" w:hAnsi="Arial"/>
                <w:sz w:val="17"/>
                <w:szCs w:val="17"/>
                <w:color w:val="0000FF"/>
                <w:w w:val="89"/>
              </w:rPr>
            </w:pPr>
            <w:hyperlink w:anchor="page11">
              <w:r>
                <w:rPr>
                  <w:rFonts w:ascii="Arial" w:cs="Arial" w:eastAsia="Arial" w:hAnsi="Arial"/>
                  <w:sz w:val="17"/>
                  <w:szCs w:val="17"/>
                  <w:color w:val="0000FF"/>
                  <w:w w:val="89"/>
                </w:rPr>
                <w:t>Notes to Condensed Consolidated Financial Statements</w:t>
              </w:r>
            </w:hyperlink>
          </w:p>
        </w:tc>
        <w:tc>
          <w:tcPr>
            <w:tcW w:w="5760" w:type="dxa"/>
            <w:vAlign w:val="bottom"/>
            <w:gridSpan w:val="9"/>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rPr>
            </w:pPr>
            <w:hyperlink w:anchor="page11">
              <w:r>
                <w:rPr>
                  <w:rFonts w:ascii="Arial" w:cs="Arial" w:eastAsia="Arial" w:hAnsi="Arial"/>
                  <w:sz w:val="17"/>
                  <w:szCs w:val="17"/>
                  <w:color w:val="0000FF"/>
                </w:rPr>
                <w:t>9</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580" w:type="dxa"/>
            <w:vAlign w:val="bottom"/>
            <w:gridSpan w:val="18"/>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Management’s Discussion and Analysis of Financial Condition and Results of Operations</w:t>
              </w:r>
            </w:hyperlink>
          </w:p>
        </w:tc>
        <w:tc>
          <w:tcPr>
            <w:tcW w:w="480" w:type="dxa"/>
            <w:vAlign w:val="bottom"/>
            <w:gridSpan w:val="3"/>
          </w:tcPr>
          <w:p>
            <w:pPr>
              <w:jc w:val="right"/>
              <w:ind w:right="320"/>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24</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20" w:type="dxa"/>
            <w:vAlign w:val="bottom"/>
            <w:gridSpan w:val="7"/>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gridSpan w:val="11"/>
          </w:tcPr>
          <w:p>
            <w:pPr>
              <w:spacing w:after="0"/>
              <w:rPr>
                <w:rFonts w:ascii="Arial" w:cs="Arial" w:eastAsia="Arial" w:hAnsi="Arial"/>
                <w:sz w:val="17"/>
                <w:szCs w:val="17"/>
                <w:color w:val="0000FF"/>
                <w:w w:val="93"/>
              </w:rPr>
            </w:pPr>
            <w:hyperlink w:anchor="page50">
              <w:r>
                <w:rPr>
                  <w:rFonts w:ascii="Arial" w:cs="Arial" w:eastAsia="Arial" w:hAnsi="Arial"/>
                  <w:sz w:val="17"/>
                  <w:szCs w:val="17"/>
                  <w:color w:val="0000FF"/>
                  <w:w w:val="93"/>
                </w:rPr>
                <w:t>Quantitative and Qualitative Disclosures about Market Risk</w:t>
              </w:r>
            </w:hyperlink>
          </w:p>
        </w:tc>
        <w:tc>
          <w:tcPr>
            <w:tcW w:w="5420" w:type="dxa"/>
            <w:vAlign w:val="bottom"/>
            <w:gridSpan w:val="7"/>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38</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gridSpan w:val="7"/>
          </w:tcPr>
          <w:p>
            <w:pPr>
              <w:spacing w:after="0"/>
              <w:rPr>
                <w:rFonts w:ascii="Arial" w:cs="Arial" w:eastAsia="Arial" w:hAnsi="Arial"/>
                <w:sz w:val="17"/>
                <w:szCs w:val="17"/>
                <w:color w:val="0000FF"/>
                <w:w w:val="89"/>
              </w:rPr>
            </w:pPr>
            <w:hyperlink w:anchor="page51">
              <w:r>
                <w:rPr>
                  <w:rFonts w:ascii="Arial" w:cs="Arial" w:eastAsia="Arial" w:hAnsi="Arial"/>
                  <w:sz w:val="17"/>
                  <w:szCs w:val="17"/>
                  <w:color w:val="0000FF"/>
                  <w:w w:val="89"/>
                </w:rPr>
                <w:t>Controls and Procedures</w:t>
              </w:r>
            </w:hyperlink>
          </w:p>
        </w:tc>
        <w:tc>
          <w:tcPr>
            <w:tcW w:w="2460" w:type="dxa"/>
            <w:vAlign w:val="bottom"/>
            <w:gridSpan w:val="4"/>
          </w:tcPr>
          <w:p>
            <w:pPr>
              <w:spacing w:after="0"/>
              <w:rPr>
                <w:sz w:val="21"/>
                <w:szCs w:val="21"/>
                <w:color w:val="auto"/>
              </w:rPr>
            </w:pPr>
          </w:p>
        </w:tc>
        <w:tc>
          <w:tcPr>
            <w:tcW w:w="5420" w:type="dxa"/>
            <w:vAlign w:val="bottom"/>
            <w:gridSpan w:val="7"/>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39</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2060" w:type="dxa"/>
            <w:vAlign w:val="bottom"/>
            <w:gridSpan w:val="6"/>
          </w:tcPr>
          <w:p>
            <w:pPr>
              <w:spacing w:after="0"/>
              <w:rPr>
                <w:rFonts w:ascii="Arial" w:cs="Arial" w:eastAsia="Arial" w:hAnsi="Arial"/>
                <w:sz w:val="17"/>
                <w:szCs w:val="17"/>
                <w:b w:val="1"/>
                <w:bCs w:val="1"/>
                <w:color w:val="0000FF"/>
                <w:w w:val="97"/>
              </w:rPr>
            </w:pPr>
            <w:hyperlink w:anchor="page51">
              <w:r>
                <w:rPr>
                  <w:rFonts w:ascii="Arial" w:cs="Arial" w:eastAsia="Arial" w:hAnsi="Arial"/>
                  <w:sz w:val="17"/>
                  <w:szCs w:val="17"/>
                  <w:b w:val="1"/>
                  <w:bCs w:val="1"/>
                  <w:color w:val="0000FF"/>
                  <w:w w:val="97"/>
                </w:rPr>
                <w:t>Part II – Other Information</w:t>
              </w:r>
            </w:hyperlink>
          </w:p>
        </w:tc>
        <w:tc>
          <w:tcPr>
            <w:tcW w:w="8380" w:type="dxa"/>
            <w:vAlign w:val="bottom"/>
            <w:gridSpan w:val="14"/>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40</w:t>
              </w:r>
            </w:hyperlink>
          </w:p>
        </w:tc>
      </w:tr>
      <w:tr>
        <w:trPr>
          <w:trHeight w:val="20"/>
        </w:trPr>
        <w:tc>
          <w:tcPr>
            <w:tcW w:w="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580" w:type="dxa"/>
            <w:vAlign w:val="bottom"/>
            <w:gridSpan w:val="18"/>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Legal Proceedings</w:t>
              </w:r>
            </w:hyperlink>
          </w:p>
        </w:tc>
        <w:tc>
          <w:tcPr>
            <w:tcW w:w="480" w:type="dxa"/>
            <w:vAlign w:val="bottom"/>
            <w:gridSpan w:val="3"/>
          </w:tcPr>
          <w:p>
            <w:pPr>
              <w:jc w:val="right"/>
              <w:ind w:right="320"/>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40</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80" w:type="dxa"/>
            <w:vAlign w:val="bottom"/>
            <w:gridSpan w:val="3"/>
          </w:tcPr>
          <w:p>
            <w:pPr>
              <w:spacing w:after="0"/>
              <w:rPr>
                <w:rFonts w:ascii="Arial" w:cs="Arial" w:eastAsia="Arial" w:hAnsi="Arial"/>
                <w:sz w:val="17"/>
                <w:szCs w:val="17"/>
                <w:color w:val="0000FF"/>
                <w:w w:val="90"/>
              </w:rPr>
            </w:pPr>
            <w:hyperlink w:anchor="page52">
              <w:r>
                <w:rPr>
                  <w:rFonts w:ascii="Arial" w:cs="Arial" w:eastAsia="Arial" w:hAnsi="Arial"/>
                  <w:sz w:val="17"/>
                  <w:szCs w:val="17"/>
                  <w:color w:val="0000FF"/>
                  <w:w w:val="90"/>
                </w:rPr>
                <w:t>Risk Factors</w:t>
              </w:r>
            </w:hyperlink>
          </w:p>
        </w:tc>
        <w:tc>
          <w:tcPr>
            <w:tcW w:w="400" w:type="dxa"/>
            <w:vAlign w:val="bottom"/>
            <w:gridSpan w:val="2"/>
          </w:tcPr>
          <w:p>
            <w:pPr>
              <w:spacing w:after="0"/>
              <w:rPr>
                <w:sz w:val="21"/>
                <w:szCs w:val="21"/>
                <w:color w:val="auto"/>
              </w:rPr>
            </w:pPr>
          </w:p>
        </w:tc>
        <w:tc>
          <w:tcPr>
            <w:tcW w:w="8300" w:type="dxa"/>
            <w:vAlign w:val="bottom"/>
            <w:gridSpan w:val="13"/>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40</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580" w:type="dxa"/>
            <w:vAlign w:val="bottom"/>
            <w:gridSpan w:val="18"/>
          </w:tcPr>
          <w:p>
            <w:pPr>
              <w:spacing w:after="0"/>
              <w:rPr>
                <w:rFonts w:ascii="Arial" w:cs="Arial" w:eastAsia="Arial" w:hAnsi="Arial"/>
                <w:sz w:val="17"/>
                <w:szCs w:val="17"/>
                <w:color w:val="0000FF"/>
              </w:rPr>
            </w:pPr>
            <w:hyperlink w:anchor="page74">
              <w:r>
                <w:rPr>
                  <w:rFonts w:ascii="Arial" w:cs="Arial" w:eastAsia="Arial" w:hAnsi="Arial"/>
                  <w:sz w:val="17"/>
                  <w:szCs w:val="17"/>
                  <w:color w:val="0000FF"/>
                </w:rPr>
                <w:t>Unregistered Sales of Equity Securities and Use of Proceeds</w:t>
              </w:r>
            </w:hyperlink>
          </w:p>
        </w:tc>
        <w:tc>
          <w:tcPr>
            <w:tcW w:w="480" w:type="dxa"/>
            <w:vAlign w:val="bottom"/>
            <w:gridSpan w:val="3"/>
          </w:tcPr>
          <w:p>
            <w:pPr>
              <w:jc w:val="right"/>
              <w:ind w:right="320"/>
              <w:spacing w:after="0"/>
              <w:rPr>
                <w:rFonts w:ascii="Arial" w:cs="Arial" w:eastAsia="Arial" w:hAnsi="Arial"/>
                <w:sz w:val="17"/>
                <w:szCs w:val="17"/>
                <w:color w:val="0000FF"/>
                <w:w w:val="73"/>
              </w:rPr>
            </w:pPr>
            <w:hyperlink w:anchor="page74">
              <w:r>
                <w:rPr>
                  <w:rFonts w:ascii="Arial" w:cs="Arial" w:eastAsia="Arial" w:hAnsi="Arial"/>
                  <w:sz w:val="17"/>
                  <w:szCs w:val="17"/>
                  <w:color w:val="0000FF"/>
                  <w:w w:val="73"/>
                </w:rPr>
                <w:t>62</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000" w:type="dxa"/>
            <w:vAlign w:val="bottom"/>
            <w:gridSpan w:val="1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580" w:type="dxa"/>
            <w:vAlign w:val="bottom"/>
            <w:gridSpan w:val="2"/>
          </w:tcPr>
          <w:p>
            <w:pPr>
              <w:spacing w:after="0"/>
              <w:rPr>
                <w:rFonts w:ascii="Arial" w:cs="Arial" w:eastAsia="Arial" w:hAnsi="Arial"/>
                <w:sz w:val="17"/>
                <w:szCs w:val="17"/>
                <w:color w:val="0000FF"/>
                <w:w w:val="94"/>
              </w:rPr>
            </w:pPr>
            <w:hyperlink w:anchor="page74">
              <w:r>
                <w:rPr>
                  <w:rFonts w:ascii="Arial" w:cs="Arial" w:eastAsia="Arial" w:hAnsi="Arial"/>
                  <w:sz w:val="17"/>
                  <w:szCs w:val="17"/>
                  <w:color w:val="0000FF"/>
                  <w:w w:val="94"/>
                </w:rPr>
                <w:t>Exhibits</w:t>
              </w:r>
            </w:hyperlink>
          </w:p>
        </w:tc>
        <w:tc>
          <w:tcPr>
            <w:tcW w:w="9000" w:type="dxa"/>
            <w:vAlign w:val="bottom"/>
            <w:gridSpan w:val="16"/>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w w:val="73"/>
              </w:rPr>
            </w:pPr>
            <w:hyperlink w:anchor="page74">
              <w:r>
                <w:rPr>
                  <w:rFonts w:ascii="Arial" w:cs="Arial" w:eastAsia="Arial" w:hAnsi="Arial"/>
                  <w:sz w:val="17"/>
                  <w:szCs w:val="17"/>
                  <w:color w:val="0000FF"/>
                  <w:w w:val="73"/>
                </w:rPr>
                <w:t>63</w:t>
              </w:r>
            </w:hyperlink>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1"/>
        </w:trPr>
        <w:tc>
          <w:tcPr>
            <w:tcW w:w="320" w:type="dxa"/>
            <w:vAlign w:val="bottom"/>
          </w:tcPr>
          <w:p>
            <w:pPr>
              <w:spacing w:after="0"/>
              <w:rPr>
                <w:sz w:val="21"/>
                <w:szCs w:val="21"/>
                <w:color w:val="auto"/>
              </w:rPr>
            </w:pPr>
          </w:p>
        </w:tc>
        <w:tc>
          <w:tcPr>
            <w:tcW w:w="860" w:type="dxa"/>
            <w:vAlign w:val="bottom"/>
            <w:gridSpan w:val="2"/>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Signatures</w:t>
              </w:r>
            </w:hyperlink>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3"/>
          </w:tcPr>
          <w:p>
            <w:pPr>
              <w:jc w:val="right"/>
              <w:ind w:right="320"/>
              <w:spacing w:after="0"/>
              <w:rPr>
                <w:rFonts w:ascii="Arial" w:cs="Arial" w:eastAsia="Arial" w:hAnsi="Arial"/>
                <w:sz w:val="17"/>
                <w:szCs w:val="17"/>
                <w:color w:val="0000FF"/>
                <w:w w:val="73"/>
              </w:rPr>
            </w:pPr>
            <w:hyperlink w:anchor="page75">
              <w:r>
                <w:rPr>
                  <w:rFonts w:ascii="Arial" w:cs="Arial" w:eastAsia="Arial" w:hAnsi="Arial"/>
                  <w:sz w:val="17"/>
                  <w:szCs w:val="17"/>
                  <w:color w:val="0000FF"/>
                  <w:w w:val="73"/>
                </w:rPr>
                <w:t>64</w:t>
              </w:r>
            </w:hyperlink>
          </w:p>
        </w:tc>
      </w:tr>
      <w:tr>
        <w:trPr>
          <w:trHeight w:val="1069"/>
        </w:trPr>
        <w:tc>
          <w:tcPr>
            <w:tcW w:w="32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 w:name="page4"/>
    <w:bookmarkEnd w:id="3"/>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236" w:lineRule="exact"/>
        <w:rPr>
          <w:sz w:val="20"/>
          <w:szCs w:val="20"/>
          <w:color w:val="auto"/>
        </w:rPr>
      </w:pPr>
    </w:p>
    <w:p>
      <w:pPr>
        <w:ind w:right="20" w:firstLine="309"/>
        <w:spacing w:after="0" w:line="256" w:lineRule="auto"/>
        <w:rPr>
          <w:sz w:val="20"/>
          <w:szCs w:val="20"/>
          <w:color w:val="auto"/>
        </w:rPr>
      </w:pPr>
      <w:r>
        <w:rPr>
          <w:rFonts w:ascii="Arial" w:cs="Arial" w:eastAsia="Arial" w:hAnsi="Arial"/>
          <w:sz w:val="16"/>
          <w:szCs w:val="16"/>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w:t>
      </w:r>
    </w:p>
    <w:p>
      <w:pPr>
        <w:spacing w:after="0" w:line="59" w:lineRule="exact"/>
        <w:rPr>
          <w:sz w:val="20"/>
          <w:szCs w:val="20"/>
          <w:color w:val="auto"/>
        </w:rPr>
      </w:pPr>
    </w:p>
    <w:p>
      <w:pPr>
        <w:jc w:val="both"/>
        <w:ind w:firstLine="425"/>
        <w:spacing w:after="0" w:line="246" w:lineRule="auto"/>
        <w:rPr>
          <w:sz w:val="20"/>
          <w:szCs w:val="20"/>
          <w:color w:val="auto"/>
        </w:rPr>
      </w:pPr>
      <w:r>
        <w:rPr>
          <w:rFonts w:ascii="Arial" w:cs="Arial" w:eastAsia="Arial" w:hAnsi="Arial"/>
          <w:sz w:val="17"/>
          <w:szCs w:val="17"/>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127"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i w:val="1"/>
          <w:iCs w:val="1"/>
          <w:color w:val="auto"/>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169"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SUMMARY OF MATERIAL RISKS ASSOCIATED WITH OUR BUSINESS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principal risks and uncertainties affecting our business include the following:</w:t>
      </w:r>
    </w:p>
    <w:p>
      <w:pPr>
        <w:spacing w:after="0" w:line="165"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growth prospects of the property &amp; casualty (“P&amp;C”) insurance industry and our company;</w:t>
      </w:r>
    </w:p>
    <w:p>
      <w:pPr>
        <w:spacing w:after="0" w:line="23" w:lineRule="exact"/>
        <w:rPr>
          <w:rFonts w:ascii="Arial" w:cs="Arial" w:eastAsia="Arial" w:hAnsi="Arial"/>
          <w:sz w:val="17"/>
          <w:szCs w:val="17"/>
          <w:color w:val="auto"/>
        </w:rPr>
      </w:pPr>
    </w:p>
    <w:p>
      <w:pPr>
        <w:ind w:left="620" w:right="20" w:hanging="307"/>
        <w:spacing w:after="0" w:line="25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5"/>
          <w:szCs w:val="15"/>
          <w:color w:val="auto"/>
        </w:rPr>
        <w:t>the developing market for subscription services and uncertainties attendant on emerging sales and delivery models, including the migration of our existing term license customers to cloud-based offerings on a subscription basis or failure to meet stipulated service levels with our subscription services;</w:t>
      </w:r>
    </w:p>
    <w:p>
      <w:pPr>
        <w:ind w:left="620" w:hanging="307"/>
        <w:spacing w:after="0" w:line="205"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trends in and timing of future sales, including the mix between license and subscription revenue and seasonality;</w:t>
      </w:r>
    </w:p>
    <w:p>
      <w:pPr>
        <w:spacing w:after="0" w:line="40"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environment and changes thereto;</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competitive attributes of our software applications and delivery models;</w:t>
      </w:r>
    </w:p>
    <w:p>
      <w:pPr>
        <w:spacing w:after="0" w:line="7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change in our revenue mix resulting in potential declines in our subscription and support gross margin or our services gross margin;</w:t>
      </w:r>
    </w:p>
    <w:p>
      <w:pPr>
        <w:spacing w:after="0" w:line="79" w:lineRule="exact"/>
        <w:rPr>
          <w:rFonts w:ascii="Arial" w:cs="Arial" w:eastAsia="Arial" w:hAnsi="Arial"/>
          <w:sz w:val="21"/>
          <w:szCs w:val="21"/>
          <w:color w:val="auto"/>
        </w:rPr>
      </w:pPr>
    </w:p>
    <w:p>
      <w:pPr>
        <w:ind w:left="620" w:right="34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reliance on orders from a relatively small number of customers in the P&amp;C insurance industry for a substantial portion of our revenue and Annual Recurring Revenue (“ARR”);</w:t>
      </w:r>
    </w:p>
    <w:p>
      <w:pPr>
        <w:spacing w:after="0" w:line="41"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and number of professional services engagements and the billing rates and utilization of our professional services employees and contractors;</w:t>
      </w:r>
    </w:p>
    <w:p>
      <w:pPr>
        <w:spacing w:after="0" w:line="85" w:lineRule="exact"/>
        <w:rPr>
          <w:rFonts w:ascii="Arial" w:cs="Arial" w:eastAsia="Arial" w:hAnsi="Arial"/>
          <w:sz w:val="15"/>
          <w:szCs w:val="15"/>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challenges to further increase sales both in the United States and internationally;</w:t>
      </w:r>
    </w:p>
    <w:p>
      <w:pPr>
        <w:spacing w:after="0" w:line="7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potential failure of any of our established services or products to satisfy customer demands or to maintain market acceptance;</w:t>
      </w:r>
    </w:p>
    <w:p>
      <w:pPr>
        <w:spacing w:after="0" w:line="79"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sales and implementation cycles are lengthy and variable, depend upon factors outside our control, and could cause us to expend significant time and resources prior to generating revenue;</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large customers have substantial negotiating leverage, which may require that we agree to terms and conditions that result in increased cost of revenue, decreased revenue, and lower average selling prices and gross margins;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business depends on customers renewing and expanding their license, support, and subscription contracts for our services and products;</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potential inability to develop, introduce, and market new and enhanced versions of our services and products;</w:t>
      </w:r>
    </w:p>
    <w:p>
      <w:pPr>
        <w:spacing w:after="0" w:line="12" w:lineRule="exact"/>
        <w:rPr>
          <w:rFonts w:ascii="Arial" w:cs="Arial" w:eastAsia="Arial" w:hAnsi="Arial"/>
          <w:sz w:val="21"/>
          <w:szCs w:val="21"/>
          <w:color w:val="auto"/>
        </w:rPr>
      </w:pPr>
    </w:p>
    <w:p>
      <w:pPr>
        <w:ind w:left="620" w:hanging="307"/>
        <w:spacing w:after="0" w:line="218"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research and development and cloud operations investment and efforts;</w:t>
      </w:r>
    </w:p>
    <w:p>
      <w:pPr>
        <w:spacing w:after="0" w:line="3" w:lineRule="exact"/>
        <w:rPr>
          <w:rFonts w:ascii="Arial" w:cs="Arial" w:eastAsia="Arial" w:hAnsi="Arial"/>
          <w:sz w:val="21"/>
          <w:szCs w:val="21"/>
          <w:color w:val="auto"/>
        </w:rPr>
      </w:pPr>
    </w:p>
    <w:p>
      <w:pPr>
        <w:ind w:left="620" w:right="80" w:hanging="307"/>
        <w:spacing w:after="0"/>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evolving local and foreign data privacy standards, including the General Data Protection Regulation in the European Union (“EU”) and the United Kingdom (U.K.),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439420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 w:name="page5"/>
    <w:bookmarkEnd w:id="4"/>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expenses to be incurred, and benefits to be achieved, from our acquisitions;</w:t>
      </w:r>
    </w:p>
    <w:p>
      <w:pPr>
        <w:spacing w:after="0" w:line="36" w:lineRule="exact"/>
        <w:rPr>
          <w:rFonts w:ascii="Arial" w:cs="Arial" w:eastAsia="Arial" w:hAnsi="Arial"/>
          <w:sz w:val="17"/>
          <w:szCs w:val="17"/>
          <w:color w:val="auto"/>
        </w:rPr>
      </w:pPr>
    </w:p>
    <w:p>
      <w:pPr>
        <w:ind w:left="620" w:right="560" w:hanging="307"/>
        <w:spacing w:after="0" w:line="232"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gross and operating margins and factors that affect such margins; including costs related to operating, securing and enhancing our subscription services;</w:t>
      </w:r>
    </w:p>
    <w:p>
      <w:pPr>
        <w:ind w:left="620" w:hanging="307"/>
        <w:spacing w:after="0" w:line="217" w:lineRule="auto"/>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provision for tax liabilities, judgments related to revenue recognition, and other critical accounting estimates;</w:t>
      </w:r>
    </w:p>
    <w:p>
      <w:pPr>
        <w:spacing w:after="0" w:line="3"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and amount of any share repurchases by us;</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impact of new or revised regulations and laws, including tax laws in jurisdictions in which we operate and accounting standards;</w:t>
      </w:r>
    </w:p>
    <w:p>
      <w:pPr>
        <w:spacing w:after="0" w:line="40" w:lineRule="exact"/>
        <w:rPr>
          <w:rFonts w:ascii="Arial" w:cs="Arial" w:eastAsia="Arial" w:hAnsi="Arial"/>
          <w:sz w:val="21"/>
          <w:szCs w:val="21"/>
          <w:color w:val="auto"/>
        </w:rPr>
      </w:pPr>
    </w:p>
    <w:p>
      <w:pPr>
        <w:ind w:left="620" w:right="220" w:hanging="307"/>
        <w:spacing w:after="0" w:line="26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spacing w:after="0" w:line="21" w:lineRule="exact"/>
        <w:rPr>
          <w:rFonts w:ascii="Arial" w:cs="Arial" w:eastAsia="Arial" w:hAnsi="Arial"/>
          <w:sz w:val="17"/>
          <w:szCs w:val="17"/>
          <w:color w:val="auto"/>
        </w:rPr>
      </w:pPr>
    </w:p>
    <w:p>
      <w:pPr>
        <w:ind w:left="620" w:right="60" w:hanging="307"/>
        <w:spacing w:after="0" w:line="232"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exposure to market risks, including geographical and political events that may negatively impact our customers, partners, and vendors or our business operations;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privacy concerns could result in regulatory changes and impose additional costs and liabilities on us and limit our use of information;</w:t>
      </w:r>
    </w:p>
    <w:p>
      <w:pPr>
        <w:spacing w:after="0" w:line="3" w:lineRule="exact"/>
        <w:rPr>
          <w:rFonts w:ascii="Arial" w:cs="Arial" w:eastAsia="Arial" w:hAnsi="Arial"/>
          <w:sz w:val="21"/>
          <w:szCs w:val="21"/>
          <w:color w:val="auto"/>
        </w:rPr>
      </w:pPr>
    </w:p>
    <w:p>
      <w:pPr>
        <w:ind w:left="620" w:right="100" w:hanging="307"/>
        <w:spacing w:after="0" w:line="25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and future mutations or related strains of the virus such as the Delta variant on U.S. and global economies, our business, our employees, results of operations, financial condition, demand for our products, sales and implementation cycles, and the health of our customers' and partners' businesses;</w:t>
      </w:r>
    </w:p>
    <w:p>
      <w:pPr>
        <w:ind w:left="620" w:hanging="307"/>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data security breaches of our cloud-based services or products or unauthorized access to our customers’ and employees' data;</w:t>
      </w:r>
    </w:p>
    <w:p>
      <w:pPr>
        <w:spacing w:after="0" w:line="11" w:lineRule="exact"/>
        <w:rPr>
          <w:rFonts w:ascii="Arial" w:cs="Arial" w:eastAsia="Arial" w:hAnsi="Arial"/>
          <w:sz w:val="21"/>
          <w:szCs w:val="21"/>
          <w:color w:val="auto"/>
        </w:rPr>
      </w:pPr>
    </w:p>
    <w:p>
      <w:pPr>
        <w:ind w:left="620" w:hanging="307"/>
        <w:spacing w:after="0" w:line="221" w:lineRule="auto"/>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our stock price may be volatile, which could result in securities class action litigation against us;</w:t>
      </w: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defend litigation brought against us; and</w:t>
      </w:r>
    </w:p>
    <w:p>
      <w:pPr>
        <w:spacing w:after="0" w:line="2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satisfy future liquidity requirements.</w:t>
      </w:r>
    </w:p>
    <w:p>
      <w:pPr>
        <w:spacing w:after="0" w:line="24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The summary risk factors described above should be read together with the text of the Risk Factors included in Item 1A of Part II of this Quarterly Report on Form 10-Q and the other information set forth in this Quarterly Report on Form 10-Q, including our condensed consolidated financial statements and related notes thereto, as well as in other documents that we file with the U.S. Securities and Exchange Commission (the “SEC”). Additional risks and uncertainties, beyond those summarized above or discussed elsewhere in this Quarterly Report on Form 10-Q may apply to our business, activities, or operations as currently conducted or as we may conduct them in the future or in the markets in which we operate or may in the future operate.</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_____________</w:t>
      </w:r>
    </w:p>
    <w:p>
      <w:pPr>
        <w:spacing w:after="0" w:line="200" w:lineRule="exact"/>
        <w:rPr>
          <w:sz w:val="20"/>
          <w:szCs w:val="20"/>
          <w:color w:val="auto"/>
        </w:rPr>
      </w:pPr>
    </w:p>
    <w:p>
      <w:pPr>
        <w:spacing w:after="0" w:line="341" w:lineRule="exact"/>
        <w:rPr>
          <w:sz w:val="20"/>
          <w:szCs w:val="20"/>
          <w:color w:val="auto"/>
        </w:rPr>
      </w:pPr>
    </w:p>
    <w:p>
      <w:pPr>
        <w:ind w:right="280" w:firstLine="309"/>
        <w:spacing w:after="0" w:line="279" w:lineRule="auto"/>
        <w:rPr>
          <w:sz w:val="20"/>
          <w:szCs w:val="20"/>
          <w:color w:val="auto"/>
        </w:rPr>
      </w:pPr>
      <w:r>
        <w:rPr>
          <w:rFonts w:ascii="Arial" w:cs="Arial" w:eastAsia="Arial" w:hAnsi="Arial"/>
          <w:sz w:val="17"/>
          <w:szCs w:val="17"/>
          <w:color w:val="auto"/>
        </w:rPr>
        <w:t>Unless the context requires otherwise, we are referring to Guidewire Software, Inc., together with its subsidiaries, when we use the terms “Guidewire,” the “Company,” “we,” “our,” or “us.”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19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464185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772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4"/>
        </w:trPr>
        <w:tc>
          <w:tcPr>
            <w:tcW w:w="3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500" w:type="dxa"/>
            <w:vAlign w:val="bottom"/>
          </w:tcPr>
          <w:p>
            <w:pPr>
              <w:jc w:val="center"/>
              <w:ind w:left="1574"/>
              <w:spacing w:after="0"/>
              <w:rPr>
                <w:sz w:val="20"/>
                <w:szCs w:val="20"/>
                <w:color w:val="auto"/>
              </w:rPr>
            </w:pPr>
            <w:r>
              <w:rPr>
                <w:rFonts w:ascii="Arial" w:cs="Arial" w:eastAsia="Arial" w:hAnsi="Arial"/>
                <w:sz w:val="17"/>
                <w:szCs w:val="17"/>
                <w:b w:val="1"/>
                <w:bCs w:val="1"/>
                <w:color w:val="auto"/>
              </w:rPr>
              <w:t>GUIDEWIRE SOFTWARE, INC. AND SUBSIDIARIES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500" w:type="dxa"/>
            <w:vAlign w:val="bottom"/>
          </w:tcPr>
          <w:p>
            <w:pPr>
              <w:jc w:val="center"/>
              <w:ind w:left="1594"/>
              <w:spacing w:after="0"/>
              <w:rPr>
                <w:sz w:val="20"/>
                <w:szCs w:val="20"/>
                <w:color w:val="auto"/>
              </w:rPr>
            </w:pPr>
            <w:r>
              <w:rPr>
                <w:rFonts w:ascii="Arial" w:cs="Arial" w:eastAsia="Arial" w:hAnsi="Arial"/>
                <w:sz w:val="17"/>
                <w:szCs w:val="17"/>
                <w:b w:val="1"/>
                <w:bCs w:val="1"/>
                <w:color w:val="auto"/>
              </w:rPr>
              <w:t>CONDENSED CONSOLIDATED BALANCE SHEETS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500" w:type="dxa"/>
            <w:vAlign w:val="bottom"/>
          </w:tcPr>
          <w:p>
            <w:pPr>
              <w:jc w:val="center"/>
              <w:ind w:left="1574"/>
              <w:spacing w:after="0"/>
              <w:rPr>
                <w:sz w:val="20"/>
                <w:szCs w:val="20"/>
                <w:color w:val="auto"/>
              </w:rPr>
            </w:pPr>
            <w:r>
              <w:rPr>
                <w:rFonts w:ascii="Arial" w:cs="Arial" w:eastAsia="Arial" w:hAnsi="Arial"/>
                <w:sz w:val="17"/>
                <w:szCs w:val="17"/>
                <w:b w:val="1"/>
                <w:bCs w:val="1"/>
                <w:color w:val="auto"/>
                <w:w w:val="90"/>
              </w:rPr>
              <w:t>(unaudited, in thousands)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October 31,</w:t>
            </w:r>
          </w:p>
        </w:tc>
        <w:tc>
          <w:tcPr>
            <w:tcW w:w="300" w:type="dxa"/>
            <w:vAlign w:val="bottom"/>
          </w:tcPr>
          <w:p>
            <w:pPr>
              <w:spacing w:after="0"/>
              <w:rPr>
                <w:sz w:val="24"/>
                <w:szCs w:val="24"/>
                <w:color w:val="auto"/>
              </w:rPr>
            </w:pPr>
          </w:p>
        </w:tc>
        <w:tc>
          <w:tcPr>
            <w:tcW w:w="1240" w:type="dxa"/>
            <w:vAlign w:val="bottom"/>
          </w:tcPr>
          <w:p>
            <w:pPr>
              <w:jc w:val="right"/>
              <w:ind w:right="394"/>
              <w:spacing w:after="0"/>
              <w:rPr>
                <w:sz w:val="20"/>
                <w:szCs w:val="20"/>
                <w:color w:val="auto"/>
              </w:rPr>
            </w:pPr>
            <w:r>
              <w:rPr>
                <w:rFonts w:ascii="Arial" w:cs="Arial" w:eastAsia="Arial" w:hAnsi="Arial"/>
                <w:sz w:val="17"/>
                <w:szCs w:val="17"/>
                <w:b w:val="1"/>
                <w:bCs w:val="1"/>
                <w:color w:val="auto"/>
              </w:rPr>
              <w:t>July 31,</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40" w:type="dxa"/>
            <w:vAlign w:val="bottom"/>
            <w:gridSpan w:val="3"/>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384,910</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602,162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734,517</w:t>
            </w: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receivable, net of allowances of $705 and $1,057, respectively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104,068</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7"/>
                <w:szCs w:val="17"/>
                <w:color w:val="auto"/>
              </w:rPr>
              <w:t>Unbilled accounts receivable,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79,061</w:t>
            </w: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52,729</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7720" w:type="dxa"/>
            <w:vAlign w:val="bottom"/>
            <w:gridSpan w:val="2"/>
          </w:tcPr>
          <w:p>
            <w:pPr>
              <w:ind w:left="32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1,080,663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1,355,285</w:t>
            </w:r>
          </w:p>
        </w:tc>
        <w:tc>
          <w:tcPr>
            <w:tcW w:w="0" w:type="dxa"/>
            <w:vAlign w:val="bottom"/>
          </w:tcPr>
          <w:p>
            <w:pPr>
              <w:spacing w:after="0"/>
              <w:rPr>
                <w:sz w:val="1"/>
                <w:szCs w:val="1"/>
                <w:color w:val="auto"/>
              </w:rPr>
            </w:pPr>
          </w:p>
        </w:tc>
      </w:tr>
      <w:tr>
        <w:trPr>
          <w:trHeight w:val="22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227,164</w:t>
            </w:r>
          </w:p>
        </w:tc>
        <w:tc>
          <w:tcPr>
            <w:tcW w:w="0" w:type="dxa"/>
            <w:vAlign w:val="bottom"/>
          </w:tcPr>
          <w:p>
            <w:pPr>
              <w:spacing w:after="0"/>
              <w:rPr>
                <w:sz w:val="1"/>
                <w:szCs w:val="1"/>
                <w:color w:val="auto"/>
              </w:rPr>
            </w:pPr>
          </w:p>
        </w:tc>
      </w:tr>
      <w:tr>
        <w:trPr>
          <w:trHeight w:val="218"/>
        </w:trPr>
        <w:tc>
          <w:tcPr>
            <w:tcW w:w="8040" w:type="dxa"/>
            <w:vAlign w:val="bottom"/>
            <w:gridSpan w:val="3"/>
          </w:tcPr>
          <w:p>
            <w:pPr>
              <w:ind w:left="20"/>
              <w:spacing w:after="0"/>
              <w:rPr>
                <w:sz w:val="20"/>
                <w:szCs w:val="20"/>
                <w:color w:val="auto"/>
              </w:rPr>
            </w:pPr>
            <w:r>
              <w:rPr>
                <w:rFonts w:ascii="Arial" w:cs="Arial" w:eastAsia="Arial" w:hAnsi="Arial"/>
                <w:sz w:val="17"/>
                <w:szCs w:val="17"/>
                <w:color w:val="auto"/>
              </w:rPr>
              <w:t>Unbilled accounts receivable,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22,642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24,361</w:t>
            </w:r>
          </w:p>
        </w:tc>
        <w:tc>
          <w:tcPr>
            <w:tcW w:w="0" w:type="dxa"/>
            <w:vAlign w:val="bottom"/>
          </w:tcPr>
          <w:p>
            <w:pPr>
              <w:spacing w:after="0"/>
              <w:rPr>
                <w:sz w:val="1"/>
                <w:szCs w:val="1"/>
                <w:color w:val="auto"/>
              </w:rPr>
            </w:pPr>
          </w:p>
        </w:tc>
      </w:tr>
      <w:tr>
        <w:trPr>
          <w:trHeight w:val="22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80,061</w:t>
            </w:r>
          </w:p>
        </w:tc>
        <w:tc>
          <w:tcPr>
            <w:tcW w:w="0" w:type="dxa"/>
            <w:vAlign w:val="bottom"/>
          </w:tcPr>
          <w:p>
            <w:pPr>
              <w:spacing w:after="0"/>
              <w:rPr>
                <w:sz w:val="1"/>
                <w:szCs w:val="1"/>
                <w:color w:val="auto"/>
              </w:rPr>
            </w:pPr>
          </w:p>
        </w:tc>
      </w:tr>
      <w:tr>
        <w:trPr>
          <w:trHeight w:val="218"/>
        </w:trPr>
        <w:tc>
          <w:tcPr>
            <w:tcW w:w="8040" w:type="dxa"/>
            <w:vAlign w:val="bottom"/>
            <w:gridSpan w:val="3"/>
          </w:tcPr>
          <w:p>
            <w:pPr>
              <w:ind w:left="20"/>
              <w:spacing w:after="0"/>
              <w:rPr>
                <w:sz w:val="20"/>
                <w:szCs w:val="20"/>
                <w:color w:val="auto"/>
              </w:rPr>
            </w:pPr>
            <w:r>
              <w:rPr>
                <w:rFonts w:ascii="Arial" w:cs="Arial" w:eastAsia="Arial" w:hAnsi="Arial"/>
                <w:sz w:val="17"/>
                <w:szCs w:val="17"/>
                <w:color w:val="auto"/>
              </w:rPr>
              <w:t>Operating lease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94,568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97,447</w:t>
            </w:r>
          </w:p>
        </w:tc>
        <w:tc>
          <w:tcPr>
            <w:tcW w:w="0" w:type="dxa"/>
            <w:vAlign w:val="bottom"/>
          </w:tcPr>
          <w:p>
            <w:pPr>
              <w:spacing w:after="0"/>
              <w:rPr>
                <w:sz w:val="1"/>
                <w:szCs w:val="1"/>
                <w:color w:val="auto"/>
              </w:rPr>
            </w:pPr>
          </w:p>
        </w:tc>
      </w:tr>
      <w:tr>
        <w:trPr>
          <w:trHeight w:val="22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19,743</w:t>
            </w:r>
          </w:p>
        </w:tc>
        <w:tc>
          <w:tcPr>
            <w:tcW w:w="0" w:type="dxa"/>
            <w:vAlign w:val="bottom"/>
          </w:tcPr>
          <w:p>
            <w:pPr>
              <w:spacing w:after="0"/>
              <w:rPr>
                <w:sz w:val="1"/>
                <w:szCs w:val="1"/>
                <w:color w:val="auto"/>
              </w:rPr>
            </w:pPr>
          </w:p>
        </w:tc>
      </w:tr>
      <w:tr>
        <w:trPr>
          <w:trHeight w:val="218"/>
        </w:trPr>
        <w:tc>
          <w:tcPr>
            <w:tcW w:w="8040" w:type="dxa"/>
            <w:vAlign w:val="bottom"/>
            <w:gridSpan w:val="3"/>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372,062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340,877</w:t>
            </w:r>
          </w:p>
        </w:tc>
        <w:tc>
          <w:tcPr>
            <w:tcW w:w="0" w:type="dxa"/>
            <w:vAlign w:val="bottom"/>
          </w:tcPr>
          <w:p>
            <w:pPr>
              <w:spacing w:after="0"/>
              <w:rPr>
                <w:sz w:val="1"/>
                <w:szCs w:val="1"/>
                <w:color w:val="auto"/>
              </w:rPr>
            </w:pPr>
          </w:p>
        </w:tc>
      </w:tr>
      <w:tr>
        <w:trPr>
          <w:trHeight w:val="22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Deferred tax assets,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138,428</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38,479</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2,178,347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2,321,845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27,396</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27,830</w:t>
            </w: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employee compensation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102,137</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7"/>
                <w:szCs w:val="17"/>
                <w:color w:val="auto"/>
              </w:rPr>
              <w:t>Deferred revenue,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110,363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138,699</w:t>
            </w: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31,648</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7720" w:type="dxa"/>
            <w:vAlign w:val="bottom"/>
            <w:gridSpan w:val="2"/>
          </w:tcPr>
          <w:p>
            <w:pPr>
              <w:ind w:left="320"/>
              <w:spacing w:after="0"/>
              <w:rPr>
                <w:sz w:val="20"/>
                <w:szCs w:val="20"/>
                <w:color w:val="auto"/>
              </w:rPr>
            </w:pPr>
            <w:r>
              <w:rPr>
                <w:rFonts w:ascii="Arial" w:cs="Arial" w:eastAsia="Arial" w:hAnsi="Arial"/>
                <w:sz w:val="17"/>
                <w:szCs w:val="17"/>
                <w:color w:val="auto"/>
              </w:rPr>
              <w:t>Total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204,165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300,314</w:t>
            </w:r>
          </w:p>
        </w:tc>
        <w:tc>
          <w:tcPr>
            <w:tcW w:w="0" w:type="dxa"/>
            <w:vAlign w:val="bottom"/>
          </w:tcPr>
          <w:p>
            <w:pPr>
              <w:spacing w:after="0"/>
              <w:rPr>
                <w:sz w:val="1"/>
                <w:szCs w:val="1"/>
                <w:color w:val="auto"/>
              </w:rPr>
            </w:pPr>
          </w:p>
        </w:tc>
      </w:tr>
      <w:tr>
        <w:trPr>
          <w:trHeight w:val="22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115,374</w:t>
            </w:r>
          </w:p>
        </w:tc>
        <w:tc>
          <w:tcPr>
            <w:tcW w:w="0" w:type="dxa"/>
            <w:vAlign w:val="bottom"/>
          </w:tcPr>
          <w:p>
            <w:pPr>
              <w:spacing w:after="0"/>
              <w:rPr>
                <w:sz w:val="1"/>
                <w:szCs w:val="1"/>
                <w:color w:val="auto"/>
              </w:rPr>
            </w:pPr>
          </w:p>
        </w:tc>
      </w:tr>
      <w:tr>
        <w:trPr>
          <w:trHeight w:val="218"/>
        </w:trPr>
        <w:tc>
          <w:tcPr>
            <w:tcW w:w="8040" w:type="dxa"/>
            <w:vAlign w:val="bottom"/>
            <w:gridSpan w:val="3"/>
          </w:tcPr>
          <w:p>
            <w:pPr>
              <w:ind w:left="20"/>
              <w:spacing w:after="0"/>
              <w:rPr>
                <w:sz w:val="20"/>
                <w:szCs w:val="20"/>
                <w:color w:val="auto"/>
              </w:rPr>
            </w:pPr>
            <w:r>
              <w:rPr>
                <w:rFonts w:ascii="Arial" w:cs="Arial" w:eastAsia="Arial" w:hAnsi="Arial"/>
                <w:sz w:val="17"/>
                <w:szCs w:val="17"/>
                <w:color w:val="auto"/>
              </w:rPr>
              <w:t>Convertible senior notes,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347,349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343,825</w:t>
            </w:r>
          </w:p>
        </w:tc>
        <w:tc>
          <w:tcPr>
            <w:tcW w:w="0" w:type="dxa"/>
            <w:vAlign w:val="bottom"/>
          </w:tcPr>
          <w:p>
            <w:pPr>
              <w:spacing w:after="0"/>
              <w:rPr>
                <w:sz w:val="1"/>
                <w:szCs w:val="1"/>
                <w:color w:val="auto"/>
              </w:rPr>
            </w:pPr>
          </w:p>
        </w:tc>
      </w:tr>
      <w:tr>
        <w:trPr>
          <w:trHeight w:val="22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Deferred revenue,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10,201</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679,964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776,951</w:t>
            </w:r>
          </w:p>
        </w:tc>
        <w:tc>
          <w:tcPr>
            <w:tcW w:w="0" w:type="dxa"/>
            <w:vAlign w:val="bottom"/>
          </w:tcPr>
          <w:p>
            <w:pPr>
              <w:spacing w:after="0"/>
              <w:rPr>
                <w:sz w:val="1"/>
                <w:szCs w:val="1"/>
                <w:color w:val="auto"/>
              </w:rPr>
            </w:pPr>
          </w:p>
        </w:tc>
      </w:tr>
      <w:tr>
        <w:trPr>
          <w:trHeight w:val="198"/>
        </w:trPr>
        <w:tc>
          <w:tcPr>
            <w:tcW w:w="8040" w:type="dxa"/>
            <w:vAlign w:val="bottom"/>
            <w:gridSpan w:val="3"/>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1,649,754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1,617,204</w:t>
            </w: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(6,218)</w:t>
            </w: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Retained earnings (accumulated deficit)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(66,100)</w:t>
            </w:r>
          </w:p>
        </w:tc>
        <w:tc>
          <w:tcPr>
            <w:tcW w:w="0" w:type="dxa"/>
            <w:vAlign w:val="bottom"/>
          </w:tcPr>
          <w:p>
            <w:pPr>
              <w:spacing w:after="0"/>
              <w:rPr>
                <w:sz w:val="1"/>
                <w:szCs w:val="1"/>
                <w:color w:val="auto"/>
              </w:rPr>
            </w:pPr>
          </w:p>
        </w:tc>
      </w:tr>
      <w:tr>
        <w:trPr>
          <w:trHeight w:val="213"/>
        </w:trPr>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1,498,383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1,544,894</w:t>
            </w:r>
          </w:p>
        </w:tc>
        <w:tc>
          <w:tcPr>
            <w:tcW w:w="0" w:type="dxa"/>
            <w:vAlign w:val="bottom"/>
          </w:tcPr>
          <w:p>
            <w:pPr>
              <w:spacing w:after="0"/>
              <w:rPr>
                <w:sz w:val="1"/>
                <w:szCs w:val="1"/>
                <w:color w:val="auto"/>
              </w:rPr>
            </w:pPr>
          </w:p>
        </w:tc>
      </w:tr>
      <w:tr>
        <w:trPr>
          <w:trHeight w:val="211"/>
        </w:trPr>
        <w:tc>
          <w:tcPr>
            <w:tcW w:w="8040" w:type="dxa"/>
            <w:vAlign w:val="bottom"/>
            <w:gridSpan w:val="3"/>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2,178,347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2,321,845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GUIDEWIRE SOFTWARE,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shares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7"/>
                <w:szCs w:val="17"/>
                <w:b w:val="1"/>
                <w:bCs w:val="1"/>
                <w:color w:val="auto"/>
                <w:w w:val="98"/>
              </w:rPr>
              <w:t>Three Months Ended October 31,</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920" w:type="dxa"/>
            <w:vAlign w:val="bottom"/>
          </w:tcPr>
          <w:p>
            <w:pPr>
              <w:ind w:left="320"/>
              <w:spacing w:after="0"/>
              <w:rPr>
                <w:sz w:val="20"/>
                <w:szCs w:val="20"/>
                <w:color w:val="auto"/>
              </w:rPr>
            </w:pPr>
            <w:r>
              <w:rPr>
                <w:rFonts w:ascii="Arial" w:cs="Arial" w:eastAsia="Arial" w:hAnsi="Arial"/>
                <w:sz w:val="17"/>
                <w:szCs w:val="17"/>
                <w:color w:val="auto"/>
              </w:rPr>
              <w:t>Subscription and support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78,990</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57,966</w:t>
            </w: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License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65,283</w:t>
            </w:r>
          </w:p>
        </w:tc>
        <w:tc>
          <w:tcPr>
            <w:tcW w:w="0" w:type="dxa"/>
            <w:vAlign w:val="bottom"/>
          </w:tcPr>
          <w:p>
            <w:pPr>
              <w:spacing w:after="0"/>
              <w:rPr>
                <w:sz w:val="1"/>
                <w:szCs w:val="1"/>
                <w:color w:val="auto"/>
              </w:rPr>
            </w:pPr>
          </w:p>
        </w:tc>
      </w:tr>
      <w:tr>
        <w:trPr>
          <w:trHeight w:val="218"/>
        </w:trPr>
        <w:tc>
          <w:tcPr>
            <w:tcW w:w="79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46,553</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revenue</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169,802</w:t>
            </w:r>
          </w:p>
        </w:tc>
        <w:tc>
          <w:tcPr>
            <w:tcW w:w="0" w:type="dxa"/>
            <w:vAlign w:val="bottom"/>
          </w:tcPr>
          <w:p>
            <w:pPr>
              <w:spacing w:after="0"/>
              <w:rPr>
                <w:sz w:val="1"/>
                <w:szCs w:val="1"/>
                <w:color w:val="auto"/>
              </w:rPr>
            </w:pPr>
          </w:p>
        </w:tc>
      </w:tr>
      <w:tr>
        <w:trPr>
          <w:trHeight w:val="198"/>
        </w:trPr>
        <w:tc>
          <w:tcPr>
            <w:tcW w:w="79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Subscription and support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37,006</w:t>
            </w:r>
          </w:p>
        </w:tc>
        <w:tc>
          <w:tcPr>
            <w:tcW w:w="0" w:type="dxa"/>
            <w:vAlign w:val="bottom"/>
          </w:tcPr>
          <w:p>
            <w:pPr>
              <w:spacing w:after="0"/>
              <w:rPr>
                <w:sz w:val="1"/>
                <w:szCs w:val="1"/>
                <w:color w:val="auto"/>
              </w:rPr>
            </w:pPr>
          </w:p>
        </w:tc>
      </w:tr>
      <w:tr>
        <w:trPr>
          <w:trHeight w:val="218"/>
        </w:trPr>
        <w:tc>
          <w:tcPr>
            <w:tcW w:w="7920" w:type="dxa"/>
            <w:vAlign w:val="bottom"/>
          </w:tcPr>
          <w:p>
            <w:pPr>
              <w:ind w:left="320"/>
              <w:spacing w:after="0"/>
              <w:rPr>
                <w:sz w:val="20"/>
                <w:szCs w:val="20"/>
                <w:color w:val="auto"/>
              </w:rPr>
            </w:pPr>
            <w:r>
              <w:rPr>
                <w:rFonts w:ascii="Arial" w:cs="Arial" w:eastAsia="Arial" w:hAnsi="Arial"/>
                <w:sz w:val="17"/>
                <w:szCs w:val="17"/>
                <w:color w:val="auto"/>
              </w:rPr>
              <w:t>License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2,937</w:t>
            </w: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51,024</w:t>
            </w:r>
          </w:p>
        </w:tc>
        <w:tc>
          <w:tcPr>
            <w:tcW w:w="0" w:type="dxa"/>
            <w:vAlign w:val="bottom"/>
          </w:tcPr>
          <w:p>
            <w:pPr>
              <w:spacing w:after="0"/>
              <w:rPr>
                <w:sz w:val="1"/>
                <w:szCs w:val="1"/>
                <w:color w:val="auto"/>
              </w:rPr>
            </w:pPr>
          </w:p>
        </w:tc>
      </w:tr>
      <w:tr>
        <w:trPr>
          <w:trHeight w:val="211"/>
        </w:trPr>
        <w:tc>
          <w:tcPr>
            <w:tcW w:w="79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cost of revenue</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103,179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90,967</w:t>
            </w:r>
          </w:p>
        </w:tc>
        <w:tc>
          <w:tcPr>
            <w:tcW w:w="0" w:type="dxa"/>
            <w:vAlign w:val="bottom"/>
          </w:tcPr>
          <w:p>
            <w:pPr>
              <w:spacing w:after="0"/>
              <w:rPr>
                <w:sz w:val="1"/>
                <w:szCs w:val="1"/>
                <w:color w:val="auto"/>
              </w:rPr>
            </w:pPr>
          </w:p>
        </w:tc>
      </w:tr>
      <w:tr>
        <w:trPr>
          <w:trHeight w:val="200"/>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920" w:type="dxa"/>
            <w:vAlign w:val="bottom"/>
          </w:tcPr>
          <w:p>
            <w:pPr>
              <w:ind w:left="320"/>
              <w:spacing w:after="0"/>
              <w:rPr>
                <w:sz w:val="20"/>
                <w:szCs w:val="20"/>
                <w:color w:val="auto"/>
              </w:rPr>
            </w:pPr>
            <w:r>
              <w:rPr>
                <w:rFonts w:ascii="Arial" w:cs="Arial" w:eastAsia="Arial" w:hAnsi="Arial"/>
                <w:sz w:val="17"/>
                <w:szCs w:val="17"/>
                <w:color w:val="auto"/>
              </w:rPr>
              <w:t>Subscription and support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28,659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20,960</w:t>
            </w: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License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62,346</w:t>
            </w:r>
          </w:p>
        </w:tc>
        <w:tc>
          <w:tcPr>
            <w:tcW w:w="0" w:type="dxa"/>
            <w:vAlign w:val="bottom"/>
          </w:tcPr>
          <w:p>
            <w:pPr>
              <w:spacing w:after="0"/>
              <w:rPr>
                <w:sz w:val="1"/>
                <w:szCs w:val="1"/>
                <w:color w:val="auto"/>
              </w:rPr>
            </w:pPr>
          </w:p>
        </w:tc>
      </w:tr>
      <w:tr>
        <w:trPr>
          <w:trHeight w:val="218"/>
        </w:trPr>
        <w:tc>
          <w:tcPr>
            <w:tcW w:w="79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(4,471)</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gross profit</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78,835</w:t>
            </w:r>
          </w:p>
        </w:tc>
        <w:tc>
          <w:tcPr>
            <w:tcW w:w="0" w:type="dxa"/>
            <w:vAlign w:val="bottom"/>
          </w:tcPr>
          <w:p>
            <w:pPr>
              <w:spacing w:after="0"/>
              <w:rPr>
                <w:sz w:val="1"/>
                <w:szCs w:val="1"/>
                <w:color w:val="auto"/>
              </w:rPr>
            </w:pPr>
          </w:p>
        </w:tc>
      </w:tr>
      <w:tr>
        <w:trPr>
          <w:trHeight w:val="198"/>
        </w:trPr>
        <w:tc>
          <w:tcPr>
            <w:tcW w:w="79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52,615</w:t>
            </w:r>
          </w:p>
        </w:tc>
        <w:tc>
          <w:tcPr>
            <w:tcW w:w="0" w:type="dxa"/>
            <w:vAlign w:val="bottom"/>
          </w:tcPr>
          <w:p>
            <w:pPr>
              <w:spacing w:after="0"/>
              <w:rPr>
                <w:sz w:val="1"/>
                <w:szCs w:val="1"/>
                <w:color w:val="auto"/>
              </w:rPr>
            </w:pPr>
          </w:p>
        </w:tc>
      </w:tr>
      <w:tr>
        <w:trPr>
          <w:trHeight w:val="218"/>
        </w:trPr>
        <w:tc>
          <w:tcPr>
            <w:tcW w:w="792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43,631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36,644</w:t>
            </w: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21,180</w:t>
            </w:r>
          </w:p>
        </w:tc>
        <w:tc>
          <w:tcPr>
            <w:tcW w:w="0" w:type="dxa"/>
            <w:vAlign w:val="bottom"/>
          </w:tcPr>
          <w:p>
            <w:pPr>
              <w:spacing w:after="0"/>
              <w:rPr>
                <w:sz w:val="1"/>
                <w:szCs w:val="1"/>
                <w:color w:val="auto"/>
              </w:rPr>
            </w:pPr>
          </w:p>
        </w:tc>
      </w:tr>
      <w:tr>
        <w:trPr>
          <w:trHeight w:val="211"/>
        </w:trPr>
        <w:tc>
          <w:tcPr>
            <w:tcW w:w="79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110,439</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(31,604)</w:t>
            </w:r>
          </w:p>
        </w:tc>
        <w:tc>
          <w:tcPr>
            <w:tcW w:w="0" w:type="dxa"/>
            <w:vAlign w:val="bottom"/>
          </w:tcPr>
          <w:p>
            <w:pPr>
              <w:spacing w:after="0"/>
              <w:rPr>
                <w:sz w:val="1"/>
                <w:szCs w:val="1"/>
                <w:color w:val="auto"/>
              </w:rPr>
            </w:pPr>
          </w:p>
        </w:tc>
      </w:tr>
      <w:tr>
        <w:trPr>
          <w:trHeight w:val="218"/>
        </w:trPr>
        <w:tc>
          <w:tcPr>
            <w:tcW w:w="792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2,789</w:t>
            </w:r>
          </w:p>
        </w:tc>
        <w:tc>
          <w:tcPr>
            <w:tcW w:w="0" w:type="dxa"/>
            <w:vAlign w:val="bottom"/>
          </w:tcPr>
          <w:p>
            <w:pPr>
              <w:spacing w:after="0"/>
              <w:rPr>
                <w:sz w:val="1"/>
                <w:szCs w:val="1"/>
                <w:color w:val="auto"/>
              </w:rPr>
            </w:pPr>
          </w:p>
        </w:tc>
      </w:tr>
      <w:tr>
        <w:trPr>
          <w:trHeight w:val="220"/>
        </w:trPr>
        <w:tc>
          <w:tcPr>
            <w:tcW w:w="7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(4,620)</w:t>
            </w:r>
          </w:p>
        </w:tc>
        <w:tc>
          <w:tcPr>
            <w:tcW w:w="0" w:type="dxa"/>
            <w:vAlign w:val="bottom"/>
          </w:tcPr>
          <w:p>
            <w:pPr>
              <w:spacing w:after="0"/>
              <w:rPr>
                <w:sz w:val="1"/>
                <w:szCs w:val="1"/>
                <w:color w:val="auto"/>
              </w:rPr>
            </w:pPr>
          </w:p>
        </w:tc>
      </w:tr>
      <w:tr>
        <w:trPr>
          <w:trHeight w:val="218"/>
        </w:trPr>
        <w:tc>
          <w:tcPr>
            <w:tcW w:w="79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income (expense), net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2,568</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provision for (benefit from) income taxes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(30,867)</w:t>
            </w:r>
          </w:p>
        </w:tc>
        <w:tc>
          <w:tcPr>
            <w:tcW w:w="0" w:type="dxa"/>
            <w:vAlign w:val="bottom"/>
          </w:tcPr>
          <w:p>
            <w:pPr>
              <w:spacing w:after="0"/>
              <w:rPr>
                <w:sz w:val="1"/>
                <w:szCs w:val="1"/>
                <w:color w:val="auto"/>
              </w:rPr>
            </w:pPr>
          </w:p>
        </w:tc>
      </w:tr>
      <w:tr>
        <w:trPr>
          <w:trHeight w:val="218"/>
        </w:trPr>
        <w:tc>
          <w:tcPr>
            <w:tcW w:w="79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(10,677)</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92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Shares used in computing net income (loss) per share:</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20" w:type="dxa"/>
            <w:vAlign w:val="bottom"/>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83,225,743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83,613,287</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83,225,743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83,613,287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856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19"/>
        </w:trPr>
        <w:tc>
          <w:tcPr>
            <w:tcW w:w="3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7340" w:type="dxa"/>
            <w:vAlign w:val="bottom"/>
          </w:tcPr>
          <w:p>
            <w:pPr>
              <w:jc w:val="center"/>
              <w:ind w:left="734"/>
              <w:spacing w:after="0"/>
              <w:rPr>
                <w:sz w:val="20"/>
                <w:szCs w:val="20"/>
                <w:color w:val="auto"/>
              </w:rPr>
            </w:pPr>
            <w:r>
              <w:rPr>
                <w:rFonts w:ascii="Arial" w:cs="Arial" w:eastAsia="Arial" w:hAnsi="Arial"/>
                <w:sz w:val="17"/>
                <w:szCs w:val="17"/>
                <w:b w:val="1"/>
                <w:bCs w:val="1"/>
                <w:color w:val="auto"/>
              </w:rPr>
              <w:t>GUIDEWIRE SOFTWARE, INC. AND SUBSIDIARIES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6"/>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4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CONDENSED CONSOLIDATED STATEMENTS OF COMPREHENSIVE INCOME (LOSS)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340" w:type="dxa"/>
            <w:vAlign w:val="bottom"/>
          </w:tcPr>
          <w:p>
            <w:pPr>
              <w:jc w:val="center"/>
              <w:ind w:left="734"/>
              <w:spacing w:after="0"/>
              <w:rPr>
                <w:sz w:val="20"/>
                <w:szCs w:val="20"/>
                <w:color w:val="auto"/>
              </w:rPr>
            </w:pPr>
            <w:r>
              <w:rPr>
                <w:rFonts w:ascii="Arial" w:cs="Arial" w:eastAsia="Arial" w:hAnsi="Arial"/>
                <w:sz w:val="17"/>
                <w:szCs w:val="17"/>
                <w:b w:val="1"/>
                <w:bCs w:val="1"/>
                <w:color w:val="auto"/>
                <w:w w:val="90"/>
              </w:rPr>
              <w:t>(unaudited, in thousands)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5"/>
        </w:trPr>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2"/>
              </w:rPr>
              <w:t>Three Months Ended October</w:t>
            </w:r>
          </w:p>
        </w:tc>
      </w:tr>
      <w:tr>
        <w:trPr>
          <w:trHeight w:val="219"/>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31,</w:t>
            </w:r>
          </w:p>
        </w:tc>
        <w:tc>
          <w:tcPr>
            <w:tcW w:w="880" w:type="dxa"/>
            <w:vAlign w:val="bottom"/>
            <w:tcBorders>
              <w:bottom w:val="single" w:sz="8" w:color="auto"/>
            </w:tcBorders>
          </w:tcPr>
          <w:p>
            <w:pPr>
              <w:spacing w:after="0"/>
              <w:rPr>
                <w:sz w:val="19"/>
                <w:szCs w:val="19"/>
                <w:color w:val="auto"/>
              </w:rPr>
            </w:pPr>
          </w:p>
        </w:tc>
      </w:tr>
      <w:tr>
        <w:trPr>
          <w:trHeight w:val="212"/>
        </w:trPr>
        <w:tc>
          <w:tcPr>
            <w:tcW w:w="3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7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2020</w:t>
            </w:r>
          </w:p>
        </w:tc>
      </w:tr>
      <w:tr>
        <w:trPr>
          <w:trHeight w:val="212"/>
        </w:trPr>
        <w:tc>
          <w:tcPr>
            <w:tcW w:w="8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(20,190)</w:t>
            </w:r>
          </w:p>
        </w:tc>
      </w:tr>
      <w:tr>
        <w:trPr>
          <w:trHeight w:val="218"/>
        </w:trPr>
        <w:tc>
          <w:tcPr>
            <w:tcW w:w="8880" w:type="dxa"/>
            <w:vAlign w:val="bottom"/>
            <w:gridSpan w:val="3"/>
          </w:tcPr>
          <w:p>
            <w:pPr>
              <w:ind w:left="2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320" w:type="dxa"/>
            <w:vAlign w:val="bottom"/>
            <w:shd w:val="clear" w:color="auto" w:fill="CCEEFF"/>
          </w:tcPr>
          <w:p>
            <w:pPr>
              <w:spacing w:after="0"/>
              <w:rPr>
                <w:sz w:val="19"/>
                <w:szCs w:val="19"/>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r>
      <w:tr>
        <w:trPr>
          <w:trHeight w:val="218"/>
        </w:trPr>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7"/>
                <w:szCs w:val="17"/>
                <w:color w:val="auto"/>
              </w:rPr>
              <w:t>Unrealized gains (losses) on available-for-sale securities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(1,839)</w:t>
            </w:r>
          </w:p>
        </w:tc>
      </w:tr>
      <w:tr>
        <w:trPr>
          <w:trHeight w:val="220"/>
        </w:trPr>
        <w:tc>
          <w:tcPr>
            <w:tcW w:w="320" w:type="dxa"/>
            <w:vAlign w:val="bottom"/>
            <w:shd w:val="clear" w:color="auto" w:fill="CCEEFF"/>
          </w:tcPr>
          <w:p>
            <w:pPr>
              <w:spacing w:after="0"/>
              <w:rPr>
                <w:sz w:val="19"/>
                <w:szCs w:val="19"/>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benefit (expense) on unrealized gains (losses) on available-for-sale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18"/>
        </w:trPr>
        <w:tc>
          <w:tcPr>
            <w:tcW w:w="320" w:type="dxa"/>
            <w:vAlign w:val="bottom"/>
            <w:tcBorders>
              <w:bottom w:val="single" w:sz="8" w:color="CCEEFF"/>
            </w:tcBorders>
          </w:tcPr>
          <w:p>
            <w:pPr>
              <w:spacing w:after="0"/>
              <w:rPr>
                <w:sz w:val="18"/>
                <w:szCs w:val="18"/>
                <w:color w:val="auto"/>
              </w:rPr>
            </w:pPr>
          </w:p>
        </w:tc>
        <w:tc>
          <w:tcPr>
            <w:tcW w:w="85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Reclassification adjustment for realized gains (losses) included in net income (loss)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w:t>
            </w:r>
          </w:p>
        </w:tc>
      </w:tr>
      <w:tr>
        <w:trPr>
          <w:trHeight w:val="212"/>
        </w:trPr>
        <w:tc>
          <w:tcPr>
            <w:tcW w:w="320" w:type="dxa"/>
            <w:vAlign w:val="bottom"/>
            <w:shd w:val="clear" w:color="auto" w:fill="CCEEFF"/>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r>
      <w:tr>
        <w:trPr>
          <w:trHeight w:val="213"/>
        </w:trPr>
        <w:tc>
          <w:tcPr>
            <w:tcW w:w="8880" w:type="dxa"/>
            <w:vAlign w:val="bottom"/>
            <w:gridSpan w:val="3"/>
          </w:tcPr>
          <w:p>
            <w:pPr>
              <w:ind w:left="20"/>
              <w:spacing w:after="0"/>
              <w:rPr>
                <w:sz w:val="20"/>
                <w:szCs w:val="20"/>
                <w:color w:val="auto"/>
              </w:rPr>
            </w:pPr>
            <w:r>
              <w:rPr>
                <w:rFonts w:ascii="Arial" w:cs="Arial" w:eastAsia="Arial" w:hAnsi="Arial"/>
                <w:sz w:val="17"/>
                <w:szCs w:val="17"/>
                <w:color w:val="auto"/>
              </w:rPr>
              <w:t>Comprehensive income (loss)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(22,017)</w:t>
            </w:r>
          </w:p>
        </w:tc>
      </w:tr>
      <w:tr>
        <w:trPr>
          <w:trHeight w:val="20"/>
        </w:trPr>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GUIDEWIRE SOFTWARE,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7"/>
          <w:szCs w:val="17"/>
          <w:b w:val="1"/>
          <w:bCs w:val="1"/>
          <w:color w:val="auto"/>
        </w:rPr>
        <w:t>unaudited, in thousands except share amounts</w:t>
      </w:r>
      <w:r>
        <w:rPr>
          <w:rFonts w:ascii="Arial" w:cs="Arial" w:eastAsia="Arial" w:hAnsi="Arial"/>
          <w:sz w:val="15"/>
          <w:szCs w:val="15"/>
          <w:b w:val="1"/>
          <w:bCs w:val="1"/>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7"/>
              </w:rPr>
              <w:t>Retained earnings</w:t>
            </w:r>
          </w:p>
        </w:tc>
        <w:tc>
          <w:tcPr>
            <w:tcW w:w="160" w:type="dxa"/>
            <w:vAlign w:val="bottom"/>
          </w:tcPr>
          <w:p>
            <w:pPr>
              <w:spacing w:after="0"/>
              <w:rPr>
                <w:sz w:val="14"/>
                <w:szCs w:val="14"/>
                <w:color w:val="auto"/>
              </w:rPr>
            </w:pPr>
          </w:p>
        </w:tc>
        <w:tc>
          <w:tcPr>
            <w:tcW w:w="10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6"/>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1"/>
              </w:rPr>
              <w:t>other</w:t>
            </w:r>
          </w:p>
        </w:tc>
        <w:tc>
          <w:tcPr>
            <w:tcW w:w="12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tcPr>
          <w:p>
            <w:pPr>
              <w:jc w:val="center"/>
              <w:ind w:right="240"/>
              <w:spacing w:after="0" w:line="96"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8"/>
                <w:szCs w:val="8"/>
                <w:color w:val="auto"/>
              </w:rPr>
            </w:pPr>
          </w:p>
        </w:tc>
        <w:tc>
          <w:tcPr>
            <w:tcW w:w="1580" w:type="dxa"/>
            <w:vAlign w:val="bottom"/>
            <w:gridSpan w:val="4"/>
          </w:tcPr>
          <w:p>
            <w:pPr>
              <w:jc w:val="center"/>
              <w:ind w:right="180"/>
              <w:spacing w:after="0" w:line="96" w:lineRule="exact"/>
              <w:rPr>
                <w:sz w:val="20"/>
                <w:szCs w:val="20"/>
                <w:color w:val="auto"/>
              </w:rPr>
            </w:pPr>
            <w:r>
              <w:rPr>
                <w:rFonts w:ascii="Arial" w:cs="Arial" w:eastAsia="Arial" w:hAnsi="Arial"/>
                <w:sz w:val="11"/>
                <w:szCs w:val="11"/>
                <w:b w:val="1"/>
                <w:bCs w:val="1"/>
                <w:color w:val="auto"/>
              </w:rPr>
              <w:t>comprehensive income</w:t>
            </w:r>
          </w:p>
        </w:tc>
        <w:tc>
          <w:tcPr>
            <w:tcW w:w="140" w:type="dxa"/>
            <w:vAlign w:val="bottom"/>
          </w:tcPr>
          <w:p>
            <w:pPr>
              <w:spacing w:after="0"/>
              <w:rPr>
                <w:sz w:val="8"/>
                <w:szCs w:val="8"/>
                <w:color w:val="auto"/>
              </w:rPr>
            </w:pPr>
          </w:p>
        </w:tc>
        <w:tc>
          <w:tcPr>
            <w:tcW w:w="1120" w:type="dxa"/>
            <w:vAlign w:val="bottom"/>
            <w:gridSpan w:val="2"/>
          </w:tcPr>
          <w:p>
            <w:pPr>
              <w:jc w:val="center"/>
              <w:ind w:right="240"/>
              <w:spacing w:after="0" w:line="96"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080" w:type="dxa"/>
            <w:vAlign w:val="bottom"/>
          </w:tcPr>
          <w:p>
            <w:pPr>
              <w:jc w:val="center"/>
              <w:ind w:right="72"/>
              <w:spacing w:after="0" w:line="96"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deficit)</w:t>
            </w:r>
          </w:p>
        </w:tc>
        <w:tc>
          <w:tcPr>
            <w:tcW w:w="160" w:type="dxa"/>
            <w:vAlign w:val="bottom"/>
          </w:tcPr>
          <w:p>
            <w:pPr>
              <w:spacing w:after="0"/>
              <w:rPr>
                <w:sz w:val="16"/>
                <w:szCs w:val="16"/>
                <w:color w:val="auto"/>
              </w:rPr>
            </w:pPr>
          </w:p>
        </w:tc>
        <w:tc>
          <w:tcPr>
            <w:tcW w:w="108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7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2021</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83,194,157</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1,617,204</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97"/>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(6,218)</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(66,100)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1,544,894</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4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(51,276)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(51,276)</w:t>
            </w: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335,653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32,533</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(226,172)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(26,262)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(26,262)</w:t>
            </w: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w w:val="94"/>
              </w:rPr>
              <w:t>Unrealized gain (loss) on available-for-sale securities, net of tax</w:t>
            </w:r>
          </w:p>
        </w:tc>
        <w:tc>
          <w:tcPr>
            <w:tcW w:w="4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32"/>
        </w:trPr>
        <w:tc>
          <w:tcPr>
            <w:tcW w:w="3960" w:type="dxa"/>
            <w:vAlign w:val="bottom"/>
            <w:shd w:val="clear" w:color="auto" w:fill="CCEEFF"/>
          </w:tcPr>
          <w:p>
            <w:pPr>
              <w:ind w:left="220"/>
              <w:spacing w:after="0" w:line="132" w:lineRule="exact"/>
              <w:rPr>
                <w:sz w:val="20"/>
                <w:szCs w:val="20"/>
                <w:color w:val="auto"/>
              </w:rPr>
            </w:pPr>
            <w:r>
              <w:rPr>
                <w:rFonts w:ascii="Arial" w:cs="Arial" w:eastAsia="Arial" w:hAnsi="Arial"/>
                <w:sz w:val="14"/>
                <w:szCs w:val="14"/>
                <w:color w:val="auto"/>
                <w:w w:val="94"/>
              </w:rPr>
              <w:t>Reclassification adjustment for realized gain (loss) on available-</w:t>
            </w:r>
          </w:p>
        </w:tc>
        <w:tc>
          <w:tcPr>
            <w:tcW w:w="4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ind w:left="1040"/>
              <w:spacing w:after="0"/>
              <w:rPr>
                <w:sz w:val="20"/>
                <w:szCs w:val="20"/>
                <w:color w:val="auto"/>
              </w:rPr>
            </w:pPr>
            <w:r>
              <w:rPr>
                <w:rFonts w:ascii="Arial" w:cs="Arial" w:eastAsia="Arial" w:hAnsi="Arial"/>
                <w:sz w:val="14"/>
                <w:szCs w:val="14"/>
                <w:color w:val="auto"/>
              </w:rPr>
              <w:t>69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for-sale securities, included in net income (loss)</w:t>
            </w:r>
          </w:p>
        </w:tc>
        <w:tc>
          <w:tcPr>
            <w:tcW w:w="4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Balance as of October 31, 2021</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83,305,156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1,649,754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(7,741)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(143,638)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1,498,383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7"/>
              </w:rPr>
              <w:t>Retained earnings</w:t>
            </w:r>
          </w:p>
        </w:tc>
        <w:tc>
          <w:tcPr>
            <w:tcW w:w="160" w:type="dxa"/>
            <w:vAlign w:val="bottom"/>
          </w:tcPr>
          <w:p>
            <w:pPr>
              <w:spacing w:after="0"/>
              <w:rPr>
                <w:sz w:val="24"/>
                <w:szCs w:val="24"/>
                <w:color w:val="auto"/>
              </w:rPr>
            </w:pPr>
          </w:p>
        </w:tc>
        <w:tc>
          <w:tcPr>
            <w:tcW w:w="10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other</w:t>
            </w:r>
          </w:p>
        </w:tc>
        <w:tc>
          <w:tcPr>
            <w:tcW w:w="12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20" w:type="dxa"/>
            <w:vAlign w:val="bottom"/>
            <w:tcBorders>
              <w:bottom w:val="single" w:sz="8" w:color="auto"/>
            </w:tcBorders>
            <w:gridSpan w:val="7"/>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tcPr>
          <w:p>
            <w:pPr>
              <w:jc w:val="center"/>
              <w:ind w:right="200"/>
              <w:spacing w:after="0" w:line="97"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8"/>
                <w:szCs w:val="8"/>
                <w:color w:val="auto"/>
              </w:rPr>
            </w:pPr>
          </w:p>
        </w:tc>
        <w:tc>
          <w:tcPr>
            <w:tcW w:w="1580" w:type="dxa"/>
            <w:vAlign w:val="bottom"/>
            <w:gridSpan w:val="4"/>
          </w:tcPr>
          <w:p>
            <w:pPr>
              <w:jc w:val="center"/>
              <w:ind w:right="100"/>
              <w:spacing w:after="0" w:line="97" w:lineRule="exact"/>
              <w:rPr>
                <w:sz w:val="20"/>
                <w:szCs w:val="20"/>
                <w:color w:val="auto"/>
              </w:rPr>
            </w:pPr>
            <w:r>
              <w:rPr>
                <w:rFonts w:ascii="Arial" w:cs="Arial" w:eastAsia="Arial" w:hAnsi="Arial"/>
                <w:sz w:val="11"/>
                <w:szCs w:val="11"/>
                <w:b w:val="1"/>
                <w:bCs w:val="1"/>
                <w:color w:val="auto"/>
              </w:rPr>
              <w:t>comprehensive income</w:t>
            </w:r>
          </w:p>
        </w:tc>
        <w:tc>
          <w:tcPr>
            <w:tcW w:w="140" w:type="dxa"/>
            <w:vAlign w:val="bottom"/>
          </w:tcPr>
          <w:p>
            <w:pPr>
              <w:spacing w:after="0"/>
              <w:rPr>
                <w:sz w:val="8"/>
                <w:szCs w:val="8"/>
                <w:color w:val="auto"/>
              </w:rPr>
            </w:pPr>
          </w:p>
        </w:tc>
        <w:tc>
          <w:tcPr>
            <w:tcW w:w="1120" w:type="dxa"/>
            <w:vAlign w:val="bottom"/>
            <w:gridSpan w:val="2"/>
          </w:tcPr>
          <w:p>
            <w:pPr>
              <w:jc w:val="center"/>
              <w:ind w:right="240"/>
              <w:spacing w:after="0" w:line="97"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080" w:type="dxa"/>
            <w:vAlign w:val="bottom"/>
          </w:tcPr>
          <w:p>
            <w:pPr>
              <w:jc w:val="center"/>
              <w:ind w:right="72"/>
              <w:spacing w:after="0" w:line="97"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capital</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deficit)</w:t>
            </w:r>
          </w:p>
        </w:tc>
        <w:tc>
          <w:tcPr>
            <w:tcW w:w="160" w:type="dxa"/>
            <w:vAlign w:val="bottom"/>
          </w:tcPr>
          <w:p>
            <w:pPr>
              <w:spacing w:after="0"/>
              <w:rPr>
                <w:sz w:val="16"/>
                <w:szCs w:val="16"/>
                <w:color w:val="auto"/>
              </w:rPr>
            </w:pPr>
          </w:p>
        </w:tc>
        <w:tc>
          <w:tcPr>
            <w:tcW w:w="108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7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31, 2020</w:t>
            </w: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83,461,925</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1,499,050</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(5,246)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162,956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1,656,768</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4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(20,190)</w:t>
            </w: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39,169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Issuance of common stock upon vesting of RSUs</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339,759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Repurchase and retirement of common stock</w:t>
            </w:r>
          </w:p>
        </w:tc>
        <w:tc>
          <w:tcPr>
            <w:tcW w:w="1000" w:type="dxa"/>
            <w:vAlign w:val="bottom"/>
            <w:gridSpan w:val="3"/>
          </w:tcPr>
          <w:p>
            <w:pPr>
              <w:ind w:left="520"/>
              <w:spacing w:after="0"/>
              <w:rPr>
                <w:sz w:val="20"/>
                <w:szCs w:val="20"/>
                <w:color w:val="auto"/>
              </w:rPr>
            </w:pPr>
            <w:r>
              <w:rPr>
                <w:rFonts w:ascii="Arial" w:cs="Arial" w:eastAsia="Arial" w:hAnsi="Arial"/>
                <w:sz w:val="14"/>
                <w:szCs w:val="14"/>
                <w:color w:val="auto"/>
                <w:w w:val="88"/>
              </w:rPr>
              <w:t>(48,997)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w w:val="94"/>
              </w:rPr>
              <w:t>Unrealized gain (loss) on available-for-sale securities, net of tax</w:t>
            </w:r>
          </w:p>
        </w:tc>
        <w:tc>
          <w:tcPr>
            <w:tcW w:w="4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(1,480)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32"/>
        </w:trPr>
        <w:tc>
          <w:tcPr>
            <w:tcW w:w="3960" w:type="dxa"/>
            <w:vAlign w:val="bottom"/>
            <w:shd w:val="clear" w:color="auto" w:fill="CCEEFF"/>
          </w:tcPr>
          <w:p>
            <w:pPr>
              <w:ind w:left="220"/>
              <w:spacing w:after="0" w:line="132" w:lineRule="exact"/>
              <w:rPr>
                <w:sz w:val="20"/>
                <w:szCs w:val="20"/>
                <w:color w:val="auto"/>
              </w:rPr>
            </w:pPr>
            <w:r>
              <w:rPr>
                <w:rFonts w:ascii="Arial" w:cs="Arial" w:eastAsia="Arial" w:hAnsi="Arial"/>
                <w:sz w:val="14"/>
                <w:szCs w:val="14"/>
                <w:color w:val="auto"/>
                <w:w w:val="94"/>
              </w:rPr>
              <w:t>Reclassification adjustment for realized gain (loss) on available-</w:t>
            </w:r>
          </w:p>
        </w:tc>
        <w:tc>
          <w:tcPr>
            <w:tcW w:w="4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for-sale securities, included in net income (loss)</w:t>
            </w:r>
          </w:p>
        </w:tc>
        <w:tc>
          <w:tcPr>
            <w:tcW w:w="4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Balance as of October 31, 2020</w:t>
            </w:r>
          </w:p>
        </w:tc>
        <w:tc>
          <w:tcPr>
            <w:tcW w:w="4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83,791,856</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1,529,160</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(7,073)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137,766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1,659,861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794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19"/>
        </w:trPr>
        <w:tc>
          <w:tcPr>
            <w:tcW w:w="3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720" w:type="dxa"/>
            <w:vAlign w:val="bottom"/>
          </w:tcPr>
          <w:p>
            <w:pPr>
              <w:jc w:val="center"/>
              <w:ind w:left="1354"/>
              <w:spacing w:after="0"/>
              <w:rPr>
                <w:sz w:val="20"/>
                <w:szCs w:val="20"/>
                <w:color w:val="auto"/>
              </w:rPr>
            </w:pPr>
            <w:r>
              <w:rPr>
                <w:rFonts w:ascii="Arial" w:cs="Arial" w:eastAsia="Arial" w:hAnsi="Arial"/>
                <w:sz w:val="17"/>
                <w:szCs w:val="17"/>
                <w:b w:val="1"/>
                <w:bCs w:val="1"/>
                <w:color w:val="auto"/>
              </w:rPr>
              <w:t>GUIDEWIRE SOFTWARE, INC. AND SUBSIDIARIES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6"/>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720" w:type="dxa"/>
            <w:vAlign w:val="bottom"/>
          </w:tcPr>
          <w:p>
            <w:pPr>
              <w:jc w:val="center"/>
              <w:ind w:left="135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3"/>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20" w:type="dxa"/>
            <w:vAlign w:val="bottom"/>
          </w:tcPr>
          <w:p>
            <w:pPr>
              <w:jc w:val="center"/>
              <w:ind w:left="1354"/>
              <w:spacing w:after="0"/>
              <w:rPr>
                <w:sz w:val="20"/>
                <w:szCs w:val="20"/>
                <w:color w:val="auto"/>
              </w:rPr>
            </w:pPr>
            <w:r>
              <w:rPr>
                <w:rFonts w:ascii="Arial" w:cs="Arial" w:eastAsia="Arial" w:hAnsi="Arial"/>
                <w:sz w:val="17"/>
                <w:szCs w:val="17"/>
                <w:b w:val="1"/>
                <w:bCs w:val="1"/>
                <w:color w:val="auto"/>
                <w:w w:val="90"/>
              </w:rPr>
              <w:t>(unaudited, in thousands)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6"/>
        </w:trPr>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7"/>
                <w:szCs w:val="17"/>
                <w:b w:val="1"/>
                <w:bCs w:val="1"/>
                <w:color w:val="auto"/>
                <w:w w:val="94"/>
              </w:rPr>
              <w:t>Three Months Ended October 31,</w:t>
            </w:r>
          </w:p>
        </w:tc>
      </w:tr>
      <w:tr>
        <w:trPr>
          <w:trHeight w:val="213"/>
        </w:trPr>
        <w:tc>
          <w:tcPr>
            <w:tcW w:w="3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r>
      <w:tr>
        <w:trPr>
          <w:trHeight w:val="199"/>
        </w:trPr>
        <w:tc>
          <w:tcPr>
            <w:tcW w:w="82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8"/>
        </w:trPr>
        <w:tc>
          <w:tcPr>
            <w:tcW w:w="8260" w:type="dxa"/>
            <w:vAlign w:val="bottom"/>
            <w:gridSpan w:val="3"/>
          </w:tcPr>
          <w:p>
            <w:pPr>
              <w:ind w:left="220"/>
              <w:spacing w:after="0"/>
              <w:rPr>
                <w:sz w:val="20"/>
                <w:szCs w:val="20"/>
                <w:color w:val="auto"/>
              </w:rPr>
            </w:pPr>
            <w:r>
              <w:rPr>
                <w:rFonts w:ascii="Arial" w:cs="Arial" w:eastAsia="Arial" w:hAnsi="Arial"/>
                <w:sz w:val="17"/>
                <w:szCs w:val="17"/>
                <w:color w:val="auto"/>
              </w:rPr>
              <w:t>Net income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(51,276)</w:t>
            </w:r>
          </w:p>
        </w:tc>
        <w:tc>
          <w:tcPr>
            <w:tcW w:w="12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(20,190)</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8"/>
        </w:trPr>
        <w:tc>
          <w:tcPr>
            <w:tcW w:w="3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10,537</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Amortization of debt discount and issuance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Amortization of contract costs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2,154</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Stock-based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28,084</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Changes to allowance for credit losses and revenue reserves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Deferred income tax</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(11,827)</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Amortization of premium (accretion of discount) on available-for-sale securities,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1,390</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non-cash items affecting net income (loss)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12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35,924</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7"/>
                <w:szCs w:val="17"/>
                <w:color w:val="auto"/>
              </w:rPr>
              <w:t>Unbilled accounts receivable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(25,214)</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Prepaid expenses and other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7"/>
                <w:szCs w:val="17"/>
                <w:color w:val="auto"/>
              </w:rPr>
              <w:t>Operating lease assets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(4,581)</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7"/>
                <w:szCs w:val="17"/>
                <w:color w:val="auto"/>
              </w:rPr>
              <w:t>Accrued employee compensation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(62,637)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(13,513)</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(23,646)</w:t>
            </w:r>
          </w:p>
        </w:tc>
      </w:tr>
      <w:tr>
        <w:trPr>
          <w:trHeight w:val="218"/>
        </w:trPr>
        <w:tc>
          <w:tcPr>
            <w:tcW w:w="3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7"/>
                <w:szCs w:val="17"/>
                <w:color w:val="auto"/>
              </w:rPr>
              <w:t>Lease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6,772</w:t>
            </w:r>
          </w:p>
        </w:tc>
      </w:tr>
      <w:tr>
        <w:trPr>
          <w:trHeight w:val="220"/>
        </w:trPr>
        <w:tc>
          <w:tcPr>
            <w:tcW w:w="3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r>
      <w:tr>
        <w:trPr>
          <w:trHeight w:val="211"/>
        </w:trPr>
        <w:tc>
          <w:tcPr>
            <w:tcW w:w="32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gridSpan w:val="2"/>
          </w:tcPr>
          <w:p>
            <w:pPr>
              <w:ind w:left="520"/>
              <w:spacing w:after="0"/>
              <w:rPr>
                <w:sz w:val="20"/>
                <w:szCs w:val="20"/>
                <w:color w:val="auto"/>
              </w:rPr>
            </w:pPr>
            <w:r>
              <w:rPr>
                <w:rFonts w:ascii="Arial" w:cs="Arial" w:eastAsia="Arial" w:hAnsi="Arial"/>
                <w:sz w:val="17"/>
                <w:szCs w:val="17"/>
                <w:color w:val="auto"/>
              </w:rPr>
              <w:t>Net cash provided by (used in) operating activities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(107,042)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(15,707)</w:t>
            </w:r>
          </w:p>
        </w:tc>
      </w:tr>
      <w:tr>
        <w:trPr>
          <w:trHeight w:val="200"/>
        </w:trPr>
        <w:tc>
          <w:tcPr>
            <w:tcW w:w="82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8"/>
        </w:trPr>
        <w:tc>
          <w:tcPr>
            <w:tcW w:w="8260" w:type="dxa"/>
            <w:vAlign w:val="bottom"/>
            <w:gridSpan w:val="3"/>
          </w:tcPr>
          <w:p>
            <w:pPr>
              <w:ind w:left="220"/>
              <w:spacing w:after="0"/>
              <w:rPr>
                <w:sz w:val="20"/>
                <w:szCs w:val="20"/>
                <w:color w:val="auto"/>
              </w:rPr>
            </w:pPr>
            <w:r>
              <w:rPr>
                <w:rFonts w:ascii="Arial" w:cs="Arial" w:eastAsia="Arial" w:hAnsi="Arial"/>
                <w:sz w:val="17"/>
                <w:szCs w:val="17"/>
                <w:color w:val="auto"/>
              </w:rPr>
              <w:t>Purchases of available-for-sale securities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(241,247)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(346,405)</w:t>
            </w:r>
          </w:p>
        </w:tc>
      </w:tr>
      <w:tr>
        <w:trPr>
          <w:trHeight w:val="220"/>
        </w:trPr>
        <w:tc>
          <w:tcPr>
            <w:tcW w:w="82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Sales of available-for-sale securities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57,903</w:t>
            </w:r>
          </w:p>
        </w:tc>
      </w:tr>
      <w:tr>
        <w:trPr>
          <w:trHeight w:val="218"/>
        </w:trPr>
        <w:tc>
          <w:tcPr>
            <w:tcW w:w="8260" w:type="dxa"/>
            <w:vAlign w:val="bottom"/>
            <w:gridSpan w:val="3"/>
          </w:tcPr>
          <w:p>
            <w:pPr>
              <w:ind w:left="220"/>
              <w:spacing w:after="0"/>
              <w:rPr>
                <w:sz w:val="20"/>
                <w:szCs w:val="20"/>
                <w:color w:val="auto"/>
              </w:rPr>
            </w:pPr>
            <w:r>
              <w:rPr>
                <w:rFonts w:ascii="Arial" w:cs="Arial" w:eastAsia="Arial" w:hAnsi="Arial"/>
                <w:sz w:val="17"/>
                <w:szCs w:val="17"/>
                <w:color w:val="auto"/>
              </w:rPr>
              <w:t>Maturities of available-for-sale securities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272,943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241,591</w:t>
            </w:r>
          </w:p>
        </w:tc>
      </w:tr>
      <w:tr>
        <w:trPr>
          <w:trHeight w:val="220"/>
        </w:trPr>
        <w:tc>
          <w:tcPr>
            <w:tcW w:w="82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w:t>
            </w:r>
          </w:p>
        </w:tc>
      </w:tr>
      <w:tr>
        <w:trPr>
          <w:trHeight w:val="218"/>
        </w:trPr>
        <w:tc>
          <w:tcPr>
            <w:tcW w:w="8260" w:type="dxa"/>
            <w:vAlign w:val="bottom"/>
            <w:gridSpan w:val="3"/>
          </w:tcPr>
          <w:p>
            <w:pPr>
              <w:ind w:left="220"/>
              <w:spacing w:after="0"/>
              <w:rPr>
                <w:sz w:val="20"/>
                <w:szCs w:val="20"/>
                <w:color w:val="auto"/>
              </w:rPr>
            </w:pPr>
            <w:r>
              <w:rPr>
                <w:rFonts w:ascii="Arial" w:cs="Arial" w:eastAsia="Arial" w:hAnsi="Arial"/>
                <w:sz w:val="17"/>
                <w:szCs w:val="17"/>
                <w:color w:val="auto"/>
              </w:rPr>
              <w:t>Capitalized software development costs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(2,581)</w:t>
            </w:r>
          </w:p>
        </w:tc>
      </w:tr>
      <w:tr>
        <w:trPr>
          <w:trHeight w:val="220"/>
        </w:trPr>
        <w:tc>
          <w:tcPr>
            <w:tcW w:w="82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Acquisition of strategic investments</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r>
      <w:tr>
        <w:trPr>
          <w:trHeight w:val="218"/>
        </w:trPr>
        <w:tc>
          <w:tcPr>
            <w:tcW w:w="826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Acquisition of business, net of acquired cash</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2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Net cash provided by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(53,399)</w:t>
            </w:r>
          </w:p>
        </w:tc>
      </w:tr>
      <w:tr>
        <w:trPr>
          <w:trHeight w:val="198"/>
        </w:trPr>
        <w:tc>
          <w:tcPr>
            <w:tcW w:w="8260" w:type="dxa"/>
            <w:vAlign w:val="bottom"/>
            <w:gridSpan w:val="3"/>
          </w:tcPr>
          <w:p>
            <w:pPr>
              <w:ind w:left="20"/>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82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upon exercise of stock options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w:t>
            </w:r>
          </w:p>
        </w:tc>
      </w:tr>
      <w:tr>
        <w:trPr>
          <w:trHeight w:val="218"/>
        </w:trPr>
        <w:tc>
          <w:tcPr>
            <w:tcW w:w="826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Repurchase and retirement of common stock</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(26,262)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r>
      <w:tr>
        <w:trPr>
          <w:trHeight w:val="213"/>
        </w:trPr>
        <w:tc>
          <w:tcPr>
            <w:tcW w:w="32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(26,245)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(3,284)</w:t>
            </w:r>
          </w:p>
        </w:tc>
      </w:tr>
      <w:tr>
        <w:trPr>
          <w:trHeight w:val="211"/>
        </w:trPr>
        <w:tc>
          <w:tcPr>
            <w:tcW w:w="82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Effect of foreign exchange rate changes on cash, cash equivalents, and restricted cash</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w:t>
            </w:r>
          </w:p>
        </w:tc>
      </w:tr>
      <w:tr>
        <w:trPr>
          <w:trHeight w:val="213"/>
        </w:trPr>
        <w:tc>
          <w:tcPr>
            <w:tcW w:w="82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(73,133)</w:t>
            </w:r>
          </w:p>
        </w:tc>
      </w:tr>
      <w:tr>
        <w:trPr>
          <w:trHeight w:val="218"/>
        </w:trPr>
        <w:tc>
          <w:tcPr>
            <w:tcW w:w="82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CASH, CASH EQUIVALENTS, AND RESTRICTED CASH—Beginning of period</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384,910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366,969</w:t>
            </w:r>
          </w:p>
        </w:tc>
      </w:tr>
      <w:tr>
        <w:trPr>
          <w:trHeight w:val="238"/>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258,720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293,836</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391160</wp:posOffset>
            </wp:positionV>
            <wp:extent cx="7138670" cy="245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right="3880"/>
        <w:spacing w:after="0" w:line="236" w:lineRule="auto"/>
        <w:rPr>
          <w:sz w:val="20"/>
          <w:szCs w:val="20"/>
          <w:color w:val="auto"/>
        </w:rPr>
      </w:pPr>
      <w:r>
        <w:rPr>
          <w:rFonts w:ascii="Arial" w:cs="Arial" w:eastAsia="Arial" w:hAnsi="Arial"/>
          <w:sz w:val="17"/>
          <w:szCs w:val="17"/>
          <w:color w:val="auto"/>
        </w:rPr>
        <w:t>RECONCILIATION OF CASH, CASH EQUIVALENTS, AND RESTRICTED CASH TO 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239,620</w:t>
            </w:r>
          </w:p>
        </w:tc>
        <w:tc>
          <w:tcPr>
            <w:tcW w:w="12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293,836</w:t>
            </w: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Restricted cash included in prepaid expenses and other current assets and other assets</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220" w:type="dxa"/>
            <w:vAlign w:val="bottom"/>
          </w:tcPr>
          <w:p>
            <w:pPr>
              <w:ind w:left="840"/>
              <w:spacing w:after="0"/>
              <w:rPr>
                <w:sz w:val="20"/>
                <w:szCs w:val="20"/>
                <w:color w:val="auto"/>
              </w:rPr>
            </w:pPr>
            <w:r>
              <w:rPr>
                <w:rFonts w:ascii="Arial" w:cs="Arial" w:eastAsia="Arial" w:hAnsi="Arial"/>
                <w:sz w:val="17"/>
                <w:szCs w:val="17"/>
                <w:color w:val="auto"/>
              </w:rPr>
              <w:t>Total cash, cash equivalents, and restricted cash</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258,720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293,836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82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SUPPLEMENTAL DISCLOSURES OF CASH FLOW INFORMATION:</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8220" w:type="dxa"/>
            <w:vAlign w:val="bottom"/>
          </w:tcPr>
          <w:p>
            <w:pPr>
              <w:ind w:left="220"/>
              <w:spacing w:after="0"/>
              <w:rPr>
                <w:sz w:val="20"/>
                <w:szCs w:val="20"/>
                <w:color w:val="auto"/>
              </w:rPr>
            </w:pPr>
            <w:r>
              <w:rPr>
                <w:rFonts w:ascii="Arial" w:cs="Arial" w:eastAsia="Arial" w:hAnsi="Arial"/>
                <w:sz w:val="17"/>
                <w:szCs w:val="17"/>
                <w:color w:val="auto"/>
              </w:rPr>
              <w:t>Cash paid for interest</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2,500</w:t>
            </w:r>
          </w:p>
        </w:tc>
        <w:tc>
          <w:tcPr>
            <w:tcW w:w="12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2,500</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paid for income taxes, net of tax refunds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r>
      <w:tr>
        <w:trPr>
          <w:trHeight w:val="218"/>
        </w:trPr>
        <w:tc>
          <w:tcPr>
            <w:tcW w:w="8220" w:type="dxa"/>
            <w:vAlign w:val="bottom"/>
          </w:tcPr>
          <w:p>
            <w:pPr>
              <w:ind w:left="220"/>
              <w:spacing w:after="0"/>
              <w:rPr>
                <w:sz w:val="20"/>
                <w:szCs w:val="20"/>
                <w:color w:val="auto"/>
              </w:rPr>
            </w:pPr>
            <w:r>
              <w:rPr>
                <w:rFonts w:ascii="Arial" w:cs="Arial" w:eastAsia="Arial" w:hAnsi="Arial"/>
                <w:sz w:val="17"/>
                <w:szCs w:val="17"/>
                <w:color w:val="auto"/>
              </w:rPr>
              <w:t>Accruals for purchase of property and equipment</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2,639</w:t>
            </w:r>
          </w:p>
        </w:tc>
        <w:tc>
          <w:tcPr>
            <w:tcW w:w="12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343</w:t>
            </w:r>
          </w:p>
        </w:tc>
      </w:tr>
      <w:tr>
        <w:trPr>
          <w:trHeight w:val="220"/>
        </w:trPr>
        <w:tc>
          <w:tcPr>
            <w:tcW w:w="8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Accruals for capitalized software development costs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 w:name="page12"/>
    <w:bookmarkEnd w:id="11"/>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GUIDEWIRE SOFTWARE, INC. AND SUBSIDIARIES</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6" w:lineRule="exact"/>
        <w:rPr>
          <w:sz w:val="20"/>
          <w:szCs w:val="20"/>
          <w:color w:val="auto"/>
        </w:rPr>
      </w:pPr>
    </w:p>
    <w:p>
      <w:pPr>
        <w:ind w:left="320" w:right="5360" w:hanging="317"/>
        <w:spacing w:after="0" w:line="367" w:lineRule="auto"/>
        <w:tabs>
          <w:tab w:leader="none" w:pos="18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Company and Summary of Significant Accounting Policies and Estimates </w:t>
      </w:r>
      <w:r>
        <w:rPr>
          <w:rFonts w:ascii="Arial" w:cs="Arial" w:eastAsia="Arial" w:hAnsi="Arial"/>
          <w:sz w:val="17"/>
          <w:szCs w:val="17"/>
          <w:b w:val="1"/>
          <w:bCs w:val="1"/>
          <w:i w:val="1"/>
          <w:iCs w:val="1"/>
          <w:color w:val="auto"/>
        </w:rPr>
        <w:t>Company</w:t>
      </w:r>
    </w:p>
    <w:p>
      <w:pPr>
        <w:spacing w:after="0" w:line="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and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Company's condensed consolidated financial statements have been prepared in accordance with generally accepted accounting principles in the United States of America ("GAAP"). The condensed consolidated financial statements and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spacing w:after="0" w:line="117"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2021. There have been no changes in the Company’s significant accounting policies from those that were disclosed in the Company’s consolidated financial statements included in its Annual Report on Form 10-K.</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0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condensed consolidated balance sheets. Transaction gains and losses that arise from exchange rate fluctuations on transactions denominated in a currency other than the functional currency of the recording entity are included in other income (expense) in the condensed consolidated statements of operations.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and cash equivalents are comprised of cash and highly liquid investments with remaining maturities of 90 days or less at the date of purchase. Cash equivalents primarily consist of commercial paper and money market funds.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Investments</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 w:name="page13"/>
    <w:bookmarkEnd w:id="12"/>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on the condensed consolidated balance sheets. Unrealized losses related to the credit worthiness of an investment, if any, are recorded in other income (expense), net on the condensed consolidated statements of operations.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01" w:lineRule="exact"/>
        <w:rPr>
          <w:sz w:val="20"/>
          <w:szCs w:val="20"/>
          <w:color w:val="auto"/>
        </w:rPr>
      </w:pPr>
    </w:p>
    <w:p>
      <w:pPr>
        <w:jc w:val="both"/>
        <w:ind w:firstLine="309"/>
        <w:spacing w:after="0" w:line="31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ind w:left="460"/>
              <w:spacing w:after="0"/>
              <w:rPr>
                <w:sz w:val="20"/>
                <w:szCs w:val="20"/>
                <w:color w:val="auto"/>
              </w:rPr>
            </w:pPr>
            <w:r>
              <w:rPr>
                <w:rFonts w:ascii="Arial" w:cs="Arial" w:eastAsia="Arial" w:hAnsi="Arial"/>
                <w:sz w:val="17"/>
                <w:szCs w:val="17"/>
                <w:color w:val="auto"/>
              </w:rPr>
              <w:t>The estimated useful lives of property and equipment are as follows:</w:t>
            </w:r>
          </w:p>
        </w:tc>
        <w:tc>
          <w:tcPr>
            <w:tcW w:w="4880" w:type="dxa"/>
            <w:vAlign w:val="bottom"/>
          </w:tcPr>
          <w:p>
            <w:pPr>
              <w:spacing w:after="0"/>
              <w:rPr>
                <w:sz w:val="18"/>
                <w:szCs w:val="18"/>
                <w:color w:val="auto"/>
              </w:rPr>
            </w:pPr>
          </w:p>
        </w:tc>
      </w:tr>
      <w:tr>
        <w:trPr>
          <w:trHeight w:val="27"/>
        </w:trPr>
        <w:tc>
          <w:tcPr>
            <w:tcW w:w="636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19"/>
        </w:trPr>
        <w:tc>
          <w:tcPr>
            <w:tcW w:w="63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Computer hardware</w:t>
            </w:r>
          </w:p>
        </w:tc>
        <w:tc>
          <w:tcPr>
            <w:tcW w:w="488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3 years</w:t>
            </w:r>
          </w:p>
        </w:tc>
      </w:tr>
      <w:tr>
        <w:trPr>
          <w:trHeight w:val="218"/>
        </w:trPr>
        <w:tc>
          <w:tcPr>
            <w:tcW w:w="6360" w:type="dxa"/>
            <w:vAlign w:val="bottom"/>
          </w:tcPr>
          <w:p>
            <w:pPr>
              <w:ind w:left="480"/>
              <w:spacing w:after="0"/>
              <w:rPr>
                <w:sz w:val="20"/>
                <w:szCs w:val="20"/>
                <w:color w:val="auto"/>
              </w:rPr>
            </w:pPr>
            <w:r>
              <w:rPr>
                <w:rFonts w:ascii="Arial" w:cs="Arial" w:eastAsia="Arial" w:hAnsi="Arial"/>
                <w:sz w:val="17"/>
                <w:szCs w:val="17"/>
                <w:color w:val="auto"/>
              </w:rPr>
              <w:t>Purchased software</w:t>
            </w:r>
          </w:p>
        </w:tc>
        <w:tc>
          <w:tcPr>
            <w:tcW w:w="4880" w:type="dxa"/>
            <w:vAlign w:val="bottom"/>
          </w:tcPr>
          <w:p>
            <w:pPr>
              <w:ind w:left="1160"/>
              <w:spacing w:after="0"/>
              <w:rPr>
                <w:sz w:val="20"/>
                <w:szCs w:val="20"/>
                <w:color w:val="auto"/>
              </w:rPr>
            </w:pPr>
            <w:r>
              <w:rPr>
                <w:rFonts w:ascii="Arial" w:cs="Arial" w:eastAsia="Arial" w:hAnsi="Arial"/>
                <w:sz w:val="17"/>
                <w:szCs w:val="17"/>
                <w:color w:val="auto"/>
              </w:rPr>
              <w:t>3 years</w:t>
            </w:r>
          </w:p>
        </w:tc>
      </w:tr>
      <w:tr>
        <w:trPr>
          <w:trHeight w:val="220"/>
        </w:trPr>
        <w:tc>
          <w:tcPr>
            <w:tcW w:w="63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Equipment and machinery</w:t>
            </w:r>
          </w:p>
        </w:tc>
        <w:tc>
          <w:tcPr>
            <w:tcW w:w="488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3 to 5 years</w:t>
            </w:r>
          </w:p>
        </w:tc>
      </w:tr>
      <w:tr>
        <w:trPr>
          <w:trHeight w:val="218"/>
        </w:trPr>
        <w:tc>
          <w:tcPr>
            <w:tcW w:w="6360" w:type="dxa"/>
            <w:vAlign w:val="bottom"/>
          </w:tcPr>
          <w:p>
            <w:pPr>
              <w:ind w:left="480"/>
              <w:spacing w:after="0"/>
              <w:rPr>
                <w:sz w:val="20"/>
                <w:szCs w:val="20"/>
                <w:color w:val="auto"/>
              </w:rPr>
            </w:pPr>
            <w:r>
              <w:rPr>
                <w:rFonts w:ascii="Arial" w:cs="Arial" w:eastAsia="Arial" w:hAnsi="Arial"/>
                <w:sz w:val="17"/>
                <w:szCs w:val="17"/>
                <w:color w:val="auto"/>
              </w:rPr>
              <w:t>Furniture and fixtures</w:t>
            </w:r>
          </w:p>
        </w:tc>
        <w:tc>
          <w:tcPr>
            <w:tcW w:w="4880" w:type="dxa"/>
            <w:vAlign w:val="bottom"/>
          </w:tcPr>
          <w:p>
            <w:pPr>
              <w:ind w:left="1160"/>
              <w:spacing w:after="0"/>
              <w:rPr>
                <w:sz w:val="20"/>
                <w:szCs w:val="20"/>
                <w:color w:val="auto"/>
              </w:rPr>
            </w:pPr>
            <w:r>
              <w:rPr>
                <w:rFonts w:ascii="Arial" w:cs="Arial" w:eastAsia="Arial" w:hAnsi="Arial"/>
                <w:sz w:val="17"/>
                <w:szCs w:val="17"/>
                <w:color w:val="auto"/>
              </w:rPr>
              <w:t>5 years</w:t>
            </w:r>
          </w:p>
        </w:tc>
      </w:tr>
      <w:tr>
        <w:trPr>
          <w:trHeight w:val="220"/>
        </w:trPr>
        <w:tc>
          <w:tcPr>
            <w:tcW w:w="63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Leasehold improvements</w:t>
            </w:r>
          </w:p>
        </w:tc>
        <w:tc>
          <w:tcPr>
            <w:tcW w:w="488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Shorter of 10 years or remaining lease term</w:t>
            </w:r>
          </w:p>
        </w:tc>
      </w:tr>
    </w:tbl>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condensed consolidated statements of operations as incurred.</w:t>
      </w:r>
    </w:p>
    <w:p>
      <w:pPr>
        <w:spacing w:after="0" w:line="209"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Company capitalizes software development costs for technology applications that the Company will offer solely as cloud-based subscriptions, which is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recorded as research and development expense in the Company's condensed consolidated statements of operations as incurred. Capitalized software development costs are recorded in property and equipment in the Company's condensed consolidated balance sheets.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Leases</w:t>
      </w:r>
    </w:p>
    <w:p>
      <w:pPr>
        <w:spacing w:after="0" w:line="88"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The Company accounts for leases under Financial Accounting Standards Board (“FASB”) Accounting Standards Codification Topic 842: Leases (“ASC 842").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20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3" w:name="page14"/>
    <w:bookmarkEnd w:id="13"/>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Operating leases are included in operating lease assets, other current liabilities, and lease liabilities on the condensed consolidated balance sheets.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Impairment of Long-Lived Assets, Intangible Assets, and Goodwill</w:t>
      </w:r>
    </w:p>
    <w:p>
      <w:pPr>
        <w:spacing w:after="0" w:line="8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 There have been no long-lived assets and intangible assets impairments during the periods presented.</w:t>
      </w:r>
    </w:p>
    <w:p>
      <w:pPr>
        <w:spacing w:after="0" w:line="299"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88" w:lineRule="exact"/>
        <w:rPr>
          <w:sz w:val="20"/>
          <w:szCs w:val="20"/>
          <w:color w:val="auto"/>
        </w:rPr>
      </w:pPr>
    </w:p>
    <w:p>
      <w:pPr>
        <w:jc w:val="both"/>
        <w:ind w:firstLine="309"/>
        <w:spacing w:after="0" w:line="276" w:lineRule="auto"/>
        <w:rPr>
          <w:sz w:val="20"/>
          <w:szCs w:val="20"/>
          <w:color w:val="auto"/>
        </w:rPr>
      </w:pPr>
      <w:r>
        <w:rPr>
          <w:rFonts w:ascii="Arial" w:cs="Arial" w:eastAsia="Arial" w:hAnsi="Arial"/>
          <w:sz w:val="16"/>
          <w:szCs w:val="16"/>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condensed consolidated statements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88"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26"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No customer accounted for 10% or more of the Company's revenue for the three months ended October 31, 2021, and one customer accounted for 10% or more of the Company's revenue for the three months ended October 31, 2020. One customer accounted for 10% or more of the Company's accounts receivable as of October 31, 2021, and no customer accounted for 10% or more of the Company's accounts receivable as of July 31, 2021.</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Accounts Receivable and Allowances</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condensed consolidated statements of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w:t>
      </w:r>
    </w:p>
    <w:p>
      <w:pPr>
        <w:spacing w:after="0" w:line="12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core principle of ASC 606 is to recognize revenue upon the transfer of services or products to customers in an amount that reflects the consideration the Company expects to be entitled to in exchange for those services or products.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applies the following framework to recognize revenue: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Identification of the contract, or contracts, with the customer</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3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Identification of the performance obligation in the contract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Performance obligations promised in a contract are identified based on the services or products that will be transferred to the customer that are both:</w:t>
      </w:r>
    </w:p>
    <w:p>
      <w:pPr>
        <w:spacing w:after="0" w:line="177" w:lineRule="exact"/>
        <w:rPr>
          <w:sz w:val="20"/>
          <w:szCs w:val="20"/>
          <w:color w:val="auto"/>
        </w:rPr>
      </w:pPr>
    </w:p>
    <w:p>
      <w:pPr>
        <w:ind w:left="620" w:hanging="307"/>
        <w:spacing w:after="0" w:line="279" w:lineRule="auto"/>
        <w:tabs>
          <w:tab w:leader="none" w:pos="607"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capable of being distinct, whereby the customer can benefit from the service or product either on its own or together with other resources that are readily available from the Company or third parties, and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distinct in the context of the contract, whereby the transfer of the services or products is separately identifiable from other promises in the contract.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5" w:name="page16"/>
    <w:bookmarkEnd w:id="15"/>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generates revenue from the following sources, which represent the performance obligations of the Company:</w:t>
      </w:r>
    </w:p>
    <w:p>
      <w:pPr>
        <w:spacing w:after="0" w:line="165" w:lineRule="exact"/>
        <w:rPr>
          <w:sz w:val="20"/>
          <w:szCs w:val="20"/>
          <w:color w:val="auto"/>
        </w:rPr>
      </w:pPr>
    </w:p>
    <w:p>
      <w:pPr>
        <w:ind w:left="600" w:hanging="28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Subscription services related to the Company's Software-as-a-Service ("SaaS") offerings, including hosting;</w:t>
      </w:r>
    </w:p>
    <w:p>
      <w:pPr>
        <w:spacing w:after="0" w:line="165" w:lineRule="exact"/>
        <w:rPr>
          <w:rFonts w:ascii="Arial" w:cs="Arial" w:eastAsia="Arial" w:hAnsi="Arial"/>
          <w:sz w:val="17"/>
          <w:szCs w:val="17"/>
          <w:color w:val="auto"/>
        </w:rPr>
      </w:pPr>
    </w:p>
    <w:p>
      <w:pPr>
        <w:ind w:left="620" w:hanging="307"/>
        <w:spacing w:after="0" w:line="279" w:lineRule="auto"/>
        <w:tabs>
          <w:tab w:leader="none" w:pos="617" w:val="left"/>
        </w:tabs>
        <w:numPr>
          <w:ilvl w:val="0"/>
          <w:numId w:val="7"/>
        </w:numPr>
        <w:rPr>
          <w:rFonts w:ascii="Arial" w:cs="Arial" w:eastAsia="Arial" w:hAnsi="Arial"/>
          <w:sz w:val="17"/>
          <w:szCs w:val="17"/>
          <w:color w:val="auto"/>
        </w:rPr>
      </w:pPr>
      <w:r>
        <w:rPr>
          <w:rFonts w:ascii="Arial" w:cs="Arial" w:eastAsia="Arial" w:hAnsi="Arial"/>
          <w:sz w:val="17"/>
          <w:szCs w:val="17"/>
          <w:color w:val="auto"/>
        </w:rPr>
        <w:t>Support activities that consist of email and phone support, bug fixes, and unspecified software updates and upgrades released when, and if, available during the support term;</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Self-managed software licenses related to term or perpetual agreements; and</w:t>
      </w:r>
    </w:p>
    <w:p>
      <w:pPr>
        <w:spacing w:after="0" w:line="165" w:lineRule="exact"/>
        <w:rPr>
          <w:rFonts w:ascii="Arial" w:cs="Arial" w:eastAsia="Arial" w:hAnsi="Arial"/>
          <w:sz w:val="17"/>
          <w:szCs w:val="17"/>
          <w:color w:val="auto"/>
        </w:rPr>
      </w:pPr>
    </w:p>
    <w:p>
      <w:pPr>
        <w:ind w:left="600" w:hanging="28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Services related to the implementation and configuration of the Company’s services and products, reimbursable travel, and training.</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Subscriptions are typically sold with a three to five 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Determination of the transaction price</w:t>
      </w:r>
    </w:p>
    <w:p>
      <w:pPr>
        <w:spacing w:after="0" w:line="165"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2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Allocation of the transaction price to the performance obligations in the contract</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6" w:name="page17"/>
    <w:bookmarkEnd w:id="16"/>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Recognition of revenue when, or as, the Company satisfies a performance obligation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Performance obligations satisfied at a point in time</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Performance obligations satisfied over a period of time</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Subscriptions, support activities, and professional service arrangements comprise the majority of distinct performance obligations that are satisfied over a period of time.</w:t>
      </w:r>
    </w:p>
    <w:p>
      <w:pPr>
        <w:spacing w:after="0" w:line="11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for subscription arrangements is typically billed in advance on an annual basis over the contract period.</w:t>
      </w:r>
    </w:p>
    <w:p>
      <w:pPr>
        <w:spacing w:after="0" w:line="107"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from professional service arrangements is recognized over the service period as the underlying services are performed.</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117"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Balance Sheet Presentation</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Contracts with customers are reflected in the condensed consolidated balance sheets as follows:</w:t>
      </w:r>
    </w:p>
    <w:p>
      <w:pPr>
        <w:spacing w:after="0" w:line="217" w:lineRule="exact"/>
        <w:rPr>
          <w:sz w:val="20"/>
          <w:szCs w:val="20"/>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Accounts receivable, net represents amounts billed to customers in accordance with contract terms for which payment has not yet been received. It is presented net of any allowances as part of current assets in the condensed consolidated balance sheets.</w:t>
      </w:r>
    </w:p>
    <w:p>
      <w:pPr>
        <w:spacing w:after="0" w:line="164" w:lineRule="exact"/>
        <w:rPr>
          <w:rFonts w:ascii="Arial" w:cs="Arial" w:eastAsia="Arial" w:hAnsi="Arial"/>
          <w:sz w:val="17"/>
          <w:szCs w:val="17"/>
          <w:color w:val="auto"/>
        </w:rPr>
      </w:pPr>
    </w:p>
    <w:p>
      <w:pPr>
        <w:jc w:val="both"/>
        <w:ind w:left="620" w:hanging="307"/>
        <w:spacing w:after="0" w:line="276"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condensed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condensed consolidated balance sheets. This balance represents contract assets.</w:t>
      </w:r>
    </w:p>
    <w:p>
      <w:pPr>
        <w:spacing w:after="0" w:line="169"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Contract costs include customer acquisition costs, which consist primarily of sales commissions and related payroll taxes paid to sales personnel and referral fees paid to third-parties, and costs to fulfill a contract, which consist primarily of royalties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7" w:name="page18"/>
    <w:bookmarkEnd w:id="17"/>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payable to third-party software providers that support both the Company’s software offerings and support services. The short-term portion is presented as prepaid and other current assets. The long-term portion is presented as other assets.</w:t>
      </w:r>
    </w:p>
    <w:p>
      <w:pPr>
        <w:spacing w:after="0" w:line="164" w:lineRule="exact"/>
        <w:rPr>
          <w:sz w:val="20"/>
          <w:szCs w:val="20"/>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64"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that will be realized during the 12-month period following the date of the condensed consolidated balance sheets is recorded as current. The remaining deferred revenue is recorded as non-current. This balance represents contract liabilities.</w:t>
      </w:r>
    </w:p>
    <w:p>
      <w:pPr>
        <w:spacing w:after="0" w:line="178"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condensed consolidated balance sheets.</w:t>
      </w:r>
    </w:p>
    <w:p>
      <w:pPr>
        <w:spacing w:after="0" w:line="204" w:lineRule="exact"/>
        <w:rPr>
          <w:sz w:val="20"/>
          <w:szCs w:val="20"/>
          <w:color w:val="auto"/>
        </w:rPr>
      </w:pPr>
    </w:p>
    <w:p>
      <w:pPr>
        <w:ind w:right="140" w:firstLine="309"/>
        <w:spacing w:after="0" w:line="266" w:lineRule="auto"/>
        <w:rPr>
          <w:sz w:val="20"/>
          <w:szCs w:val="20"/>
          <w:color w:val="auto"/>
        </w:rPr>
      </w:pPr>
      <w:r>
        <w:rPr>
          <w:rFonts w:ascii="Arial" w:cs="Arial" w:eastAsia="Arial" w:hAnsi="Arial"/>
          <w:sz w:val="17"/>
          <w:szCs w:val="17"/>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i w:val="1"/>
          <w:iCs w:val="1"/>
          <w:u w:val="single" w:color="auto"/>
          <w:color w:val="auto"/>
        </w:rPr>
        <w:t>Contract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Contract costs consists of two components, customer acquisition costs and costs to fulfill a contract.</w:t>
      </w:r>
    </w:p>
    <w:p>
      <w:pPr>
        <w:spacing w:after="0" w:line="24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351"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Warranties</w:t>
      </w:r>
    </w:p>
    <w:p>
      <w:pPr>
        <w:spacing w:after="0" w:line="153"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The Company generally provides a warranty for its software services and products to its customers for periods ranging from three to twelve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Advertising costs are expensed as incurred and amounts incurred were not material during the three months ended October 31, 2021 and 2020.</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For the periods presented, the Company has granted time-based restricted stock units (“RSUs”), performance-based restricted stock units (“PSUs”), and restricted stock units that may be earned subject to the Company’s total shareholder return ranking relative to the software companies in the S&amp;P Software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8" w:name="page19"/>
    <w:bookmarkEnd w:id="18"/>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Select Industry Index (“S&amp;P Index”) over a specified performance period or periods, service periods, and, in select cases, performance conditions (“TSR PSUs”). RSUs, PSUs, and TSR PSUs are collectively referred to as “Stock Awards.”</w:t>
      </w:r>
    </w:p>
    <w:p>
      <w:pPr>
        <w:spacing w:after="0" w:line="3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fair value of the Company’s RSUs and PSUs is equal to the market value of the Company’s common stock on the date of grant. These awards are subject to time-based vesting, which generally occurs over a period of three to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52"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fair value of the Company’s TSR PSUs is estimated at the grant date using the Monte Carlo simulation method. The assumptions utilized under this method require judgments and estimates. Changes in these inputs and assumptions could affect the measurement of the estimated fair value of the compensation expense of the related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101" w:lineRule="exact"/>
        <w:rPr>
          <w:sz w:val="20"/>
          <w:szCs w:val="20"/>
          <w:color w:val="auto"/>
        </w:rPr>
      </w:pPr>
    </w:p>
    <w:p>
      <w:pPr>
        <w:jc w:val="both"/>
        <w:ind w:firstLine="309"/>
        <w:spacing w:after="0" w:line="276" w:lineRule="auto"/>
        <w:rPr>
          <w:sz w:val="20"/>
          <w:szCs w:val="20"/>
          <w:color w:val="auto"/>
        </w:rPr>
      </w:pPr>
      <w:r>
        <w:rPr>
          <w:rFonts w:ascii="Arial" w:cs="Arial" w:eastAsia="Arial" w:hAnsi="Arial"/>
          <w:sz w:val="16"/>
          <w:szCs w:val="16"/>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4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records interest and penalties related to unrecognized tax benefits as income tax expense in its condensed consolidated statement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Debt — Debt with Conversion and Other Options (Subtopic 470-20) and Derivatives and Hedging — Contracts in Entity’s Own Equity (Subtopic 815-40):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Convertible Instruments and Contracts in an Entity’s Own Equity</w:t>
      </w:r>
    </w:p>
    <w:p>
      <w:pPr>
        <w:spacing w:after="0" w:line="15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 xml:space="preserve">In August 2020, the FASB issued ASU No. 2020-06, “Debt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Debt with Conversion and Other Options (Subtopic 470-20) and Derivatives and Hedging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fiscal years beginning after December 15, 2021, including interim periods within those fiscal years. Early adoption is permitted, but no earlier than fiscal years beginning after December 15, 2020. The Company is currently assessing the impact of adopting this standard on the condensed consolidated financial statements, however, it believes the requirement to use the if-converted method instead of the treasury stock method of accounting for the shares issuable upon conversion of the Convertible Senior Notes, could negatively affect its diluted earnings per share.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Accounting Pronouncements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9" w:name="page20"/>
    <w:bookmarkEnd w:id="19"/>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Other recent accounting pronouncements that will be applicable to the Company are not expected to have a material impact on its present or future financial statements.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2. Revenue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Disaggregation of Revenue</w:t>
            </w: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48"/>
        </w:trPr>
        <w:tc>
          <w:tcPr>
            <w:tcW w:w="6820" w:type="dxa"/>
            <w:vAlign w:val="bottom"/>
          </w:tcPr>
          <w:p>
            <w:pPr>
              <w:ind w:left="320"/>
              <w:spacing w:after="0"/>
              <w:rPr>
                <w:sz w:val="20"/>
                <w:szCs w:val="20"/>
                <w:color w:val="auto"/>
              </w:rPr>
            </w:pPr>
            <w:r>
              <w:rPr>
                <w:rFonts w:ascii="Arial" w:cs="Arial" w:eastAsia="Arial" w:hAnsi="Arial"/>
                <w:sz w:val="17"/>
                <w:szCs w:val="17"/>
                <w:color w:val="auto"/>
              </w:rPr>
              <w:t>Revenue by license or service type is as follows (in thousands):</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6"/>
        </w:trPr>
        <w:tc>
          <w:tcPr>
            <w:tcW w:w="6820" w:type="dxa"/>
            <w:vAlign w:val="bottom"/>
          </w:tcPr>
          <w:p>
            <w:pPr>
              <w:spacing w:after="0"/>
              <w:rPr>
                <w:sz w:val="21"/>
                <w:szCs w:val="21"/>
                <w:color w:val="auto"/>
              </w:rPr>
            </w:pPr>
          </w:p>
        </w:tc>
        <w:tc>
          <w:tcPr>
            <w:tcW w:w="372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Three Months Ended October 31,</w:t>
            </w:r>
          </w:p>
        </w:tc>
        <w:tc>
          <w:tcPr>
            <w:tcW w:w="700" w:type="dxa"/>
            <w:vAlign w:val="bottom"/>
            <w:tcBorders>
              <w:bottom w:val="single" w:sz="8" w:color="auto"/>
            </w:tcBorders>
          </w:tcPr>
          <w:p>
            <w:pPr>
              <w:spacing w:after="0"/>
              <w:rPr>
                <w:sz w:val="21"/>
                <w:szCs w:val="21"/>
                <w:color w:val="auto"/>
              </w:rPr>
            </w:pPr>
          </w:p>
        </w:tc>
      </w:tr>
      <w:tr>
        <w:trPr>
          <w:trHeight w:val="213"/>
        </w:trPr>
        <w:tc>
          <w:tcPr>
            <w:tcW w:w="68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00" w:type="dxa"/>
            <w:vAlign w:val="bottom"/>
            <w:tcBorders>
              <w:bottom w:val="single" w:sz="8" w:color="auto"/>
            </w:tcBorders>
          </w:tcPr>
          <w:p>
            <w:pPr>
              <w:spacing w:after="0"/>
              <w:rPr>
                <w:sz w:val="18"/>
                <w:szCs w:val="18"/>
                <w:color w:val="auto"/>
              </w:rPr>
            </w:pPr>
          </w:p>
        </w:tc>
      </w:tr>
      <w:tr>
        <w:trPr>
          <w:trHeight w:val="199"/>
        </w:trPr>
        <w:tc>
          <w:tcPr>
            <w:tcW w:w="6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Subscription and Support</w:t>
            </w: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8"/>
        </w:trPr>
        <w:tc>
          <w:tcPr>
            <w:tcW w:w="6820" w:type="dxa"/>
            <w:vAlign w:val="bottom"/>
          </w:tcPr>
          <w:p>
            <w:pPr>
              <w:ind w:left="640"/>
              <w:spacing w:after="0"/>
              <w:rPr>
                <w:sz w:val="20"/>
                <w:szCs w:val="20"/>
                <w:color w:val="auto"/>
              </w:rPr>
            </w:pPr>
            <w:r>
              <w:rPr>
                <w:rFonts w:ascii="Arial" w:cs="Arial" w:eastAsia="Arial" w:hAnsi="Arial"/>
                <w:sz w:val="17"/>
                <w:szCs w:val="17"/>
                <w:color w:val="auto"/>
              </w:rPr>
              <w:t>Subscription</w:t>
            </w:r>
          </w:p>
        </w:tc>
        <w:tc>
          <w:tcPr>
            <w:tcW w:w="1460" w:type="dxa"/>
            <w:vAlign w:val="bottom"/>
          </w:tcPr>
          <w:p>
            <w:pPr>
              <w:jc w:val="right"/>
              <w:ind w:right="974"/>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57,129</w:t>
            </w:r>
          </w:p>
        </w:tc>
        <w:tc>
          <w:tcPr>
            <w:tcW w:w="80" w:type="dxa"/>
            <w:vAlign w:val="bottom"/>
          </w:tcPr>
          <w:p>
            <w:pPr>
              <w:spacing w:after="0"/>
              <w:rPr>
                <w:sz w:val="18"/>
                <w:szCs w:val="18"/>
                <w:color w:val="auto"/>
              </w:rPr>
            </w:pPr>
          </w:p>
        </w:tc>
        <w:tc>
          <w:tcPr>
            <w:tcW w:w="1480" w:type="dxa"/>
            <w:vAlign w:val="bottom"/>
          </w:tcPr>
          <w:p>
            <w:pPr>
              <w:jc w:val="right"/>
              <w:ind w:right="974"/>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37,230</w:t>
            </w:r>
          </w:p>
        </w:tc>
      </w:tr>
      <w:tr>
        <w:trPr>
          <w:trHeight w:val="220"/>
        </w:trPr>
        <w:tc>
          <w:tcPr>
            <w:tcW w:w="68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Support</w:t>
            </w: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20,736</w:t>
            </w:r>
          </w:p>
        </w:tc>
      </w:tr>
      <w:tr>
        <w:trPr>
          <w:trHeight w:val="218"/>
        </w:trPr>
        <w:tc>
          <w:tcPr>
            <w:tcW w:w="6820" w:type="dxa"/>
            <w:vAlign w:val="bottom"/>
          </w:tcPr>
          <w:p>
            <w:pPr>
              <w:ind w:left="440"/>
              <w:spacing w:after="0"/>
              <w:rPr>
                <w:sz w:val="20"/>
                <w:szCs w:val="20"/>
                <w:color w:val="auto"/>
              </w:rPr>
            </w:pPr>
            <w:r>
              <w:rPr>
                <w:rFonts w:ascii="Arial" w:cs="Arial" w:eastAsia="Arial" w:hAnsi="Arial"/>
                <w:sz w:val="17"/>
                <w:szCs w:val="17"/>
                <w:color w:val="auto"/>
              </w:rPr>
              <w:t>License</w:t>
            </w: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0"/>
        </w:trPr>
        <w:tc>
          <w:tcPr>
            <w:tcW w:w="68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Term license</w:t>
            </w: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40,105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65,225</w:t>
            </w:r>
          </w:p>
        </w:tc>
      </w:tr>
      <w:tr>
        <w:trPr>
          <w:trHeight w:val="218"/>
        </w:trPr>
        <w:tc>
          <w:tcPr>
            <w:tcW w:w="6820" w:type="dxa"/>
            <w:vAlign w:val="bottom"/>
          </w:tcPr>
          <w:p>
            <w:pPr>
              <w:ind w:left="660"/>
              <w:spacing w:after="0"/>
              <w:rPr>
                <w:sz w:val="20"/>
                <w:szCs w:val="20"/>
                <w:color w:val="auto"/>
              </w:rPr>
            </w:pPr>
            <w:r>
              <w:rPr>
                <w:rFonts w:ascii="Arial" w:cs="Arial" w:eastAsia="Arial" w:hAnsi="Arial"/>
                <w:sz w:val="17"/>
                <w:szCs w:val="17"/>
                <w:color w:val="auto"/>
              </w:rPr>
              <w:t>Perpetual license</w:t>
            </w:r>
          </w:p>
        </w:tc>
        <w:tc>
          <w:tcPr>
            <w:tcW w:w="1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9"/>
        </w:trPr>
        <w:tc>
          <w:tcPr>
            <w:tcW w:w="6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Services</w:t>
            </w: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46,791</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46,553</w:t>
            </w:r>
          </w:p>
        </w:tc>
      </w:tr>
      <w:tr>
        <w:trPr>
          <w:trHeight w:val="213"/>
        </w:trPr>
        <w:tc>
          <w:tcPr>
            <w:tcW w:w="6820" w:type="dxa"/>
            <w:vAlign w:val="bottom"/>
          </w:tcPr>
          <w:p>
            <w:pPr>
              <w:ind w:left="560"/>
              <w:spacing w:after="0"/>
              <w:rPr>
                <w:sz w:val="20"/>
                <w:szCs w:val="20"/>
                <w:color w:val="auto"/>
              </w:rPr>
            </w:pPr>
            <w:r>
              <w:rPr>
                <w:rFonts w:ascii="Arial" w:cs="Arial" w:eastAsia="Arial" w:hAnsi="Arial"/>
                <w:sz w:val="17"/>
                <w:szCs w:val="17"/>
                <w:color w:val="auto"/>
              </w:rPr>
              <w:t>Total revenue</w:t>
            </w:r>
          </w:p>
        </w:tc>
        <w:tc>
          <w:tcPr>
            <w:tcW w:w="1460" w:type="dxa"/>
            <w:vAlign w:val="bottom"/>
            <w:tcBorders>
              <w:bottom w:val="single" w:sz="8" w:color="auto"/>
            </w:tcBorders>
          </w:tcPr>
          <w:p>
            <w:pPr>
              <w:jc w:val="right"/>
              <w:ind w:right="97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165,934</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ind w:right="97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169,802</w:t>
            </w:r>
          </w:p>
        </w:tc>
      </w:tr>
      <w:tr>
        <w:trPr>
          <w:trHeight w:val="20"/>
        </w:trPr>
        <w:tc>
          <w:tcPr>
            <w:tcW w:w="6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by revenue type and by geography is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w w:val="96"/>
              </w:rPr>
              <w:t>Three Months Ended October 31, 2021</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174"/>
              <w:spacing w:after="0" w:line="167" w:lineRule="exact"/>
              <w:rPr>
                <w:sz w:val="20"/>
                <w:szCs w:val="20"/>
                <w:color w:val="auto"/>
              </w:rPr>
            </w:pPr>
            <w:r>
              <w:rPr>
                <w:rFonts w:ascii="Arial" w:cs="Arial" w:eastAsia="Arial" w:hAnsi="Arial"/>
                <w:sz w:val="17"/>
                <w:szCs w:val="17"/>
                <w:b w:val="1"/>
                <w:bCs w:val="1"/>
                <w:color w:val="auto"/>
                <w:w w:val="92"/>
              </w:rPr>
              <w:t>Subscription</w:t>
            </w:r>
          </w:p>
        </w:tc>
        <w:tc>
          <w:tcPr>
            <w:tcW w:w="440" w:type="dxa"/>
            <w:vAlign w:val="bottom"/>
          </w:tcPr>
          <w:p>
            <w:pPr>
              <w:spacing w:after="0"/>
              <w:rPr>
                <w:sz w:val="14"/>
                <w:szCs w:val="14"/>
                <w:color w:val="auto"/>
              </w:rPr>
            </w:pPr>
          </w:p>
        </w:tc>
        <w:tc>
          <w:tcPr>
            <w:tcW w:w="112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License</w:t>
            </w:r>
          </w:p>
        </w:tc>
        <w:tc>
          <w:tcPr>
            <w:tcW w:w="400" w:type="dxa"/>
            <w:vAlign w:val="bottom"/>
          </w:tcPr>
          <w:p>
            <w:pPr>
              <w:spacing w:after="0"/>
              <w:rPr>
                <w:sz w:val="14"/>
                <w:szCs w:val="14"/>
                <w:color w:val="auto"/>
              </w:rPr>
            </w:pPr>
          </w:p>
        </w:tc>
        <w:tc>
          <w:tcPr>
            <w:tcW w:w="118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w w:val="97"/>
              </w:rPr>
              <w:t>Services</w:t>
            </w:r>
          </w:p>
        </w:tc>
        <w:tc>
          <w:tcPr>
            <w:tcW w:w="400" w:type="dxa"/>
            <w:vAlign w:val="bottom"/>
          </w:tcPr>
          <w:p>
            <w:pPr>
              <w:spacing w:after="0"/>
              <w:rPr>
                <w:sz w:val="14"/>
                <w:szCs w:val="14"/>
                <w:color w:val="auto"/>
              </w:rPr>
            </w:pPr>
          </w:p>
        </w:tc>
        <w:tc>
          <w:tcPr>
            <w:tcW w:w="96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506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7"/>
                <w:szCs w:val="17"/>
                <w:b w:val="1"/>
                <w:bCs w:val="1"/>
                <w:color w:val="auto"/>
              </w:rPr>
              <w:t>and support</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United States</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53,023</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18,453</w:t>
            </w: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32,663</w:t>
            </w:r>
          </w:p>
        </w:tc>
        <w:tc>
          <w:tcPr>
            <w:tcW w:w="4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104,139</w:t>
            </w:r>
          </w:p>
        </w:tc>
        <w:tc>
          <w:tcPr>
            <w:tcW w:w="0" w:type="dxa"/>
            <w:vAlign w:val="bottom"/>
          </w:tcPr>
          <w:p>
            <w:pPr>
              <w:spacing w:after="0"/>
              <w:rPr>
                <w:sz w:val="1"/>
                <w:szCs w:val="1"/>
                <w:color w:val="auto"/>
              </w:rPr>
            </w:pPr>
          </w:p>
        </w:tc>
      </w:tr>
      <w:tr>
        <w:trPr>
          <w:trHeight w:val="218"/>
        </w:trPr>
        <w:tc>
          <w:tcPr>
            <w:tcW w:w="5060" w:type="dxa"/>
            <w:vAlign w:val="bottom"/>
          </w:tcPr>
          <w:p>
            <w:pPr>
              <w:ind w:left="440"/>
              <w:spacing w:after="0"/>
              <w:rPr>
                <w:sz w:val="20"/>
                <w:szCs w:val="20"/>
                <w:color w:val="auto"/>
              </w:rPr>
            </w:pPr>
            <w:r>
              <w:rPr>
                <w:rFonts w:ascii="Arial" w:cs="Arial" w:eastAsia="Arial" w:hAnsi="Arial"/>
                <w:sz w:val="17"/>
                <w:szCs w:val="17"/>
                <w:color w:val="auto"/>
              </w:rPr>
              <w:t>Canada</w:t>
            </w:r>
          </w:p>
        </w:tc>
        <w:tc>
          <w:tcPr>
            <w:tcW w:w="440" w:type="dxa"/>
            <w:vAlign w:val="bottom"/>
          </w:tcPr>
          <w:p>
            <w:pPr>
              <w:spacing w:after="0"/>
              <w:rPr>
                <w:sz w:val="18"/>
                <w:szCs w:val="18"/>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11,941</w:t>
            </w:r>
          </w:p>
        </w:tc>
        <w:tc>
          <w:tcPr>
            <w:tcW w:w="4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5,813</w:t>
            </w:r>
          </w:p>
        </w:tc>
        <w:tc>
          <w:tcPr>
            <w:tcW w:w="400" w:type="dxa"/>
            <w:vAlign w:val="bottom"/>
          </w:tcPr>
          <w:p>
            <w:pPr>
              <w:spacing w:after="0"/>
              <w:rPr>
                <w:sz w:val="18"/>
                <w:szCs w:val="18"/>
                <w:color w:val="auto"/>
              </w:rPr>
            </w:pPr>
          </w:p>
        </w:tc>
        <w:tc>
          <w:tcPr>
            <w:tcW w:w="1180" w:type="dxa"/>
            <w:vAlign w:val="bottom"/>
          </w:tcPr>
          <w:p>
            <w:pPr>
              <w:jc w:val="right"/>
              <w:ind w:right="174"/>
              <w:spacing w:after="0"/>
              <w:rPr>
                <w:sz w:val="20"/>
                <w:szCs w:val="20"/>
                <w:color w:val="auto"/>
              </w:rPr>
            </w:pPr>
            <w:r>
              <w:rPr>
                <w:rFonts w:ascii="Arial" w:cs="Arial" w:eastAsia="Arial" w:hAnsi="Arial"/>
                <w:sz w:val="17"/>
                <w:szCs w:val="17"/>
                <w:color w:val="auto"/>
              </w:rPr>
              <w:t>2,358</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20,112</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Americas</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1,039</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237</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708</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0" w:type="dxa"/>
            <w:vAlign w:val="bottom"/>
          </w:tcPr>
          <w:p>
            <w:pPr>
              <w:spacing w:after="0"/>
              <w:rPr>
                <w:sz w:val="1"/>
                <w:szCs w:val="1"/>
                <w:color w:val="auto"/>
              </w:rPr>
            </w:pPr>
          </w:p>
        </w:tc>
      </w:tr>
      <w:tr>
        <w:trPr>
          <w:trHeight w:val="211"/>
        </w:trPr>
        <w:tc>
          <w:tcPr>
            <w:tcW w:w="5060" w:type="dxa"/>
            <w:vAlign w:val="bottom"/>
          </w:tcPr>
          <w:p>
            <w:pPr>
              <w:ind w:left="640"/>
              <w:spacing w:after="0"/>
              <w:rPr>
                <w:sz w:val="20"/>
                <w:szCs w:val="20"/>
                <w:color w:val="auto"/>
              </w:rPr>
            </w:pPr>
            <w:r>
              <w:rPr>
                <w:rFonts w:ascii="Arial" w:cs="Arial" w:eastAsia="Arial" w:hAnsi="Arial"/>
                <w:sz w:val="17"/>
                <w:szCs w:val="17"/>
                <w:color w:val="auto"/>
              </w:rPr>
              <w:t>Total Americas</w:t>
            </w:r>
          </w:p>
        </w:tc>
        <w:tc>
          <w:tcPr>
            <w:tcW w:w="440" w:type="dxa"/>
            <w:vAlign w:val="bottom"/>
          </w:tcPr>
          <w:p>
            <w:pPr>
              <w:spacing w:after="0"/>
              <w:rPr>
                <w:sz w:val="18"/>
                <w:szCs w:val="18"/>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66,003</w:t>
            </w:r>
          </w:p>
        </w:tc>
        <w:tc>
          <w:tcPr>
            <w:tcW w:w="4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24,503</w:t>
            </w:r>
          </w:p>
        </w:tc>
        <w:tc>
          <w:tcPr>
            <w:tcW w:w="400" w:type="dxa"/>
            <w:vAlign w:val="bottom"/>
          </w:tcPr>
          <w:p>
            <w:pPr>
              <w:spacing w:after="0"/>
              <w:rPr>
                <w:sz w:val="18"/>
                <w:szCs w:val="18"/>
                <w:color w:val="auto"/>
              </w:rPr>
            </w:pPr>
          </w:p>
        </w:tc>
        <w:tc>
          <w:tcPr>
            <w:tcW w:w="1180" w:type="dxa"/>
            <w:vAlign w:val="bottom"/>
          </w:tcPr>
          <w:p>
            <w:pPr>
              <w:jc w:val="right"/>
              <w:ind w:right="174"/>
              <w:spacing w:after="0"/>
              <w:rPr>
                <w:sz w:val="20"/>
                <w:szCs w:val="20"/>
                <w:color w:val="auto"/>
              </w:rPr>
            </w:pPr>
            <w:r>
              <w:rPr>
                <w:rFonts w:ascii="Arial" w:cs="Arial" w:eastAsia="Arial" w:hAnsi="Arial"/>
                <w:sz w:val="17"/>
                <w:szCs w:val="17"/>
                <w:color w:val="auto"/>
              </w:rPr>
              <w:t>35,729</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126,235</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United Kingdom</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2,333</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5,832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1,094</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9,259</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Other EMEA</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5,217</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1,407</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6,395</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13,019</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EMEA</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7,550</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7,239</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7,489</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22,278</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APAC</w:t>
            </w: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5,437</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8,411</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3,573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17,421</w:t>
            </w:r>
          </w:p>
        </w:tc>
        <w:tc>
          <w:tcPr>
            <w:tcW w:w="0" w:type="dxa"/>
            <w:vAlign w:val="bottom"/>
          </w:tcPr>
          <w:p>
            <w:pPr>
              <w:spacing w:after="0"/>
              <w:rPr>
                <w:sz w:val="1"/>
                <w:szCs w:val="1"/>
                <w:color w:val="auto"/>
              </w:rPr>
            </w:pPr>
          </w:p>
        </w:tc>
      </w:tr>
      <w:tr>
        <w:trPr>
          <w:trHeight w:val="238"/>
        </w:trPr>
        <w:tc>
          <w:tcPr>
            <w:tcW w:w="50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Total revenue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78,990</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40,153</w:t>
            </w:r>
          </w:p>
        </w:tc>
        <w:tc>
          <w:tcPr>
            <w:tcW w:w="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46,791</w:t>
            </w:r>
          </w:p>
        </w:tc>
        <w:tc>
          <w:tcPr>
            <w:tcW w:w="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165,934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7"/>
                <w:szCs w:val="17"/>
                <w:b w:val="1"/>
                <w:bCs w:val="1"/>
                <w:color w:val="auto"/>
              </w:rPr>
              <w:t>Three Months Ended October 31, 2020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74"/>
              <w:spacing w:after="0" w:line="167" w:lineRule="exact"/>
              <w:rPr>
                <w:sz w:val="20"/>
                <w:szCs w:val="20"/>
                <w:color w:val="auto"/>
              </w:rPr>
            </w:pPr>
            <w:r>
              <w:rPr>
                <w:rFonts w:ascii="Arial" w:cs="Arial" w:eastAsia="Arial" w:hAnsi="Arial"/>
                <w:sz w:val="17"/>
                <w:szCs w:val="17"/>
                <w:b w:val="1"/>
                <w:bCs w:val="1"/>
                <w:color w:val="auto"/>
                <w:w w:val="90"/>
              </w:rPr>
              <w:t>Subscription</w:t>
            </w:r>
          </w:p>
        </w:tc>
        <w:tc>
          <w:tcPr>
            <w:tcW w:w="260" w:type="dxa"/>
            <w:vAlign w:val="bottom"/>
          </w:tcPr>
          <w:p>
            <w:pPr>
              <w:spacing w:after="0"/>
              <w:rPr>
                <w:sz w:val="14"/>
                <w:szCs w:val="14"/>
                <w:color w:val="auto"/>
              </w:rPr>
            </w:pPr>
          </w:p>
        </w:tc>
        <w:tc>
          <w:tcPr>
            <w:tcW w:w="102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License</w:t>
            </w:r>
          </w:p>
        </w:tc>
        <w:tc>
          <w:tcPr>
            <w:tcW w:w="260" w:type="dxa"/>
            <w:vAlign w:val="bottom"/>
          </w:tcPr>
          <w:p>
            <w:pPr>
              <w:spacing w:after="0"/>
              <w:rPr>
                <w:sz w:val="14"/>
                <w:szCs w:val="14"/>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Services</w:t>
            </w:r>
          </w:p>
        </w:tc>
        <w:tc>
          <w:tcPr>
            <w:tcW w:w="320" w:type="dxa"/>
            <w:vAlign w:val="bottom"/>
          </w:tcPr>
          <w:p>
            <w:pPr>
              <w:spacing w:after="0"/>
              <w:rPr>
                <w:sz w:val="14"/>
                <w:szCs w:val="14"/>
                <w:color w:val="auto"/>
              </w:rPr>
            </w:pPr>
          </w:p>
        </w:tc>
        <w:tc>
          <w:tcPr>
            <w:tcW w:w="100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6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3"/>
              </w:rPr>
              <w:t>and support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39,013</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40,977</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112,350</w:t>
            </w:r>
          </w:p>
        </w:tc>
        <w:tc>
          <w:tcPr>
            <w:tcW w:w="0" w:type="dxa"/>
            <w:vAlign w:val="bottom"/>
          </w:tcPr>
          <w:p>
            <w:pPr>
              <w:spacing w:after="0"/>
              <w:rPr>
                <w:sz w:val="1"/>
                <w:szCs w:val="1"/>
                <w:color w:val="auto"/>
              </w:rPr>
            </w:pP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Canada</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7,142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10,753</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1,137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19,032</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3,194</w:t>
            </w:r>
          </w:p>
        </w:tc>
        <w:tc>
          <w:tcPr>
            <w:tcW w:w="0" w:type="dxa"/>
            <w:vAlign w:val="bottom"/>
          </w:tcPr>
          <w:p>
            <w:pPr>
              <w:spacing w:after="0"/>
              <w:rPr>
                <w:sz w:val="1"/>
                <w:szCs w:val="1"/>
                <w:color w:val="auto"/>
              </w:rPr>
            </w:pPr>
          </w:p>
        </w:tc>
      </w:tr>
      <w:tr>
        <w:trPr>
          <w:trHeight w:val="211"/>
        </w:trPr>
        <w:tc>
          <w:tcPr>
            <w:tcW w:w="6080" w:type="dxa"/>
            <w:vAlign w:val="bottom"/>
          </w:tcPr>
          <w:p>
            <w:pPr>
              <w:ind w:left="320"/>
              <w:spacing w:after="0"/>
              <w:rPr>
                <w:sz w:val="20"/>
                <w:szCs w:val="20"/>
                <w:color w:val="auto"/>
              </w:rPr>
            </w:pPr>
            <w:r>
              <w:rPr>
                <w:rFonts w:ascii="Arial" w:cs="Arial" w:eastAsia="Arial" w:hAnsi="Arial"/>
                <w:sz w:val="17"/>
                <w:szCs w:val="17"/>
                <w:color w:val="auto"/>
              </w:rPr>
              <w:t>Total Americas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47,268</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51,965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35,343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134,576</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Kingdom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8,299</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11,644</w:t>
            </w:r>
          </w:p>
        </w:tc>
        <w:tc>
          <w:tcPr>
            <w:tcW w:w="0" w:type="dxa"/>
            <w:vAlign w:val="bottom"/>
          </w:tcPr>
          <w:p>
            <w:pPr>
              <w:spacing w:after="0"/>
              <w:rPr>
                <w:sz w:val="1"/>
                <w:szCs w:val="1"/>
                <w:color w:val="auto"/>
              </w:rPr>
            </w:pPr>
          </w:p>
        </w:tc>
      </w:tr>
      <w:tr>
        <w:trPr>
          <w:trHeight w:val="218"/>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EMEA</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5,120</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12,901</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EMEA</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0" w:type="dxa"/>
            <w:vAlign w:val="bottom"/>
          </w:tcPr>
          <w:p>
            <w:pPr>
              <w:spacing w:after="0"/>
              <w:rPr>
                <w:sz w:val="1"/>
                <w:szCs w:val="1"/>
                <w:color w:val="auto"/>
              </w:rPr>
            </w:pPr>
          </w:p>
        </w:tc>
      </w:tr>
      <w:tr>
        <w:trPr>
          <w:trHeight w:val="218"/>
        </w:trPr>
        <w:tc>
          <w:tcPr>
            <w:tcW w:w="60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APAC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3,548</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10,681</w:t>
            </w:r>
          </w:p>
        </w:tc>
        <w:tc>
          <w:tcPr>
            <w:tcW w:w="0" w:type="dxa"/>
            <w:vAlign w:val="bottom"/>
          </w:tcPr>
          <w:p>
            <w:pPr>
              <w:spacing w:after="0"/>
              <w:rPr>
                <w:sz w:val="1"/>
                <w:szCs w:val="1"/>
                <w:color w:val="auto"/>
              </w:rPr>
            </w:pPr>
          </w:p>
        </w:tc>
      </w:tr>
      <w:tr>
        <w:trPr>
          <w:trHeight w:val="238"/>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57,966</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65,283</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46,553</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169,802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20" w:name="page21"/>
    <w:bookmarkEnd w:id="2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No country or region, other than those presented above, accounted for more than 10% of revenue during the three months ended October 31, 2021 and 2020.</w:t>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Customer Contract - Related Balance Sheet Amounts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Amounts related to customer contract-related arrangements are included in the condensed consolidated balance sheets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Arial" w:cs="Arial" w:eastAsia="Arial" w:hAnsi="Arial"/>
                <w:sz w:val="17"/>
                <w:szCs w:val="17"/>
                <w:b w:val="1"/>
                <w:bCs w:val="1"/>
                <w:color w:val="auto"/>
              </w:rPr>
              <w:t>October 31, 2021</w:t>
            </w:r>
          </w:p>
        </w:tc>
        <w:tc>
          <w:tcPr>
            <w:tcW w:w="600" w:type="dxa"/>
            <w:vAlign w:val="bottom"/>
          </w:tcPr>
          <w:p>
            <w:pPr>
              <w:spacing w:after="0"/>
              <w:rPr>
                <w:sz w:val="19"/>
                <w:szCs w:val="19"/>
                <w:color w:val="auto"/>
              </w:rPr>
            </w:pPr>
          </w:p>
        </w:tc>
        <w:tc>
          <w:tcPr>
            <w:tcW w:w="1580" w:type="dxa"/>
            <w:vAlign w:val="bottom"/>
          </w:tcPr>
          <w:p>
            <w:pPr>
              <w:jc w:val="right"/>
              <w:ind w:right="37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6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Unbilled accounts receivable, net</w:t>
            </w:r>
          </w:p>
        </w:tc>
        <w:tc>
          <w:tcPr>
            <w:tcW w:w="5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109,672</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103,422</w:t>
            </w:r>
          </w:p>
        </w:tc>
      </w:tr>
      <w:tr>
        <w:trPr>
          <w:trHeight w:val="218"/>
        </w:trPr>
        <w:tc>
          <w:tcPr>
            <w:tcW w:w="6800" w:type="dxa"/>
            <w:vAlign w:val="bottom"/>
          </w:tcPr>
          <w:p>
            <w:pPr>
              <w:ind w:left="320"/>
              <w:spacing w:after="0"/>
              <w:rPr>
                <w:sz w:val="20"/>
                <w:szCs w:val="20"/>
                <w:color w:val="auto"/>
              </w:rPr>
            </w:pPr>
            <w:r>
              <w:rPr>
                <w:rFonts w:ascii="Arial" w:cs="Arial" w:eastAsia="Arial" w:hAnsi="Arial"/>
                <w:sz w:val="17"/>
                <w:szCs w:val="17"/>
                <w:color w:val="auto"/>
              </w:rPr>
              <w:t>Contract costs, net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42,877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42,235</w:t>
            </w:r>
          </w:p>
        </w:tc>
      </w:tr>
      <w:tr>
        <w:trPr>
          <w:trHeight w:val="220"/>
        </w:trPr>
        <w:tc>
          <w:tcPr>
            <w:tcW w:w="6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 net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116,256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145,936</w:t>
            </w:r>
          </w:p>
        </w:tc>
      </w:tr>
    </w:tbl>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October 31, 2021 and July 31, 2021, there was no allowance for credit losses associated with unbilled accounts receivable.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Contract costs</w:t>
      </w:r>
    </w:p>
    <w:p>
      <w:pPr>
        <w:spacing w:after="0" w:line="153"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current portion of contract costs of $13.8 million and $13.4 million is included in prepaid and other current assets in the Company’s condensed consolidated balance sheets as of October 31, 2021 and July 31, 2021, respectively. The non-current portion of contract costs of $29.1 million and $28.9 million is included in other assets in the Company’s condensed consolidated balance sheets as of October 31, 2021 and July 31, 2021, respectively. The Company amortized $3.0 million and $2.2 million of contract costs during the three months ended October 31, 2021 and 2020, respectively.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Deferred revenue</w:t>
      </w:r>
    </w:p>
    <w:p>
      <w:pPr>
        <w:spacing w:after="0" w:line="14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During the three months ended October 31, 2021, the Company recognized revenue of approximately $67 million related to the Company’s deferred revenue balance reported as of July 31, 2021.</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53"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aggregate amount of consideration allocated to remaining performance obligations either not satisfied or partially satisfied, was approximately $881 million as of October 31, 2021.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3. Fair Value of Financial Instruments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Available-for-sale investments within cash equivalents and investments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5"/>
          </w:tcPr>
          <w:p>
            <w:pPr>
              <w:ind w:left="980"/>
              <w:spacing w:after="0"/>
              <w:rPr>
                <w:sz w:val="20"/>
                <w:szCs w:val="20"/>
                <w:color w:val="auto"/>
              </w:rPr>
            </w:pPr>
            <w:r>
              <w:rPr>
                <w:rFonts w:ascii="Arial" w:cs="Arial" w:eastAsia="Arial" w:hAnsi="Arial"/>
                <w:sz w:val="17"/>
                <w:szCs w:val="17"/>
                <w:b w:val="1"/>
                <w:bCs w:val="1"/>
                <w:color w:val="auto"/>
              </w:rPr>
              <w:t>October 31, 2021</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Amortized Cost</w:t>
            </w:r>
          </w:p>
        </w:tc>
        <w:tc>
          <w:tcPr>
            <w:tcW w:w="44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Unrealized Gains</w:t>
            </w:r>
          </w:p>
        </w:tc>
        <w:tc>
          <w:tcPr>
            <w:tcW w:w="42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Unrealized Losses</w:t>
            </w:r>
          </w:p>
        </w:tc>
        <w:tc>
          <w:tcPr>
            <w:tcW w:w="460" w:type="dxa"/>
            <w:vAlign w:val="bottom"/>
          </w:tcPr>
          <w:p>
            <w:pPr>
              <w:spacing w:after="0"/>
              <w:rPr>
                <w:sz w:val="14"/>
                <w:szCs w:val="14"/>
                <w:color w:val="auto"/>
              </w:rPr>
            </w:pPr>
          </w:p>
        </w:tc>
        <w:tc>
          <w:tcPr>
            <w:tcW w:w="1360" w:type="dxa"/>
            <w:vAlign w:val="bottom"/>
          </w:tcPr>
          <w:p>
            <w:pPr>
              <w:jc w:val="right"/>
              <w:ind w:right="114"/>
              <w:spacing w:after="0" w:line="162" w:lineRule="exact"/>
              <w:rPr>
                <w:sz w:val="20"/>
                <w:szCs w:val="20"/>
                <w:color w:val="auto"/>
              </w:rPr>
            </w:pPr>
            <w:r>
              <w:rPr>
                <w:rFonts w:ascii="Arial" w:cs="Arial" w:eastAsia="Arial" w:hAnsi="Arial"/>
                <w:sz w:val="17"/>
                <w:szCs w:val="17"/>
                <w:b w:val="1"/>
                <w:bCs w:val="1"/>
                <w:color w:val="auto"/>
                <w:w w:val="97"/>
              </w:rPr>
              <w:t>Estimated Fair</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ind w:right="61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2"/>
        </w:trPr>
        <w:tc>
          <w:tcPr>
            <w:tcW w:w="36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U.S. Government agency securities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37,672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37,602</w:t>
            </w:r>
          </w:p>
        </w:tc>
        <w:tc>
          <w:tcPr>
            <w:tcW w:w="0" w:type="dxa"/>
            <w:vAlign w:val="bottom"/>
          </w:tcPr>
          <w:p>
            <w:pPr>
              <w:spacing w:after="0"/>
              <w:rPr>
                <w:sz w:val="1"/>
                <w:szCs w:val="1"/>
                <w:color w:val="auto"/>
              </w:rPr>
            </w:pPr>
          </w:p>
        </w:tc>
      </w:tr>
      <w:tr>
        <w:trPr>
          <w:trHeight w:val="218"/>
        </w:trPr>
        <w:tc>
          <w:tcPr>
            <w:tcW w:w="3620" w:type="dxa"/>
            <w:vAlign w:val="bottom"/>
          </w:tcPr>
          <w:p>
            <w:pPr>
              <w:ind w:left="320"/>
              <w:spacing w:after="0"/>
              <w:rPr>
                <w:sz w:val="20"/>
                <w:szCs w:val="20"/>
                <w:color w:val="auto"/>
              </w:rPr>
            </w:pPr>
            <w:r>
              <w:rPr>
                <w:rFonts w:ascii="Arial" w:cs="Arial" w:eastAsia="Arial" w:hAnsi="Arial"/>
                <w:sz w:val="17"/>
                <w:szCs w:val="17"/>
                <w:color w:val="auto"/>
              </w:rPr>
              <w:t>Commercial paper</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327,355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327,355</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372,970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372,883</w:t>
            </w:r>
          </w:p>
        </w:tc>
        <w:tc>
          <w:tcPr>
            <w:tcW w:w="0" w:type="dxa"/>
            <w:vAlign w:val="bottom"/>
          </w:tcPr>
          <w:p>
            <w:pPr>
              <w:spacing w:after="0"/>
              <w:rPr>
                <w:sz w:val="1"/>
                <w:szCs w:val="1"/>
                <w:color w:val="auto"/>
              </w:rPr>
            </w:pPr>
          </w:p>
        </w:tc>
      </w:tr>
      <w:tr>
        <w:trPr>
          <w:trHeight w:val="218"/>
        </w:trPr>
        <w:tc>
          <w:tcPr>
            <w:tcW w:w="3620" w:type="dxa"/>
            <w:vAlign w:val="bottom"/>
          </w:tcPr>
          <w:p>
            <w:pPr>
              <w:ind w:left="320"/>
              <w:spacing w:after="0"/>
              <w:rPr>
                <w:sz w:val="20"/>
                <w:szCs w:val="20"/>
                <w:color w:val="auto"/>
              </w:rPr>
            </w:pPr>
            <w:r>
              <w:rPr>
                <w:rFonts w:ascii="Arial" w:cs="Arial" w:eastAsia="Arial" w:hAnsi="Arial"/>
                <w:sz w:val="17"/>
                <w:szCs w:val="17"/>
                <w:color w:val="auto"/>
              </w:rPr>
              <w:t>U.S. Government bonds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62,321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62,165</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48,753</w:t>
            </w:r>
          </w:p>
        </w:tc>
        <w:tc>
          <w:tcPr>
            <w:tcW w:w="0" w:type="dxa"/>
            <w:vAlign w:val="bottom"/>
          </w:tcPr>
          <w:p>
            <w:pPr>
              <w:spacing w:after="0"/>
              <w:rPr>
                <w:sz w:val="1"/>
                <w:szCs w:val="1"/>
                <w:color w:val="auto"/>
              </w:rPr>
            </w:pPr>
          </w:p>
        </w:tc>
      </w:tr>
      <w:tr>
        <w:trPr>
          <w:trHeight w:val="218"/>
        </w:trPr>
        <w:tc>
          <w:tcPr>
            <w:tcW w:w="3620" w:type="dxa"/>
            <w:vAlign w:val="bottom"/>
          </w:tcPr>
          <w:p>
            <w:pPr>
              <w:ind w:left="320"/>
              <w:spacing w:after="0"/>
              <w:rPr>
                <w:sz w:val="20"/>
                <w:szCs w:val="20"/>
                <w:color w:val="auto"/>
              </w:rPr>
            </w:pPr>
            <w:r>
              <w:rPr>
                <w:rFonts w:ascii="Arial" w:cs="Arial" w:eastAsia="Arial" w:hAnsi="Arial"/>
                <w:sz w:val="17"/>
                <w:szCs w:val="17"/>
                <w:color w:val="auto"/>
              </w:rPr>
              <w:t>Foreign government bonds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43,586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43,566</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18"/>
        </w:trPr>
        <w:tc>
          <w:tcPr>
            <w:tcW w:w="3620" w:type="dxa"/>
            <w:vAlign w:val="bottom"/>
          </w:tcPr>
          <w:p>
            <w:pPr>
              <w:ind w:left="320"/>
              <w:spacing w:after="0"/>
              <w:rPr>
                <w:sz w:val="20"/>
                <w:szCs w:val="20"/>
                <w:color w:val="auto"/>
              </w:rPr>
            </w:pPr>
            <w:r>
              <w:rPr>
                <w:rFonts w:ascii="Arial" w:cs="Arial" w:eastAsia="Arial" w:hAnsi="Arial"/>
                <w:sz w:val="17"/>
                <w:szCs w:val="17"/>
                <w:color w:val="auto"/>
              </w:rPr>
              <w:t>Certificates of deposit</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82,151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82,151</w:t>
            </w:r>
          </w:p>
        </w:tc>
        <w:tc>
          <w:tcPr>
            <w:tcW w:w="0" w:type="dxa"/>
            <w:vAlign w:val="bottom"/>
          </w:tcPr>
          <w:p>
            <w:pPr>
              <w:spacing w:after="0"/>
              <w:rPr>
                <w:sz w:val="1"/>
                <w:szCs w:val="1"/>
                <w:color w:val="auto"/>
              </w:rPr>
            </w:pPr>
          </w:p>
        </w:tc>
      </w:tr>
      <w:tr>
        <w:trPr>
          <w:trHeight w:val="220"/>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Money market funds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66,523</w:t>
            </w:r>
          </w:p>
        </w:tc>
        <w:tc>
          <w:tcPr>
            <w:tcW w:w="0" w:type="dxa"/>
            <w:vAlign w:val="bottom"/>
          </w:tcPr>
          <w:p>
            <w:pPr>
              <w:spacing w:after="0"/>
              <w:rPr>
                <w:sz w:val="1"/>
                <w:szCs w:val="1"/>
                <w:color w:val="auto"/>
              </w:rPr>
            </w:pPr>
          </w:p>
        </w:tc>
      </w:tr>
      <w:tr>
        <w:trPr>
          <w:trHeight w:val="218"/>
        </w:trPr>
        <w:tc>
          <w:tcPr>
            <w:tcW w:w="3620" w:type="dxa"/>
            <w:vAlign w:val="bottom"/>
          </w:tcPr>
          <w:p>
            <w:pPr>
              <w:ind w:left="320"/>
              <w:spacing w:after="0"/>
              <w:rPr>
                <w:sz w:val="20"/>
                <w:szCs w:val="20"/>
                <w:color w:val="auto"/>
              </w:rPr>
            </w:pPr>
            <w:r>
              <w:rPr>
                <w:rFonts w:ascii="Arial" w:cs="Arial" w:eastAsia="Arial" w:hAnsi="Arial"/>
                <w:sz w:val="17"/>
                <w:szCs w:val="17"/>
                <w:color w:val="auto"/>
              </w:rPr>
              <w:t>Strategic convertible debt investment*</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38"/>
        </w:trPr>
        <w:tc>
          <w:tcPr>
            <w:tcW w:w="3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1,042,561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1,042,203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3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9</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1" w:name="page22"/>
    <w:bookmarkEnd w:id="21"/>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380" w:type="dxa"/>
            <w:vAlign w:val="bottom"/>
          </w:tcPr>
          <w:p>
            <w:pPr>
              <w:spacing w:after="0"/>
              <w:rPr>
                <w:sz w:val="20"/>
                <w:szCs w:val="20"/>
                <w:color w:val="auto"/>
              </w:rPr>
            </w:pPr>
            <w:r>
              <w:rPr>
                <w:rFonts w:ascii="Arial" w:cs="Arial" w:eastAsia="Arial" w:hAnsi="Arial"/>
                <w:sz w:val="11"/>
                <w:szCs w:val="11"/>
                <w:color w:val="auto"/>
              </w:rPr>
              <w:t>*At original cost</w:t>
            </w: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02"/>
        </w:trPr>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1080"/>
              <w:spacing w:after="0"/>
              <w:rPr>
                <w:sz w:val="20"/>
                <w:szCs w:val="20"/>
                <w:color w:val="auto"/>
              </w:rPr>
            </w:pPr>
            <w:r>
              <w:rPr>
                <w:rFonts w:ascii="Arial" w:cs="Arial" w:eastAsia="Arial" w:hAnsi="Arial"/>
                <w:sz w:val="17"/>
                <w:szCs w:val="17"/>
                <w:b w:val="1"/>
                <w:bCs w:val="1"/>
                <w:color w:val="auto"/>
              </w:rPr>
              <w:t>July 31, 2021</w:t>
            </w: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3"/>
        </w:trPr>
        <w:tc>
          <w:tcPr>
            <w:tcW w:w="4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5"/>
              </w:rPr>
              <w:t>Amortized Cost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4"/>
              </w:rPr>
              <w:t>Unrealized Gains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7"/>
              </w:rPr>
              <w:t>Unrealized Losses</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4"/>
              </w:rPr>
              <w:t>Estimated Fair Value</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Government agency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85,180</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389,837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389,837</w:t>
            </w:r>
          </w:p>
        </w:tc>
      </w:tr>
      <w:tr>
        <w:trPr>
          <w:trHeight w:val="22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371,960</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U.S. Government bonds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64,401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64,462</w:t>
            </w:r>
          </w:p>
        </w:tc>
      </w:tr>
      <w:tr>
        <w:trPr>
          <w:trHeight w:val="22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47,947</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Foreign government bonds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33,185</w:t>
            </w:r>
          </w:p>
        </w:tc>
      </w:tr>
      <w:tr>
        <w:trPr>
          <w:trHeight w:val="22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Municipal bonds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Certificates of deposit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82,250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82,250</w:t>
            </w:r>
          </w:p>
        </w:tc>
      </w:tr>
      <w:tr>
        <w:trPr>
          <w:trHeight w:val="22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125,118</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Strategic convertible debt investment*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0" w:type="dxa"/>
            <w:vAlign w:val="bottom"/>
            <w:gridSpan w:val="2"/>
          </w:tcPr>
          <w:p>
            <w:pPr>
              <w:ind w:left="12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38"/>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1,202,624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*At original cost</w:t>
      </w:r>
    </w:p>
    <w:p>
      <w:pPr>
        <w:spacing w:after="0" w:line="383"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Company does not consider any portion of the unrealized losses at October 31, 2021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are based on specific identification when the securities are sold. The realized gains and losses from sales of securities are presented in the condensed consolidated statements of comprehensive income (loss).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contractual maturities of the Company’s available-for-sale investments measured at fair value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2"/>
              </w:rPr>
              <w:t>October 31, 2021</w:t>
            </w:r>
          </w:p>
        </w:tc>
        <w:tc>
          <w:tcPr>
            <w:tcW w:w="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3"/>
        </w:trPr>
        <w:tc>
          <w:tcPr>
            <w:tcW w:w="4780" w:type="dxa"/>
            <w:vAlign w:val="bottom"/>
          </w:tcPr>
          <w:p>
            <w:pPr>
              <w:spacing w:after="0"/>
              <w:rPr>
                <w:sz w:val="18"/>
                <w:szCs w:val="18"/>
                <w:color w:val="auto"/>
              </w:rPr>
            </w:pPr>
          </w:p>
        </w:tc>
        <w:tc>
          <w:tcPr>
            <w:tcW w:w="2180" w:type="dxa"/>
            <w:vAlign w:val="bottom"/>
            <w:gridSpan w:val="3"/>
          </w:tcPr>
          <w:p>
            <w:pPr>
              <w:ind w:left="400"/>
              <w:spacing w:after="0"/>
              <w:rPr>
                <w:sz w:val="20"/>
                <w:szCs w:val="20"/>
                <w:color w:val="auto"/>
              </w:rPr>
            </w:pPr>
            <w:r>
              <w:rPr>
                <w:rFonts w:ascii="Arial" w:cs="Arial" w:eastAsia="Arial" w:hAnsi="Arial"/>
                <w:sz w:val="17"/>
                <w:szCs w:val="17"/>
                <w:b w:val="1"/>
                <w:bCs w:val="1"/>
                <w:color w:val="auto"/>
              </w:rPr>
              <w:t>Less Than 12 Months</w:t>
            </w:r>
          </w:p>
        </w:tc>
        <w:tc>
          <w:tcPr>
            <w:tcW w:w="2180" w:type="dxa"/>
            <w:vAlign w:val="bottom"/>
            <w:gridSpan w:val="3"/>
          </w:tcPr>
          <w:p>
            <w:pPr>
              <w:jc w:val="center"/>
              <w:ind w:left="134"/>
              <w:spacing w:after="0"/>
              <w:rPr>
                <w:sz w:val="20"/>
                <w:szCs w:val="20"/>
                <w:color w:val="auto"/>
              </w:rPr>
            </w:pPr>
            <w:r>
              <w:rPr>
                <w:rFonts w:ascii="Arial" w:cs="Arial" w:eastAsia="Arial" w:hAnsi="Arial"/>
                <w:sz w:val="17"/>
                <w:szCs w:val="17"/>
                <w:b w:val="1"/>
                <w:bCs w:val="1"/>
                <w:color w:val="auto"/>
                <w:w w:val="93"/>
              </w:rPr>
              <w:t>12 Months or Greater</w:t>
            </w:r>
          </w:p>
        </w:tc>
        <w:tc>
          <w:tcPr>
            <w:tcW w:w="720" w:type="dxa"/>
            <w:vAlign w:val="bottom"/>
          </w:tcPr>
          <w:p>
            <w:pPr>
              <w:spacing w:after="0"/>
              <w:rPr>
                <w:sz w:val="18"/>
                <w:szCs w:val="18"/>
                <w:color w:val="auto"/>
              </w:rPr>
            </w:pPr>
          </w:p>
        </w:tc>
        <w:tc>
          <w:tcPr>
            <w:tcW w:w="1380" w:type="dxa"/>
            <w:vAlign w:val="bottom"/>
          </w:tcPr>
          <w:p>
            <w:pPr>
              <w:jc w:val="right"/>
              <w:ind w:right="614"/>
              <w:spacing w:after="0"/>
              <w:rPr>
                <w:sz w:val="20"/>
                <w:szCs w:val="20"/>
                <w:color w:val="auto"/>
              </w:rPr>
            </w:pPr>
            <w:r>
              <w:rPr>
                <w:rFonts w:ascii="Arial" w:cs="Arial" w:eastAsia="Arial" w:hAnsi="Arial"/>
                <w:sz w:val="17"/>
                <w:szCs w:val="17"/>
                <w:b w:val="1"/>
                <w:bCs w:val="1"/>
                <w:color w:val="auto"/>
              </w:rPr>
              <w:t>Total</w:t>
            </w:r>
          </w:p>
        </w:tc>
      </w:tr>
      <w:tr>
        <w:trPr>
          <w:trHeight w:val="212"/>
        </w:trPr>
        <w:tc>
          <w:tcPr>
            <w:tcW w:w="47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U.S. Government agency securities</w:t>
            </w:r>
          </w:p>
        </w:tc>
        <w:tc>
          <w:tcPr>
            <w:tcW w:w="5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27,602</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37,602</w:t>
            </w:r>
          </w:p>
        </w:tc>
      </w:tr>
      <w:tr>
        <w:trPr>
          <w:trHeight w:val="218"/>
        </w:trPr>
        <w:tc>
          <w:tcPr>
            <w:tcW w:w="4780" w:type="dxa"/>
            <w:vAlign w:val="bottom"/>
          </w:tcPr>
          <w:p>
            <w:pPr>
              <w:ind w:left="320"/>
              <w:spacing w:after="0"/>
              <w:rPr>
                <w:sz w:val="20"/>
                <w:szCs w:val="20"/>
                <w:color w:val="auto"/>
              </w:rPr>
            </w:pPr>
            <w:r>
              <w:rPr>
                <w:rFonts w:ascii="Arial" w:cs="Arial" w:eastAsia="Arial" w:hAnsi="Arial"/>
                <w:sz w:val="17"/>
                <w:szCs w:val="17"/>
                <w:color w:val="auto"/>
              </w:rPr>
              <w:t>Commercial paper</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327,355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327,355</w:t>
            </w:r>
          </w:p>
        </w:tc>
      </w:tr>
      <w:tr>
        <w:trPr>
          <w:trHeight w:val="220"/>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5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166,915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372,883</w:t>
            </w:r>
          </w:p>
        </w:tc>
      </w:tr>
      <w:tr>
        <w:trPr>
          <w:trHeight w:val="218"/>
        </w:trPr>
        <w:tc>
          <w:tcPr>
            <w:tcW w:w="4780" w:type="dxa"/>
            <w:vAlign w:val="bottom"/>
          </w:tcPr>
          <w:p>
            <w:pPr>
              <w:ind w:left="320"/>
              <w:spacing w:after="0"/>
              <w:rPr>
                <w:sz w:val="20"/>
                <w:szCs w:val="20"/>
                <w:color w:val="auto"/>
              </w:rPr>
            </w:pPr>
            <w:r>
              <w:rPr>
                <w:rFonts w:ascii="Arial" w:cs="Arial" w:eastAsia="Arial" w:hAnsi="Arial"/>
                <w:sz w:val="17"/>
                <w:szCs w:val="17"/>
                <w:color w:val="auto"/>
              </w:rPr>
              <w:t>U.S. Government bonds</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17,429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44,736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62,165</w:t>
            </w:r>
          </w:p>
        </w:tc>
      </w:tr>
      <w:tr>
        <w:trPr>
          <w:trHeight w:val="220"/>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5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48,753</w:t>
            </w:r>
          </w:p>
        </w:tc>
      </w:tr>
      <w:tr>
        <w:trPr>
          <w:trHeight w:val="218"/>
        </w:trPr>
        <w:tc>
          <w:tcPr>
            <w:tcW w:w="4780" w:type="dxa"/>
            <w:vAlign w:val="bottom"/>
          </w:tcPr>
          <w:p>
            <w:pPr>
              <w:ind w:left="320"/>
              <w:spacing w:after="0"/>
              <w:rPr>
                <w:sz w:val="20"/>
                <w:szCs w:val="20"/>
                <w:color w:val="auto"/>
              </w:rPr>
            </w:pPr>
            <w:r>
              <w:rPr>
                <w:rFonts w:ascii="Arial" w:cs="Arial" w:eastAsia="Arial" w:hAnsi="Arial"/>
                <w:sz w:val="17"/>
                <w:szCs w:val="17"/>
                <w:color w:val="auto"/>
              </w:rPr>
              <w:t>Foreign government bonds</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33,045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10,521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43,566</w:t>
            </w:r>
          </w:p>
        </w:tc>
      </w:tr>
      <w:tr>
        <w:trPr>
          <w:trHeight w:val="220"/>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5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18"/>
        </w:trPr>
        <w:tc>
          <w:tcPr>
            <w:tcW w:w="4780" w:type="dxa"/>
            <w:vAlign w:val="bottom"/>
          </w:tcPr>
          <w:p>
            <w:pPr>
              <w:ind w:left="320"/>
              <w:spacing w:after="0"/>
              <w:rPr>
                <w:sz w:val="20"/>
                <w:szCs w:val="20"/>
                <w:color w:val="auto"/>
              </w:rPr>
            </w:pPr>
            <w:r>
              <w:rPr>
                <w:rFonts w:ascii="Arial" w:cs="Arial" w:eastAsia="Arial" w:hAnsi="Arial"/>
                <w:sz w:val="17"/>
                <w:szCs w:val="17"/>
                <w:color w:val="auto"/>
              </w:rPr>
              <w:t>Certificates of deposit</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79,151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82,151</w:t>
            </w:r>
          </w:p>
        </w:tc>
      </w:tr>
      <w:tr>
        <w:trPr>
          <w:trHeight w:val="220"/>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Money market funds</w:t>
            </w:r>
          </w:p>
        </w:tc>
        <w:tc>
          <w:tcPr>
            <w:tcW w:w="5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66,523</w:t>
            </w:r>
          </w:p>
        </w:tc>
      </w:tr>
      <w:tr>
        <w:trPr>
          <w:trHeight w:val="218"/>
        </w:trPr>
        <w:tc>
          <w:tcPr>
            <w:tcW w:w="4780" w:type="dxa"/>
            <w:vAlign w:val="bottom"/>
          </w:tcPr>
          <w:p>
            <w:pPr>
              <w:ind w:left="320"/>
              <w:spacing w:after="0"/>
              <w:rPr>
                <w:sz w:val="20"/>
                <w:szCs w:val="20"/>
                <w:color w:val="auto"/>
              </w:rPr>
            </w:pPr>
            <w:r>
              <w:rPr>
                <w:rFonts w:ascii="Arial" w:cs="Arial" w:eastAsia="Arial" w:hAnsi="Arial"/>
                <w:sz w:val="17"/>
                <w:szCs w:val="17"/>
                <w:color w:val="auto"/>
              </w:rPr>
              <w:t>Strategic convertible debt investment</w:t>
            </w:r>
          </w:p>
        </w:tc>
        <w:tc>
          <w:tcPr>
            <w:tcW w:w="5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38"/>
        </w:trPr>
        <w:tc>
          <w:tcPr>
            <w:tcW w:w="47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Total</w:t>
            </w:r>
          </w:p>
        </w:tc>
        <w:tc>
          <w:tcPr>
            <w:tcW w:w="5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744,362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1,042,203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08"/>
        </w:trPr>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jc w:val="right"/>
              <w:ind w:right="1074"/>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0"/>
        </w:trPr>
        <w:tc>
          <w:tcPr>
            <w:tcW w:w="47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2" w:name="page23"/>
    <w:bookmarkEnd w:id="22"/>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5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applies the three-level valuation hierarchy when measuring the fair value of certain assets and liabilities: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Level 1—Unadjusted quoted prices in active markets for identical assets or liabilities;</w:t>
      </w:r>
    </w:p>
    <w:p>
      <w:pPr>
        <w:spacing w:after="0" w:line="101" w:lineRule="exact"/>
        <w:rPr>
          <w:sz w:val="20"/>
          <w:szCs w:val="20"/>
          <w:color w:val="auto"/>
        </w:rPr>
      </w:pPr>
    </w:p>
    <w:p>
      <w:pPr>
        <w:ind w:firstLine="541"/>
        <w:spacing w:after="0" w:line="279" w:lineRule="auto"/>
        <w:rPr>
          <w:sz w:val="20"/>
          <w:szCs w:val="20"/>
          <w:color w:val="auto"/>
        </w:rPr>
      </w:pPr>
      <w:r>
        <w:rPr>
          <w:rFonts w:ascii="Arial" w:cs="Arial" w:eastAsia="Arial" w:hAnsi="Arial"/>
          <w:sz w:val="17"/>
          <w:szCs w:val="17"/>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Available-for-sale investments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summarize the Company’s available-for-sale investments measured at fair value, by level within the fair value hierarchy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ind w:left="68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3"/>
        </w:trPr>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1</w:t>
            </w:r>
          </w:p>
        </w:tc>
        <w:tc>
          <w:tcPr>
            <w:tcW w:w="58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2</w:t>
            </w:r>
          </w:p>
        </w:tc>
        <w:tc>
          <w:tcPr>
            <w:tcW w:w="5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3</w:t>
            </w:r>
          </w:p>
        </w:tc>
        <w:tc>
          <w:tcPr>
            <w:tcW w:w="620" w:type="dxa"/>
            <w:vAlign w:val="bottom"/>
          </w:tcPr>
          <w:p>
            <w:pPr>
              <w:spacing w:after="0"/>
              <w:rPr>
                <w:sz w:val="18"/>
                <w:szCs w:val="18"/>
                <w:color w:val="auto"/>
              </w:rPr>
            </w:pPr>
          </w:p>
        </w:tc>
        <w:tc>
          <w:tcPr>
            <w:tcW w:w="1080" w:type="dxa"/>
            <w:vAlign w:val="bottom"/>
          </w:tcPr>
          <w:p>
            <w:pPr>
              <w:jc w:val="right"/>
              <w:ind w:right="414"/>
              <w:spacing w:after="0"/>
              <w:rPr>
                <w:sz w:val="20"/>
                <w:szCs w:val="20"/>
                <w:color w:val="auto"/>
              </w:rPr>
            </w:pPr>
            <w:r>
              <w:rPr>
                <w:rFonts w:ascii="Arial" w:cs="Arial" w:eastAsia="Arial" w:hAnsi="Arial"/>
                <w:sz w:val="17"/>
                <w:szCs w:val="17"/>
                <w:b w:val="1"/>
                <w:bCs w:val="1"/>
                <w:color w:val="auto"/>
              </w:rPr>
              <w:t>Total</w:t>
            </w:r>
          </w:p>
        </w:tc>
      </w:tr>
      <w:tr>
        <w:trPr>
          <w:trHeight w:val="199"/>
        </w:trPr>
        <w:tc>
          <w:tcPr>
            <w:tcW w:w="4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Cash equivalents:</w:t>
            </w:r>
          </w:p>
        </w:tc>
        <w:tc>
          <w:tcPr>
            <w:tcW w:w="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Commercial paper</w:t>
            </w:r>
          </w:p>
        </w:tc>
        <w:tc>
          <w:tcPr>
            <w:tcW w:w="5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75,677</w:t>
            </w:r>
          </w:p>
        </w:tc>
        <w:tc>
          <w:tcPr>
            <w:tcW w:w="100" w:type="dxa"/>
            <w:vAlign w:val="bottom"/>
          </w:tcPr>
          <w:p>
            <w:pPr>
              <w:spacing w:after="0"/>
              <w:rPr>
                <w:sz w:val="18"/>
                <w:szCs w:val="18"/>
                <w:color w:val="auto"/>
              </w:rPr>
            </w:pPr>
          </w:p>
        </w:tc>
        <w:tc>
          <w:tcPr>
            <w:tcW w:w="5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75,677</w:t>
            </w:r>
          </w:p>
        </w:tc>
      </w:tr>
      <w:tr>
        <w:trPr>
          <w:trHeight w:val="220"/>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Money market funds</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66,523</w:t>
            </w:r>
          </w:p>
        </w:tc>
      </w:tr>
      <w:tr>
        <w:trPr>
          <w:trHeight w:val="211"/>
        </w:trPr>
        <w:tc>
          <w:tcPr>
            <w:tcW w:w="4280" w:type="dxa"/>
            <w:vAlign w:val="bottom"/>
          </w:tcPr>
          <w:p>
            <w:pPr>
              <w:ind w:left="540"/>
              <w:spacing w:after="0"/>
              <w:rPr>
                <w:sz w:val="20"/>
                <w:szCs w:val="20"/>
                <w:color w:val="auto"/>
              </w:rPr>
            </w:pPr>
            <w:r>
              <w:rPr>
                <w:rFonts w:ascii="Arial" w:cs="Arial" w:eastAsia="Arial" w:hAnsi="Arial"/>
                <w:sz w:val="17"/>
                <w:szCs w:val="17"/>
                <w:b w:val="1"/>
                <w:bCs w:val="1"/>
                <w:color w:val="auto"/>
              </w:rPr>
              <w:t>Total cash equivalents</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66,523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75,677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142,200</w:t>
            </w:r>
          </w:p>
        </w:tc>
      </w:tr>
      <w:tr>
        <w:trPr>
          <w:trHeight w:val="220"/>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Short-term investments: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U.S. Government agency securities</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20"/>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Commercial paper</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251,678</w:t>
            </w: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Corporate bonds</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205,968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205,968</w:t>
            </w:r>
          </w:p>
        </w:tc>
      </w:tr>
      <w:tr>
        <w:trPr>
          <w:trHeight w:val="220"/>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U.S. Government bonds</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17,429</w:t>
            </w: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Asset-backed securities</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3,891</w:t>
            </w:r>
          </w:p>
        </w:tc>
      </w:tr>
      <w:tr>
        <w:trPr>
          <w:trHeight w:val="220"/>
        </w:trPr>
        <w:tc>
          <w:tcPr>
            <w:tcW w:w="42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Foreign government bonds</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33,045</w:t>
            </w: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Certificates of deposit</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79,151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79,151</w:t>
            </w:r>
          </w:p>
        </w:tc>
      </w:tr>
      <w:tr>
        <w:trPr>
          <w:trHeight w:val="220"/>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Strategic convertible debt investment</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1"/>
        </w:trPr>
        <w:tc>
          <w:tcPr>
            <w:tcW w:w="4280" w:type="dxa"/>
            <w:vAlign w:val="bottom"/>
          </w:tcPr>
          <w:p>
            <w:pPr>
              <w:ind w:left="540"/>
              <w:spacing w:after="0"/>
              <w:rPr>
                <w:sz w:val="20"/>
                <w:szCs w:val="20"/>
                <w:color w:val="auto"/>
              </w:rPr>
            </w:pPr>
            <w:r>
              <w:rPr>
                <w:rFonts w:ascii="Arial" w:cs="Arial" w:eastAsia="Arial" w:hAnsi="Arial"/>
                <w:sz w:val="17"/>
                <w:szCs w:val="17"/>
                <w:b w:val="1"/>
                <w:bCs w:val="1"/>
                <w:color w:val="auto"/>
              </w:rPr>
              <w:t>Total short-term investments</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601,162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602,162</w:t>
            </w:r>
          </w:p>
        </w:tc>
      </w:tr>
      <w:tr>
        <w:trPr>
          <w:trHeight w:val="220"/>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Long-term investments: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U.S. Government agency securities</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27,602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27,602</w:t>
            </w:r>
          </w:p>
        </w:tc>
      </w:tr>
      <w:tr>
        <w:trPr>
          <w:trHeight w:val="220"/>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Corporate bonds</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166,915</w:t>
            </w: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U.S. Government bonds</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44,736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44,736</w:t>
            </w:r>
          </w:p>
        </w:tc>
      </w:tr>
      <w:tr>
        <w:trPr>
          <w:trHeight w:val="220"/>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Asset-backed securities</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44,862</w:t>
            </w:r>
          </w:p>
        </w:tc>
      </w:tr>
      <w:tr>
        <w:trPr>
          <w:trHeight w:val="218"/>
        </w:trPr>
        <w:tc>
          <w:tcPr>
            <w:tcW w:w="4280" w:type="dxa"/>
            <w:vAlign w:val="bottom"/>
          </w:tcPr>
          <w:p>
            <w:pPr>
              <w:ind w:left="520"/>
              <w:spacing w:after="0"/>
              <w:rPr>
                <w:sz w:val="20"/>
                <w:szCs w:val="20"/>
                <w:color w:val="auto"/>
              </w:rPr>
            </w:pPr>
            <w:r>
              <w:rPr>
                <w:rFonts w:ascii="Arial" w:cs="Arial" w:eastAsia="Arial" w:hAnsi="Arial"/>
                <w:sz w:val="17"/>
                <w:szCs w:val="17"/>
                <w:color w:val="auto"/>
              </w:rPr>
              <w:t>Foreign government bonds</w:t>
            </w: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10,521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10,521</w:t>
            </w:r>
          </w:p>
        </w:tc>
      </w:tr>
      <w:tr>
        <w:trPr>
          <w:trHeight w:val="220"/>
        </w:trPr>
        <w:tc>
          <w:tcPr>
            <w:tcW w:w="42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Certificates of deposit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r>
      <w:tr>
        <w:trPr>
          <w:trHeight w:val="218"/>
        </w:trPr>
        <w:tc>
          <w:tcPr>
            <w:tcW w:w="428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Municipal bonds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r>
      <w:tr>
        <w:trPr>
          <w:trHeight w:val="212"/>
        </w:trPr>
        <w:tc>
          <w:tcPr>
            <w:tcW w:w="4280" w:type="dxa"/>
            <w:vAlign w:val="bottom"/>
            <w:shd w:val="clear" w:color="auto" w:fill="CCEEFF"/>
          </w:tcPr>
          <w:p>
            <w:pPr>
              <w:ind w:left="540"/>
              <w:spacing w:after="0"/>
              <w:rPr>
                <w:sz w:val="20"/>
                <w:szCs w:val="20"/>
                <w:color w:val="auto"/>
              </w:rPr>
            </w:pPr>
            <w:r>
              <w:rPr>
                <w:rFonts w:ascii="Arial" w:cs="Arial" w:eastAsia="Arial" w:hAnsi="Arial"/>
                <w:sz w:val="17"/>
                <w:szCs w:val="17"/>
                <w:b w:val="1"/>
                <w:bCs w:val="1"/>
                <w:color w:val="auto"/>
              </w:rPr>
              <w:t>Total long-term investments</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297,841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297,841</w:t>
            </w:r>
          </w:p>
        </w:tc>
      </w:tr>
      <w:tr>
        <w:trPr>
          <w:trHeight w:val="213"/>
        </w:trPr>
        <w:tc>
          <w:tcPr>
            <w:tcW w:w="4280" w:type="dxa"/>
            <w:vAlign w:val="bottom"/>
          </w:tcPr>
          <w:p>
            <w:pPr>
              <w:ind w:left="840"/>
              <w:spacing w:after="0"/>
              <w:rPr>
                <w:sz w:val="20"/>
                <w:szCs w:val="20"/>
                <w:color w:val="auto"/>
              </w:rPr>
            </w:pPr>
            <w:r>
              <w:rPr>
                <w:rFonts w:ascii="Arial" w:cs="Arial" w:eastAsia="Arial" w:hAnsi="Arial"/>
                <w:sz w:val="17"/>
                <w:szCs w:val="17"/>
                <w:b w:val="1"/>
                <w:bCs w:val="1"/>
                <w:color w:val="auto"/>
              </w:rPr>
              <w:t>Total</w:t>
            </w:r>
          </w:p>
        </w:tc>
        <w:tc>
          <w:tcPr>
            <w:tcW w:w="5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66,523</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974,680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1,042,203</w:t>
            </w:r>
          </w:p>
        </w:tc>
      </w:tr>
      <w:tr>
        <w:trPr>
          <w:trHeight w:val="20"/>
        </w:trPr>
        <w:tc>
          <w:tcPr>
            <w:tcW w:w="4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99"/>
        </w:trPr>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0"/>
        </w:trPr>
        <w:tc>
          <w:tcPr>
            <w:tcW w:w="4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480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75"/>
        </w:trPr>
        <w:tc>
          <w:tcPr>
            <w:tcW w:w="3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July 31, 2021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3"/>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1</w:t>
            </w:r>
          </w:p>
        </w:tc>
        <w:tc>
          <w:tcPr>
            <w:tcW w:w="3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2</w:t>
            </w:r>
          </w:p>
        </w:tc>
        <w:tc>
          <w:tcPr>
            <w:tcW w:w="46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7"/>
                <w:szCs w:val="17"/>
                <w:b w:val="1"/>
                <w:bCs w:val="1"/>
                <w:color w:val="auto"/>
              </w:rPr>
              <w:t>Level 3</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51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Commercial paper</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115,825</w:t>
            </w:r>
          </w:p>
        </w:tc>
        <w:tc>
          <w:tcPr>
            <w:tcW w:w="100" w:type="dxa"/>
            <w:vAlign w:val="bottom"/>
          </w:tcPr>
          <w:p>
            <w:pPr>
              <w:spacing w:after="0"/>
              <w:rPr>
                <w:sz w:val="18"/>
                <w:szCs w:val="18"/>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115,825</w:t>
            </w:r>
          </w:p>
        </w:tc>
      </w:tr>
      <w:tr>
        <w:trPr>
          <w:trHeight w:val="220"/>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125,118</w:t>
            </w:r>
          </w:p>
        </w:tc>
      </w:tr>
      <w:tr>
        <w:trPr>
          <w:trHeight w:val="211"/>
        </w:trPr>
        <w:tc>
          <w:tcPr>
            <w:tcW w:w="5120" w:type="dxa"/>
            <w:vAlign w:val="bottom"/>
            <w:gridSpan w:val="3"/>
          </w:tcPr>
          <w:p>
            <w:pPr>
              <w:ind w:left="240"/>
              <w:spacing w:after="0"/>
              <w:rPr>
                <w:sz w:val="20"/>
                <w:szCs w:val="20"/>
                <w:color w:val="auto"/>
              </w:rPr>
            </w:pPr>
            <w:r>
              <w:rPr>
                <w:rFonts w:ascii="Arial" w:cs="Arial" w:eastAsia="Arial" w:hAnsi="Arial"/>
                <w:sz w:val="17"/>
                <w:szCs w:val="17"/>
                <w:b w:val="1"/>
                <w:bCs w:val="1"/>
                <w:color w:val="auto"/>
              </w:rPr>
              <w:t>Total cash equivalents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115,825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240,943</w:t>
            </w:r>
          </w:p>
        </w:tc>
      </w:tr>
      <w:tr>
        <w:trPr>
          <w:trHeight w:val="220"/>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Short-term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U.S. Government agency securities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69,183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69,183</w:t>
            </w:r>
          </w:p>
        </w:tc>
      </w:tr>
      <w:tr>
        <w:trPr>
          <w:trHeight w:val="220"/>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Commercial paper</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274,012</w:t>
            </w: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Corporate bonds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225,384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225,384</w:t>
            </w:r>
          </w:p>
        </w:tc>
      </w:tr>
      <w:tr>
        <w:trPr>
          <w:trHeight w:val="220"/>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Government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45,320</w:t>
            </w: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9,036</w:t>
            </w:r>
          </w:p>
        </w:tc>
      </w:tr>
      <w:tr>
        <w:trPr>
          <w:trHeight w:val="220"/>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Foreign government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28,353</w:t>
            </w: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Certificates of deposit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80,750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80,750</w:t>
            </w:r>
          </w:p>
        </w:tc>
      </w:tr>
      <w:tr>
        <w:trPr>
          <w:trHeight w:val="220"/>
        </w:trPr>
        <w:tc>
          <w:tcPr>
            <w:tcW w:w="51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Municipal bonds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18"/>
        </w:trPr>
        <w:tc>
          <w:tcPr>
            <w:tcW w:w="512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Strategic convertible debt investment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5120" w:type="dxa"/>
            <w:vAlign w:val="bottom"/>
            <w:gridSpan w:val="3"/>
            <w:shd w:val="clear" w:color="auto" w:fill="CCEEFF"/>
          </w:tcPr>
          <w:p>
            <w:pPr>
              <w:ind w:left="240"/>
              <w:spacing w:after="0"/>
              <w:rPr>
                <w:sz w:val="20"/>
                <w:szCs w:val="20"/>
                <w:color w:val="auto"/>
              </w:rPr>
            </w:pPr>
            <w:r>
              <w:rPr>
                <w:rFonts w:ascii="Arial" w:cs="Arial" w:eastAsia="Arial" w:hAnsi="Arial"/>
                <w:sz w:val="17"/>
                <w:szCs w:val="17"/>
                <w:b w:val="1"/>
                <w:bCs w:val="1"/>
                <w:color w:val="auto"/>
              </w:rPr>
              <w:t>Total short-term investments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733,518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734,518</w:t>
            </w:r>
          </w:p>
        </w:tc>
      </w:tr>
      <w:tr>
        <w:trPr>
          <w:trHeight w:val="219"/>
        </w:trPr>
        <w:tc>
          <w:tcPr>
            <w:tcW w:w="5120" w:type="dxa"/>
            <w:vAlign w:val="bottom"/>
            <w:gridSpan w:val="3"/>
          </w:tcPr>
          <w:p>
            <w:pPr>
              <w:ind w:left="20"/>
              <w:spacing w:after="0"/>
              <w:rPr>
                <w:sz w:val="20"/>
                <w:szCs w:val="20"/>
                <w:color w:val="auto"/>
              </w:rPr>
            </w:pPr>
            <w:r>
              <w:rPr>
                <w:rFonts w:ascii="Arial" w:cs="Arial" w:eastAsia="Arial" w:hAnsi="Arial"/>
                <w:sz w:val="17"/>
                <w:szCs w:val="17"/>
                <w:b w:val="1"/>
                <w:bCs w:val="1"/>
                <w:color w:val="auto"/>
              </w:rPr>
              <w:t>Long-term investments: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Government agency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15,997</w:t>
            </w: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Corporate bonds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146,576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146,576</w:t>
            </w:r>
          </w:p>
        </w:tc>
      </w:tr>
      <w:tr>
        <w:trPr>
          <w:trHeight w:val="220"/>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U.S. Government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19,142</w:t>
            </w: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38,911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38,911</w:t>
            </w:r>
          </w:p>
        </w:tc>
      </w:tr>
      <w:tr>
        <w:trPr>
          <w:trHeight w:val="220"/>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Foreign government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4,832</w:t>
            </w:r>
          </w:p>
        </w:tc>
      </w:tr>
      <w:tr>
        <w:trPr>
          <w:trHeight w:val="218"/>
        </w:trPr>
        <w:tc>
          <w:tcPr>
            <w:tcW w:w="5120" w:type="dxa"/>
            <w:vAlign w:val="bottom"/>
            <w:gridSpan w:val="3"/>
          </w:tcPr>
          <w:p>
            <w:pPr>
              <w:ind w:left="220"/>
              <w:spacing w:after="0"/>
              <w:rPr>
                <w:sz w:val="20"/>
                <w:szCs w:val="20"/>
                <w:color w:val="auto"/>
              </w:rPr>
            </w:pPr>
            <w:r>
              <w:rPr>
                <w:rFonts w:ascii="Arial" w:cs="Arial" w:eastAsia="Arial" w:hAnsi="Arial"/>
                <w:sz w:val="17"/>
                <w:szCs w:val="17"/>
                <w:color w:val="auto"/>
              </w:rPr>
              <w:t>Certificates of deposit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20"/>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Municipal bonds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11"/>
        </w:trPr>
        <w:tc>
          <w:tcPr>
            <w:tcW w:w="5120" w:type="dxa"/>
            <w:vAlign w:val="bottom"/>
            <w:gridSpan w:val="3"/>
          </w:tcPr>
          <w:p>
            <w:pPr>
              <w:ind w:left="240"/>
              <w:spacing w:after="0"/>
              <w:rPr>
                <w:sz w:val="20"/>
                <w:szCs w:val="20"/>
                <w:color w:val="auto"/>
              </w:rPr>
            </w:pPr>
            <w:r>
              <w:rPr>
                <w:rFonts w:ascii="Arial" w:cs="Arial" w:eastAsia="Arial" w:hAnsi="Arial"/>
                <w:sz w:val="17"/>
                <w:szCs w:val="17"/>
                <w:b w:val="1"/>
                <w:bCs w:val="1"/>
                <w:color w:val="auto"/>
              </w:rPr>
              <w:t>Total long-term investments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227,163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227,163</w:t>
            </w:r>
          </w:p>
        </w:tc>
      </w:tr>
      <w:tr>
        <w:trPr>
          <w:trHeight w:val="238"/>
        </w:trPr>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Total</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1,076,506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1,202,624</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Convertible Senior Notes</w:t>
      </w:r>
    </w:p>
    <w:p>
      <w:pPr>
        <w:spacing w:after="0" w:line="8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fair value of the Convertible Senior Notes was $494.0 million and $452.0 million at October 31, 2021 and July 31, 2021, respectively.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see Note 7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 w:name="page25"/>
    <w:bookmarkEnd w:id="24"/>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August 18, 2021, the Company completed its acquisition of HazardHub, Inc. ("HazardHub") for net cash consideration of approximately $53 million, subject to customary transaction adjustments, of which approximately $8 million is an acquisition consideration holdback which is subject to service conditions over the next three years. HazardHub provides API-driven property risk insights to the property &amp; casualty insurance industry through curation, analysis, and distillation of vast amounts of data to deliver a comprehensive, national catalog of risks that may damage or destroy property. The acquisition was accounted for as a business combination.</w:t>
      </w:r>
    </w:p>
    <w:p>
      <w:pPr>
        <w:spacing w:after="0" w:line="13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conjunction with the preliminary purchase price allocation, the Company determined that HazardHub's separately identifiable intangible assets were developed technology, customer relationships, and trade names. The valuation models were based on estimates of future operating projections of HazardHub and rights to sell new products containing the acquired technology as well as judgments on the discount rates used and other variables. The Company developed forecasts based on a number of factors including future revenue and operating cost projections, a discount rate that is representative of the weighted average cost of capital, in addition to royalty and long-term sustainable growth rates based on a market analysis. These fair value measurements were based on significant inputs that were not observable in the market and thus represents a Level 3 measurement. The Company amortizes the acquired intangibles over their estimated useful lives as set forth in the table below.</w:t>
      </w:r>
    </w:p>
    <w:p>
      <w:pPr>
        <w:spacing w:after="0" w:line="13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preliminary allocation of purchase price is pending the completion of certain statutory tax filing requirements and is therefore subject to potential future measurement period adjustments. The measurement period will end no later than August 17, 2022. The preliminary allocation of the purchase consideration is as follows:</w:t>
      </w:r>
    </w:p>
    <w:p>
      <w:pPr>
        <w:sectPr>
          <w:pgSz w:w="11900" w:h="16838" w:orient="portrait"/>
          <w:cols w:equalWidth="0" w:num="1">
            <w:col w:w="11240"/>
          </w:cols>
          <w:pgMar w:left="320" w:top="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Acquired assets, net of assumed liabilities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Developed technology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relationships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Trademarks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Goodwill</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liability</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Total preliminary purchase consideration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60" w:type="dxa"/>
            <w:vAlign w:val="bottom"/>
            <w:gridSpan w:val="2"/>
          </w:tcPr>
          <w:p>
            <w:pPr>
              <w:ind w:left="20"/>
              <w:spacing w:after="0"/>
              <w:rPr>
                <w:sz w:val="20"/>
                <w:szCs w:val="20"/>
                <w:color w:val="auto"/>
              </w:rPr>
            </w:pPr>
            <w:r>
              <w:rPr>
                <w:rFonts w:ascii="Arial" w:cs="Arial" w:eastAsia="Arial" w:hAnsi="Arial"/>
                <w:sz w:val="17"/>
                <w:szCs w:val="17"/>
                <w:b w:val="1"/>
                <w:bCs w:val="1"/>
                <w:color w:val="auto"/>
                <w:w w:val="91"/>
              </w:rPr>
              <w:t>Preliminary Purchase Price</w:t>
            </w:r>
          </w:p>
        </w:tc>
        <w:tc>
          <w:tcPr>
            <w:tcW w:w="100" w:type="dxa"/>
            <w:vAlign w:val="bottom"/>
          </w:tcPr>
          <w:p>
            <w:pPr>
              <w:spacing w:after="0"/>
              <w:rPr>
                <w:sz w:val="16"/>
                <w:szCs w:val="16"/>
                <w:color w:val="auto"/>
              </w:rPr>
            </w:pPr>
          </w:p>
        </w:tc>
        <w:tc>
          <w:tcPr>
            <w:tcW w:w="20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Estimated Useful Lives</w:t>
            </w:r>
          </w:p>
        </w:tc>
        <w:tc>
          <w:tcPr>
            <w:tcW w:w="0" w:type="dxa"/>
            <w:vAlign w:val="bottom"/>
          </w:tcPr>
          <w:p>
            <w:pPr>
              <w:spacing w:after="0"/>
              <w:rPr>
                <w:sz w:val="1"/>
                <w:szCs w:val="1"/>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Allocation</w:t>
            </w:r>
          </w:p>
        </w:tc>
        <w:tc>
          <w:tcPr>
            <w:tcW w:w="100" w:type="dxa"/>
            <w:vAlign w:val="bottom"/>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760" w:type="dxa"/>
            <w:vAlign w:val="bottom"/>
          </w:tcPr>
          <w:p>
            <w:pPr>
              <w:jc w:val="right"/>
              <w:ind w:right="414"/>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9,700</w:t>
            </w:r>
          </w:p>
        </w:tc>
        <w:tc>
          <w:tcPr>
            <w:tcW w:w="2180" w:type="dxa"/>
            <w:vAlign w:val="bottom"/>
            <w:gridSpan w:val="2"/>
          </w:tcPr>
          <w:p>
            <w:pPr>
              <w:jc w:val="center"/>
              <w:ind w:left="3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5,100</w:t>
            </w:r>
          </w:p>
        </w:tc>
        <w:tc>
          <w:tcPr>
            <w:tcW w:w="2180" w:type="dxa"/>
            <w:vAlign w:val="bottom"/>
            <w:gridSpan w:val="2"/>
          </w:tcPr>
          <w:p>
            <w:pPr>
              <w:jc w:val="center"/>
              <w:ind w:left="3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900</w:t>
            </w:r>
          </w:p>
        </w:tc>
        <w:tc>
          <w:tcPr>
            <w:tcW w:w="2180" w:type="dxa"/>
            <w:vAlign w:val="bottom"/>
            <w:gridSpan w:val="2"/>
          </w:tcPr>
          <w:p>
            <w:pPr>
              <w:jc w:val="center"/>
              <w:ind w:left="34"/>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31,185</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(2,839)</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44,507</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-1014730</wp:posOffset>
            </wp:positionV>
            <wp:extent cx="7138670"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-735965</wp:posOffset>
            </wp:positionV>
            <wp:extent cx="713867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-457835</wp:posOffset>
            </wp:positionV>
            <wp:extent cx="7138670" cy="139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-179705</wp:posOffset>
            </wp:positionV>
            <wp:extent cx="7138670" cy="163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240"/>
          </w:cols>
          <w:pgMar w:left="320" w:top="282" w:right="339" w:bottom="1440" w:gutter="0" w:footer="0" w:header="0"/>
          <w:type w:val="continuous"/>
        </w:sectPr>
      </w:pPr>
    </w:p>
    <w:p>
      <w:pPr>
        <w:spacing w:after="0" w:line="33"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Goodwill of $31.2 million arising from the acquisition is primarily related to the acquired workforce, expected synergies, and the opportunity to expand the Company’s customer base. The goodwill recorded is not expected to be deductible for income tax purposes.</w:t>
      </w:r>
    </w:p>
    <w:p>
      <w:pPr>
        <w:spacing w:after="0" w:line="197" w:lineRule="exact"/>
        <w:rPr>
          <w:sz w:val="20"/>
          <w:szCs w:val="20"/>
          <w:color w:val="auto"/>
        </w:rPr>
      </w:pPr>
    </w:p>
    <w:p>
      <w:pPr>
        <w:jc w:val="right"/>
        <w:ind w:left="320" w:right="9060" w:hanging="317"/>
        <w:spacing w:after="0" w:line="436" w:lineRule="auto"/>
        <w:tabs>
          <w:tab w:leader="none" w:pos="182"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Balance Sheet Components </w:t>
      </w:r>
      <w:r>
        <w:rPr>
          <w:rFonts w:ascii="Arial" w:cs="Arial" w:eastAsia="Arial" w:hAnsi="Arial"/>
          <w:sz w:val="14"/>
          <w:szCs w:val="14"/>
          <w:b w:val="1"/>
          <w:bCs w:val="1"/>
          <w:i w:val="1"/>
          <w:iCs w:val="1"/>
          <w:color w:val="auto"/>
        </w:rPr>
        <w:t>Accounts Receivables, Net</w:t>
      </w:r>
    </w:p>
    <w:p>
      <w:pPr>
        <w:spacing w:after="0" w:line="1" w:lineRule="exact"/>
        <w:rPr>
          <w:rFonts w:ascii="Arial" w:cs="Arial" w:eastAsia="Arial" w:hAnsi="Arial"/>
          <w:sz w:val="14"/>
          <w:szCs w:val="14"/>
          <w:b w:val="1"/>
          <w:bCs w:val="1"/>
          <w:color w:val="auto"/>
        </w:rPr>
      </w:pPr>
    </w:p>
    <w:p>
      <w:pPr>
        <w:ind w:left="320"/>
        <w:spacing w:after="0"/>
        <w:rPr>
          <w:rFonts w:ascii="Arial" w:cs="Arial" w:eastAsia="Arial" w:hAnsi="Arial"/>
          <w:sz w:val="14"/>
          <w:szCs w:val="14"/>
          <w:b w:val="1"/>
          <w:bCs w:val="1"/>
          <w:color w:val="auto"/>
        </w:rPr>
      </w:pPr>
      <w:r>
        <w:rPr>
          <w:rFonts w:ascii="Arial" w:cs="Arial" w:eastAsia="Arial" w:hAnsi="Arial"/>
          <w:sz w:val="17"/>
          <w:szCs w:val="17"/>
          <w:color w:val="auto"/>
        </w:rPr>
        <w:t>Accounts receivable, net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19"/>
                <w:szCs w:val="19"/>
                <w:color w:val="auto"/>
              </w:rPr>
            </w:pPr>
          </w:p>
        </w:tc>
        <w:tc>
          <w:tcPr>
            <w:tcW w:w="168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6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5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81,112</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105,125</w:t>
            </w:r>
          </w:p>
        </w:tc>
      </w:tr>
      <w:tr>
        <w:trPr>
          <w:trHeight w:val="218"/>
        </w:trPr>
        <w:tc>
          <w:tcPr>
            <w:tcW w:w="65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Allowance for credit losses and revenue reserves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w:t>
            </w:r>
          </w:p>
        </w:tc>
      </w:tr>
      <w:tr>
        <w:trPr>
          <w:trHeight w:val="238"/>
        </w:trPr>
        <w:tc>
          <w:tcPr>
            <w:tcW w:w="6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Accounts receivable, net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80,407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104,068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2" w:right="3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Allowance for Credit Losses and Revenue Reserves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Changes to the allowance for credit losses and revenue reserves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7138670" cy="139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Balance as of July 31, 2021</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changes to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changes to revenue reserves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Write-offs,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Balance as of October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1,057</w:t>
            </w:r>
          </w:p>
        </w:tc>
      </w:tr>
      <w:tr>
        <w:trPr>
          <w:trHeight w:val="219"/>
        </w:trPr>
        <w:tc>
          <w:tcPr>
            <w:tcW w:w="1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1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0"/>
        </w:trPr>
        <w:tc>
          <w:tcPr>
            <w:tcW w:w="1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r>
      <w:tr>
        <w:trPr>
          <w:trHeight w:val="212"/>
        </w:trPr>
        <w:tc>
          <w:tcPr>
            <w:tcW w:w="116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340"/>
          </w:cols>
          <w:pgMar w:left="320" w:top="2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5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636"/>
        </w:trPr>
        <w:tc>
          <w:tcPr>
            <w:tcW w:w="3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Prepaid Expenses and Other Current Assets</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7"/>
                <w:szCs w:val="17"/>
                <w:color w:val="auto"/>
              </w:rPr>
              <w:t>Prepaid expenses and other current assets consist of the following (in thousands):</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6"/>
        </w:trPr>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21"/>
                <w:szCs w:val="21"/>
                <w:color w:val="auto"/>
              </w:rPr>
            </w:pPr>
          </w:p>
        </w:tc>
        <w:tc>
          <w:tcPr>
            <w:tcW w:w="168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32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5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20,330</w:t>
            </w:r>
          </w:p>
        </w:tc>
      </w:tr>
      <w:tr>
        <w:trPr>
          <w:trHeight w:val="218"/>
        </w:trPr>
        <w:tc>
          <w:tcPr>
            <w:tcW w:w="3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7"/>
                <w:szCs w:val="17"/>
                <w:color w:val="auto"/>
              </w:rPr>
              <w:t>Contract costs</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13,805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13,365</w:t>
            </w:r>
          </w:p>
        </w:tc>
      </w:tr>
      <w:tr>
        <w:trPr>
          <w:trHeight w:val="220"/>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costs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9,247</w:t>
            </w:r>
          </w:p>
        </w:tc>
      </w:tr>
      <w:tr>
        <w:trPr>
          <w:trHeight w:val="218"/>
        </w:trPr>
        <w:tc>
          <w:tcPr>
            <w:tcW w:w="3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7"/>
                <w:szCs w:val="17"/>
                <w:color w:val="auto"/>
              </w:rPr>
              <w:t>Deposits and other receivables</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11,295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9,787</w:t>
            </w:r>
          </w:p>
        </w:tc>
      </w:tr>
      <w:tr>
        <w:trPr>
          <w:trHeight w:val="220"/>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(1)</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71,444</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52,729</w:t>
            </w:r>
          </w:p>
        </w:tc>
      </w:tr>
      <w:tr>
        <w:trPr>
          <w:trHeight w:val="20"/>
        </w:trPr>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firstLine="429"/>
        <w:spacing w:after="0" w:line="273" w:lineRule="auto"/>
        <w:tabs>
          <w:tab w:leader="none" w:pos="585"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Restricted cash represents the short term portion of the acquisition consideration holdback of $3.3 million which is in escrow and funds in transit as of October 31, 2021 of $10.8 million for the purchase of strategic equity investments that had not closed as of the end of the first quarter of fiscal year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97"/>
        </w:trPr>
        <w:tc>
          <w:tcPr>
            <w:tcW w:w="6540" w:type="dxa"/>
            <w:vAlign w:val="bottom"/>
          </w:tcPr>
          <w:p>
            <w:pPr>
              <w:ind w:left="320"/>
              <w:spacing w:after="0"/>
              <w:rPr>
                <w:sz w:val="20"/>
                <w:szCs w:val="20"/>
                <w:color w:val="auto"/>
              </w:rPr>
            </w:pPr>
            <w:r>
              <w:rPr>
                <w:rFonts w:ascii="Arial" w:cs="Arial" w:eastAsia="Arial" w:hAnsi="Arial"/>
                <w:sz w:val="17"/>
                <w:szCs w:val="17"/>
                <w:color w:val="auto"/>
              </w:rPr>
              <w:t>Property and equipment consist of the following (in thousands):</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6"/>
        </w:trPr>
        <w:tc>
          <w:tcPr>
            <w:tcW w:w="6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21"/>
                <w:szCs w:val="21"/>
                <w:color w:val="auto"/>
              </w:rPr>
            </w:pPr>
          </w:p>
        </w:tc>
        <w:tc>
          <w:tcPr>
            <w:tcW w:w="168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6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Computer hardware</w:t>
            </w:r>
          </w:p>
        </w:tc>
        <w:tc>
          <w:tcPr>
            <w:tcW w:w="5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19,361</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19,256</w:t>
            </w:r>
          </w:p>
        </w:tc>
      </w:tr>
      <w:tr>
        <w:trPr>
          <w:trHeight w:val="218"/>
        </w:trPr>
        <w:tc>
          <w:tcPr>
            <w:tcW w:w="6540" w:type="dxa"/>
            <w:vAlign w:val="bottom"/>
          </w:tcPr>
          <w:p>
            <w:pPr>
              <w:ind w:left="320"/>
              <w:spacing w:after="0"/>
              <w:rPr>
                <w:sz w:val="20"/>
                <w:szCs w:val="20"/>
                <w:color w:val="auto"/>
              </w:rPr>
            </w:pPr>
            <w:r>
              <w:rPr>
                <w:rFonts w:ascii="Arial" w:cs="Arial" w:eastAsia="Arial" w:hAnsi="Arial"/>
                <w:sz w:val="17"/>
                <w:szCs w:val="17"/>
                <w:color w:val="auto"/>
              </w:rPr>
              <w:t>Purchased software</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5,998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6,002</w:t>
            </w:r>
          </w:p>
        </w:tc>
      </w:tr>
      <w:tr>
        <w:trPr>
          <w:trHeight w:val="220"/>
        </w:trPr>
        <w:tc>
          <w:tcPr>
            <w:tcW w:w="6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Capitalized software development costs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24,025</w:t>
            </w:r>
          </w:p>
        </w:tc>
      </w:tr>
      <w:tr>
        <w:trPr>
          <w:trHeight w:val="218"/>
        </w:trPr>
        <w:tc>
          <w:tcPr>
            <w:tcW w:w="6540" w:type="dxa"/>
            <w:vAlign w:val="bottom"/>
          </w:tcPr>
          <w:p>
            <w:pPr>
              <w:ind w:left="320"/>
              <w:spacing w:after="0"/>
              <w:rPr>
                <w:sz w:val="20"/>
                <w:szCs w:val="20"/>
                <w:color w:val="auto"/>
              </w:rPr>
            </w:pPr>
            <w:r>
              <w:rPr>
                <w:rFonts w:ascii="Arial" w:cs="Arial" w:eastAsia="Arial" w:hAnsi="Arial"/>
                <w:sz w:val="17"/>
                <w:szCs w:val="17"/>
                <w:color w:val="auto"/>
              </w:rPr>
              <w:t>Equipment and machinery</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12,240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12,214</w:t>
            </w:r>
          </w:p>
        </w:tc>
      </w:tr>
      <w:tr>
        <w:trPr>
          <w:trHeight w:val="220"/>
        </w:trPr>
        <w:tc>
          <w:tcPr>
            <w:tcW w:w="6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Furniture and fixtures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11,482</w:t>
            </w:r>
          </w:p>
        </w:tc>
      </w:tr>
      <w:tr>
        <w:trPr>
          <w:trHeight w:val="218"/>
        </w:trPr>
        <w:tc>
          <w:tcPr>
            <w:tcW w:w="65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Leasehold improvements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60,052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57,960</w:t>
            </w:r>
          </w:p>
        </w:tc>
      </w:tr>
      <w:tr>
        <w:trPr>
          <w:trHeight w:val="213"/>
        </w:trPr>
        <w:tc>
          <w:tcPr>
            <w:tcW w:w="6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property and equipment</w:t>
            </w: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130,939</w:t>
            </w:r>
          </w:p>
        </w:tc>
      </w:tr>
      <w:tr>
        <w:trPr>
          <w:trHeight w:val="218"/>
        </w:trPr>
        <w:tc>
          <w:tcPr>
            <w:tcW w:w="65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Less accumulated depreciation</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(54,213)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(50,878)</w:t>
            </w:r>
          </w:p>
        </w:tc>
      </w:tr>
      <w:tr>
        <w:trPr>
          <w:trHeight w:val="238"/>
        </w:trPr>
        <w:tc>
          <w:tcPr>
            <w:tcW w:w="6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Property and equipment, net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82,774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80,061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October 31, 2021 and July 31, 2021, no property and equipment was pledged as collateral. Depreciation expense, excluding the amortization of capitalized software development costs, was $3.6 million in both the three months ended October 31, 2021 and 2020.</w:t>
      </w:r>
    </w:p>
    <w:p>
      <w:pPr>
        <w:spacing w:after="0" w:line="113" w:lineRule="exact"/>
        <w:rPr>
          <w:sz w:val="20"/>
          <w:szCs w:val="20"/>
          <w:color w:val="auto"/>
        </w:rPr>
      </w:pPr>
    </w:p>
    <w:p>
      <w:pPr>
        <w:jc w:val="both"/>
        <w:ind w:firstLine="309"/>
        <w:spacing w:after="0" w:line="312" w:lineRule="auto"/>
        <w:rPr>
          <w:sz w:val="20"/>
          <w:szCs w:val="20"/>
          <w:color w:val="auto"/>
        </w:rPr>
      </w:pPr>
      <w:r>
        <w:rPr>
          <w:rFonts w:ascii="Arial" w:cs="Arial" w:eastAsia="Arial" w:hAnsi="Arial"/>
          <w:sz w:val="16"/>
          <w:szCs w:val="16"/>
          <w:color w:val="auto"/>
        </w:rPr>
        <w:t>The Company recognized amortization expense related to capitalized software development costs in cost of subscription and support revenue on the condensed consolidated statements of operations of $1.2 million and $0.6 million during the three months ended October 31, 2021 and 2020, respectively.</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Goodwill and Intangible Assets, Net</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the carrying amount of goodwill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July 31, 2021</w:t>
            </w:r>
          </w:p>
        </w:tc>
        <w:tc>
          <w:tcPr>
            <w:tcW w:w="57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340,877</w:t>
            </w:r>
          </w:p>
        </w:tc>
        <w:tc>
          <w:tcPr>
            <w:tcW w:w="0" w:type="dxa"/>
            <w:vAlign w:val="bottom"/>
          </w:tcPr>
          <w:p>
            <w:pPr>
              <w:spacing w:after="0"/>
              <w:rPr>
                <w:sz w:val="1"/>
                <w:szCs w:val="1"/>
                <w:color w:val="auto"/>
              </w:rPr>
            </w:pPr>
          </w:p>
        </w:tc>
      </w:tr>
      <w:tr>
        <w:trPr>
          <w:trHeight w:val="218"/>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Addition — HazardHub acquisition</w:t>
            </w:r>
          </w:p>
        </w:tc>
        <w:tc>
          <w:tcPr>
            <w:tcW w:w="47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31,185</w:t>
            </w: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October 31, 2021</w:t>
            </w:r>
          </w:p>
        </w:tc>
        <w:tc>
          <w:tcPr>
            <w:tcW w:w="57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372,062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jc w:val="right"/>
              <w:ind w:right="2974"/>
              <w:spacing w:after="0"/>
              <w:rPr>
                <w:sz w:val="20"/>
                <w:szCs w:val="20"/>
                <w:color w:val="auto"/>
              </w:rPr>
            </w:pPr>
            <w:r>
              <w:rPr>
                <w:rFonts w:ascii="Arial" w:cs="Arial" w:eastAsia="Arial" w:hAnsi="Arial"/>
                <w:sz w:val="17"/>
                <w:szCs w:val="17"/>
                <w:color w:val="auto"/>
              </w:rPr>
              <w:t>14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40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0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6"/>
        </w:trPr>
        <w:tc>
          <w:tcPr>
            <w:tcW w:w="3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The  Company’s</w:t>
            </w:r>
          </w:p>
        </w:tc>
        <w:tc>
          <w:tcPr>
            <w:tcW w:w="1300" w:type="dxa"/>
            <w:vAlign w:val="bottom"/>
            <w:gridSpan w:val="4"/>
          </w:tcPr>
          <w:p>
            <w:pPr>
              <w:jc w:val="center"/>
              <w:ind w:right="20"/>
              <w:spacing w:after="0"/>
              <w:rPr>
                <w:sz w:val="20"/>
                <w:szCs w:val="20"/>
                <w:color w:val="auto"/>
              </w:rPr>
            </w:pPr>
            <w:r>
              <w:rPr>
                <w:rFonts w:ascii="Arial" w:cs="Arial" w:eastAsia="Arial" w:hAnsi="Arial"/>
                <w:sz w:val="17"/>
                <w:szCs w:val="17"/>
                <w:color w:val="auto"/>
                <w:w w:val="91"/>
              </w:rPr>
              <w:t>intangible  assets</w:t>
            </w:r>
          </w:p>
        </w:tc>
        <w:tc>
          <w:tcPr>
            <w:tcW w:w="360" w:type="dxa"/>
            <w:vAlign w:val="bottom"/>
          </w:tcPr>
          <w:p>
            <w:pPr>
              <w:jc w:val="right"/>
              <w:spacing w:after="0"/>
              <w:rPr>
                <w:sz w:val="20"/>
                <w:szCs w:val="20"/>
                <w:color w:val="auto"/>
              </w:rPr>
            </w:pPr>
            <w:r>
              <w:rPr>
                <w:rFonts w:ascii="Arial" w:cs="Arial" w:eastAsia="Arial" w:hAnsi="Arial"/>
                <w:sz w:val="17"/>
                <w:szCs w:val="17"/>
                <w:color w:val="auto"/>
              </w:rPr>
              <w:t>are</w:t>
            </w:r>
          </w:p>
        </w:tc>
        <w:tc>
          <w:tcPr>
            <w:tcW w:w="1660" w:type="dxa"/>
            <w:vAlign w:val="bottom"/>
            <w:gridSpan w:val="3"/>
          </w:tcPr>
          <w:p>
            <w:pPr>
              <w:jc w:val="right"/>
              <w:spacing w:after="0"/>
              <w:rPr>
                <w:sz w:val="20"/>
                <w:szCs w:val="20"/>
                <w:color w:val="auto"/>
              </w:rPr>
            </w:pPr>
            <w:r>
              <w:rPr>
                <w:rFonts w:ascii="Arial" w:cs="Arial" w:eastAsia="Arial" w:hAnsi="Arial"/>
                <w:sz w:val="17"/>
                <w:szCs w:val="17"/>
                <w:color w:val="auto"/>
                <w:w w:val="98"/>
              </w:rPr>
              <w:t>amortized  over  their</w:t>
            </w: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estimated</w:t>
            </w:r>
          </w:p>
        </w:tc>
        <w:tc>
          <w:tcPr>
            <w:tcW w:w="500" w:type="dxa"/>
            <w:vAlign w:val="bottom"/>
          </w:tcPr>
          <w:p>
            <w:pPr>
              <w:ind w:left="20"/>
              <w:spacing w:after="0"/>
              <w:rPr>
                <w:sz w:val="20"/>
                <w:szCs w:val="20"/>
                <w:color w:val="auto"/>
              </w:rPr>
            </w:pPr>
            <w:r>
              <w:rPr>
                <w:rFonts w:ascii="Arial" w:cs="Arial" w:eastAsia="Arial" w:hAnsi="Arial"/>
                <w:sz w:val="17"/>
                <w:szCs w:val="17"/>
                <w:color w:val="auto"/>
              </w:rPr>
              <w:t>useful</w:t>
            </w: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lives.  Intangible</w:t>
            </w:r>
          </w:p>
        </w:tc>
        <w:tc>
          <w:tcPr>
            <w:tcW w:w="1140" w:type="dxa"/>
            <w:vAlign w:val="bottom"/>
            <w:gridSpan w:val="3"/>
          </w:tcPr>
          <w:p>
            <w:pPr>
              <w:ind w:left="60"/>
              <w:spacing w:after="0"/>
              <w:rPr>
                <w:sz w:val="20"/>
                <w:szCs w:val="20"/>
                <w:color w:val="auto"/>
              </w:rPr>
            </w:pPr>
            <w:r>
              <w:rPr>
                <w:rFonts w:ascii="Arial" w:cs="Arial" w:eastAsia="Arial" w:hAnsi="Arial"/>
                <w:sz w:val="17"/>
                <w:szCs w:val="17"/>
                <w:color w:val="auto"/>
                <w:w w:val="95"/>
              </w:rPr>
              <w:t>assets  consist</w:t>
            </w: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rPr>
              <w:t>of  the  following  (in  thousands):</w:t>
            </w: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w w:val="94"/>
              </w:rPr>
              <w:t>October 31, 2021</w:t>
            </w: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July 31, 2021</w:t>
            </w:r>
          </w:p>
        </w:tc>
        <w:tc>
          <w:tcPr>
            <w:tcW w:w="5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left="231"/>
              <w:spacing w:after="0" w:line="123" w:lineRule="exact"/>
              <w:rPr>
                <w:sz w:val="20"/>
                <w:szCs w:val="20"/>
                <w:color w:val="auto"/>
              </w:rPr>
            </w:pPr>
            <w:r>
              <w:rPr>
                <w:rFonts w:ascii="Arial" w:cs="Arial" w:eastAsia="Arial" w:hAnsi="Arial"/>
                <w:sz w:val="14"/>
                <w:szCs w:val="14"/>
                <w:b w:val="1"/>
                <w:bCs w:val="1"/>
                <w:color w:val="auto"/>
                <w:w w:val="89"/>
              </w:rPr>
              <w:t>Remaining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Average Useful</w:t>
            </w:r>
          </w:p>
        </w:tc>
        <w:tc>
          <w:tcPr>
            <w:tcW w:w="360" w:type="dxa"/>
            <w:vAlign w:val="bottom"/>
          </w:tcPr>
          <w:p>
            <w:pPr>
              <w:spacing w:after="0"/>
              <w:rPr>
                <w:sz w:val="11"/>
                <w:szCs w:val="11"/>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480" w:type="dxa"/>
            <w:vAlign w:val="bottom"/>
            <w:gridSpan w:val="3"/>
            <w:vMerge w:val="continue"/>
          </w:tcPr>
          <w:p>
            <w:pPr>
              <w:spacing w:after="0"/>
              <w:rPr>
                <w:sz w:val="11"/>
                <w:szCs w:val="11"/>
                <w:color w:val="auto"/>
              </w:rPr>
            </w:pPr>
          </w:p>
        </w:tc>
        <w:tc>
          <w:tcPr>
            <w:tcW w:w="13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7"/>
              </w:rPr>
              <w:t>Net Book Value</w:t>
            </w:r>
          </w:p>
        </w:tc>
        <w:tc>
          <w:tcPr>
            <w:tcW w:w="480" w:type="dxa"/>
            <w:vAlign w:val="bottom"/>
          </w:tcPr>
          <w:p>
            <w:pPr>
              <w:spacing w:after="0"/>
              <w:rPr>
                <w:sz w:val="11"/>
                <w:szCs w:val="11"/>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87"/>
              </w:rPr>
              <w:t>Net Book Value</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Life (in years)</w:t>
            </w:r>
          </w:p>
        </w:tc>
        <w:tc>
          <w:tcPr>
            <w:tcW w:w="3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80" w:type="dxa"/>
            <w:vAlign w:val="bottom"/>
            <w:gridSpan w:val="3"/>
          </w:tcPr>
          <w:p>
            <w:pPr>
              <w:ind w:left="300"/>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Amortization</w:t>
            </w: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3"/>
              </w:rPr>
              <w:t>Intangible assets:</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260" w:type="dxa"/>
            <w:vAlign w:val="bottom"/>
            <w:gridSpan w:val="2"/>
          </w:tcPr>
          <w:p>
            <w:pPr>
              <w:ind w:left="120"/>
              <w:spacing w:after="0" w:line="168" w:lineRule="exact"/>
              <w:rPr>
                <w:sz w:val="20"/>
                <w:szCs w:val="20"/>
                <w:color w:val="auto"/>
              </w:rPr>
            </w:pPr>
            <w:r>
              <w:rPr>
                <w:rFonts w:ascii="Arial" w:cs="Arial" w:eastAsia="Arial" w:hAnsi="Arial"/>
                <w:sz w:val="17"/>
                <w:szCs w:val="17"/>
                <w:color w:val="auto"/>
              </w:rPr>
              <w:t>Acquired</w:t>
            </w:r>
          </w:p>
        </w:tc>
        <w:tc>
          <w:tcPr>
            <w:tcW w:w="1140" w:type="dxa"/>
            <w:vAlign w:val="bottom"/>
            <w:gridSpan w:val="2"/>
            <w:vMerge w:val="restart"/>
          </w:tcPr>
          <w:p>
            <w:pPr>
              <w:jc w:val="center"/>
              <w:ind w:left="314"/>
              <w:spacing w:after="0"/>
              <w:rPr>
                <w:sz w:val="20"/>
                <w:szCs w:val="20"/>
                <w:color w:val="auto"/>
              </w:rPr>
            </w:pPr>
            <w:r>
              <w:rPr>
                <w:rFonts w:ascii="Arial" w:cs="Arial" w:eastAsia="Arial" w:hAnsi="Arial"/>
                <w:sz w:val="17"/>
                <w:szCs w:val="17"/>
                <w:color w:val="auto"/>
                <w:w w:val="92"/>
              </w:rPr>
              <w:t>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103,300</w:t>
            </w:r>
          </w:p>
        </w:tc>
        <w:tc>
          <w:tcPr>
            <w:tcW w:w="80" w:type="dxa"/>
            <w:vAlign w:val="bottom"/>
          </w:tcPr>
          <w:p>
            <w:pPr>
              <w:spacing w:after="0"/>
              <w:rPr>
                <w:sz w:val="14"/>
                <w:szCs w:val="14"/>
                <w:color w:val="auto"/>
              </w:rPr>
            </w:pPr>
          </w:p>
        </w:tc>
        <w:tc>
          <w:tcPr>
            <w:tcW w:w="660" w:type="dxa"/>
            <w:vAlign w:val="bottom"/>
            <w:vMerge w:val="restart"/>
          </w:tcPr>
          <w:p>
            <w:pPr>
              <w:jc w:val="right"/>
              <w:ind w:right="161"/>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88,311</w:t>
            </w:r>
          </w:p>
        </w:tc>
        <w:tc>
          <w:tcPr>
            <w:tcW w:w="100" w:type="dxa"/>
            <w:vAlign w:val="bottom"/>
          </w:tcPr>
          <w:p>
            <w:pPr>
              <w:spacing w:after="0"/>
              <w:rPr>
                <w:sz w:val="14"/>
                <w:szCs w:val="14"/>
                <w:color w:val="auto"/>
              </w:rPr>
            </w:pPr>
          </w:p>
        </w:tc>
        <w:tc>
          <w:tcPr>
            <w:tcW w:w="50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14,989</w:t>
            </w:r>
          </w:p>
        </w:tc>
        <w:tc>
          <w:tcPr>
            <w:tcW w:w="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93,600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vMerge w:val="restart"/>
          </w:tcPr>
          <w:p>
            <w:pPr>
              <w:ind w:left="160"/>
              <w:spacing w:after="0"/>
              <w:rPr>
                <w:sz w:val="20"/>
                <w:szCs w:val="20"/>
                <w:color w:val="auto"/>
              </w:rPr>
            </w:pPr>
            <w:r>
              <w:rPr>
                <w:rFonts w:ascii="Arial" w:cs="Arial" w:eastAsia="Arial" w:hAnsi="Arial"/>
                <w:sz w:val="17"/>
                <w:szCs w:val="17"/>
                <w:color w:val="auto"/>
                <w:w w:val="84"/>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86,367</w:t>
            </w:r>
          </w:p>
        </w:tc>
        <w:tc>
          <w:tcPr>
            <w:tcW w:w="80" w:type="dxa"/>
            <w:vAlign w:val="bottom"/>
          </w:tcPr>
          <w:p>
            <w:pPr>
              <w:spacing w:after="0"/>
              <w:rPr>
                <w:sz w:val="14"/>
                <w:szCs w:val="14"/>
                <w:color w:val="auto"/>
              </w:rPr>
            </w:pPr>
          </w:p>
        </w:tc>
        <w:tc>
          <w:tcPr>
            <w:tcW w:w="56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7,233</w:t>
            </w:r>
          </w:p>
        </w:tc>
        <w:tc>
          <w:tcPr>
            <w:tcW w:w="0" w:type="dxa"/>
            <w:vAlign w:val="bottom"/>
          </w:tcPr>
          <w:p>
            <w:pPr>
              <w:spacing w:after="0"/>
              <w:rPr>
                <w:sz w:val="1"/>
                <w:szCs w:val="1"/>
                <w:color w:val="auto"/>
              </w:rPr>
            </w:pPr>
          </w:p>
        </w:tc>
      </w:tr>
      <w:tr>
        <w:trPr>
          <w:trHeight w:val="218"/>
        </w:trPr>
        <w:tc>
          <w:tcPr>
            <w:tcW w:w="1580" w:type="dxa"/>
            <w:vAlign w:val="bottom"/>
            <w:gridSpan w:val="3"/>
          </w:tcPr>
          <w:p>
            <w:pPr>
              <w:ind w:left="140"/>
              <w:spacing w:after="0"/>
              <w:rPr>
                <w:sz w:val="20"/>
                <w:szCs w:val="20"/>
                <w:color w:val="auto"/>
              </w:rPr>
            </w:pPr>
            <w:r>
              <w:rPr>
                <w:rFonts w:ascii="Arial" w:cs="Arial" w:eastAsia="Arial" w:hAnsi="Arial"/>
                <w:sz w:val="17"/>
                <w:szCs w:val="17"/>
                <w:color w:val="auto"/>
              </w:rPr>
              <w:t>technology</w:t>
            </w: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7"/>
                <w:szCs w:val="17"/>
                <w:color w:val="auto"/>
              </w:rPr>
              <w:t>Customer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gridSpan w:val="3"/>
            <w:shd w:val="clear" w:color="auto" w:fill="CCEEFF"/>
          </w:tcPr>
          <w:p>
            <w:pPr>
              <w:ind w:left="140"/>
              <w:spacing w:after="0" w:line="167" w:lineRule="exact"/>
              <w:rPr>
                <w:sz w:val="20"/>
                <w:szCs w:val="20"/>
                <w:color w:val="auto"/>
              </w:rPr>
            </w:pPr>
            <w:r>
              <w:rPr>
                <w:rFonts w:ascii="Arial" w:cs="Arial" w:eastAsia="Arial" w:hAnsi="Arial"/>
                <w:sz w:val="17"/>
                <w:szCs w:val="17"/>
                <w:color w:val="auto"/>
                <w:w w:val="89"/>
              </w:rPr>
              <w:t>contracts and related</w:t>
            </w:r>
          </w:p>
        </w:tc>
        <w:tc>
          <w:tcPr>
            <w:tcW w:w="1140" w:type="dxa"/>
            <w:vAlign w:val="bottom"/>
            <w:gridSpan w:val="2"/>
            <w:vMerge w:val="restart"/>
            <w:shd w:val="clear" w:color="auto" w:fill="CCEEFF"/>
          </w:tcPr>
          <w:p>
            <w:pPr>
              <w:jc w:val="center"/>
              <w:ind w:left="314"/>
              <w:spacing w:after="0"/>
              <w:rPr>
                <w:sz w:val="20"/>
                <w:szCs w:val="20"/>
                <w:color w:val="auto"/>
              </w:rPr>
            </w:pPr>
            <w:r>
              <w:rPr>
                <w:rFonts w:ascii="Arial" w:cs="Arial" w:eastAsia="Arial" w:hAnsi="Arial"/>
                <w:sz w:val="17"/>
                <w:szCs w:val="17"/>
                <w:color w:val="auto"/>
                <w:w w:val="92"/>
              </w:rPr>
              <w:t>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40,800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26,122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14,678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35,700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24,432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11,268</w:t>
            </w:r>
          </w:p>
        </w:tc>
        <w:tc>
          <w:tcPr>
            <w:tcW w:w="0" w:type="dxa"/>
            <w:vAlign w:val="bottom"/>
          </w:tcPr>
          <w:p>
            <w:pPr>
              <w:spacing w:after="0"/>
              <w:rPr>
                <w:sz w:val="1"/>
                <w:szCs w:val="1"/>
                <w:color w:val="auto"/>
              </w:rPr>
            </w:pPr>
          </w:p>
        </w:tc>
      </w:tr>
      <w:tr>
        <w:trPr>
          <w:trHeight w:val="219"/>
        </w:trPr>
        <w:tc>
          <w:tcPr>
            <w:tcW w:w="15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relationships</w:t>
            </w:r>
          </w:p>
        </w:tc>
        <w:tc>
          <w:tcPr>
            <w:tcW w:w="11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260" w:type="dxa"/>
            <w:vAlign w:val="bottom"/>
            <w:gridSpan w:val="2"/>
          </w:tcPr>
          <w:p>
            <w:pPr>
              <w:ind w:left="120"/>
              <w:spacing w:after="0" w:line="168" w:lineRule="exact"/>
              <w:rPr>
                <w:sz w:val="20"/>
                <w:szCs w:val="20"/>
                <w:color w:val="auto"/>
              </w:rPr>
            </w:pPr>
            <w:r>
              <w:rPr>
                <w:rFonts w:ascii="Arial" w:cs="Arial" w:eastAsia="Arial" w:hAnsi="Arial"/>
                <w:sz w:val="17"/>
                <w:szCs w:val="17"/>
                <w:color w:val="auto"/>
              </w:rPr>
              <w:t>Partner</w:t>
            </w:r>
          </w:p>
        </w:tc>
        <w:tc>
          <w:tcPr>
            <w:tcW w:w="1140" w:type="dxa"/>
            <w:vAlign w:val="bottom"/>
            <w:gridSpan w:val="2"/>
            <w:vMerge w:val="restart"/>
          </w:tcPr>
          <w:p>
            <w:pPr>
              <w:jc w:val="center"/>
              <w:ind w:left="314"/>
              <w:spacing w:after="0"/>
              <w:rPr>
                <w:sz w:val="20"/>
                <w:szCs w:val="20"/>
                <w:color w:val="auto"/>
              </w:rPr>
            </w:pPr>
            <w:r>
              <w:rPr>
                <w:rFonts w:ascii="Arial" w:cs="Arial" w:eastAsia="Arial" w:hAnsi="Arial"/>
                <w:sz w:val="17"/>
                <w:szCs w:val="17"/>
                <w:color w:val="auto"/>
                <w:w w:val="92"/>
              </w:rPr>
              <w:t>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76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8"/>
        </w:trPr>
        <w:tc>
          <w:tcPr>
            <w:tcW w:w="1580" w:type="dxa"/>
            <w:vAlign w:val="bottom"/>
            <w:gridSpan w:val="3"/>
          </w:tcPr>
          <w:p>
            <w:pPr>
              <w:ind w:left="140"/>
              <w:spacing w:after="0"/>
              <w:rPr>
                <w:sz w:val="20"/>
                <w:szCs w:val="20"/>
                <w:color w:val="auto"/>
              </w:rPr>
            </w:pPr>
            <w:r>
              <w:rPr>
                <w:rFonts w:ascii="Arial" w:cs="Arial" w:eastAsia="Arial" w:hAnsi="Arial"/>
                <w:sz w:val="17"/>
                <w:szCs w:val="17"/>
                <w:color w:val="auto"/>
              </w:rPr>
              <w:t>relationships</w:t>
            </w: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Trademarks</w:t>
            </w:r>
          </w:p>
        </w:tc>
        <w:tc>
          <w:tcPr>
            <w:tcW w:w="1140" w:type="dxa"/>
            <w:vAlign w:val="bottom"/>
            <w:gridSpan w:val="2"/>
            <w:shd w:val="clear" w:color="auto" w:fill="CCEEFF"/>
          </w:tcPr>
          <w:p>
            <w:pPr>
              <w:jc w:val="center"/>
              <w:ind w:left="314"/>
              <w:spacing w:after="0"/>
              <w:rPr>
                <w:sz w:val="20"/>
                <w:szCs w:val="20"/>
                <w:color w:val="auto"/>
              </w:rPr>
            </w:pPr>
            <w:r>
              <w:rPr>
                <w:rFonts w:ascii="Arial" w:cs="Arial" w:eastAsia="Arial" w:hAnsi="Arial"/>
                <w:sz w:val="17"/>
                <w:szCs w:val="17"/>
                <w:color w:val="auto"/>
                <w:w w:val="92"/>
              </w:rPr>
              <w:t>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Order backlog</w:t>
            </w:r>
          </w:p>
        </w:tc>
        <w:tc>
          <w:tcPr>
            <w:tcW w:w="1140" w:type="dxa"/>
            <w:vAlign w:val="bottom"/>
            <w:gridSpan w:val="2"/>
          </w:tcPr>
          <w:p>
            <w:pPr>
              <w:jc w:val="center"/>
              <w:ind w:left="314"/>
              <w:spacing w:after="0"/>
              <w:rPr>
                <w:sz w:val="20"/>
                <w:szCs w:val="20"/>
                <w:color w:val="auto"/>
              </w:rPr>
            </w:pPr>
            <w:r>
              <w:rPr>
                <w:rFonts w:ascii="Arial" w:cs="Arial" w:eastAsia="Arial" w:hAnsi="Arial"/>
                <w:sz w:val="17"/>
                <w:szCs w:val="17"/>
                <w:color w:val="auto"/>
                <w:w w:val="92"/>
              </w:rPr>
              <w:t>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8,700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8,700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140" w:type="dxa"/>
            <w:vAlign w:val="bottom"/>
            <w:tcBorders>
              <w:top w:val="single" w:sz="8" w:color="CCEEFF"/>
              <w:bottom w:val="single" w:sz="8" w:color="CCEEFF"/>
            </w:tcBorders>
            <w:gridSpan w:val="2"/>
            <w:shd w:val="clear" w:color="auto" w:fill="CCEEFF"/>
          </w:tcPr>
          <w:p>
            <w:pPr>
              <w:jc w:val="center"/>
              <w:ind w:left="314"/>
              <w:spacing w:after="0"/>
              <w:rPr>
                <w:sz w:val="20"/>
                <w:szCs w:val="20"/>
                <w:color w:val="auto"/>
              </w:rPr>
            </w:pPr>
            <w:r>
              <w:rPr>
                <w:rFonts w:ascii="Arial" w:cs="Arial" w:eastAsia="Arial" w:hAnsi="Arial"/>
                <w:sz w:val="17"/>
                <w:szCs w:val="17"/>
                <w:color w:val="auto"/>
                <w:w w:val="92"/>
              </w:rPr>
              <w:t>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19,743</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Amortization expense was $3.8 million and $6.3 million for the three months ended October 31, 2021 and 2020, respectively. The future amortization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Arial" w:cs="Arial" w:eastAsia="Arial" w:hAnsi="Arial"/>
                <w:sz w:val="17"/>
                <w:szCs w:val="17"/>
                <w:color w:val="auto"/>
              </w:rPr>
              <w:t>for   existing   intangible   assets   as   of   October   31,   2021,   based   on   their</w:t>
            </w:r>
          </w:p>
        </w:tc>
        <w:tc>
          <w:tcPr>
            <w:tcW w:w="680" w:type="dxa"/>
            <w:vAlign w:val="bottom"/>
          </w:tcPr>
          <w:p>
            <w:pPr>
              <w:jc w:val="right"/>
              <w:spacing w:after="0"/>
              <w:rPr>
                <w:sz w:val="20"/>
                <w:szCs w:val="20"/>
                <w:color w:val="auto"/>
              </w:rPr>
            </w:pPr>
            <w:r>
              <w:rPr>
                <w:rFonts w:ascii="Arial" w:cs="Arial" w:eastAsia="Arial" w:hAnsi="Arial"/>
                <w:sz w:val="17"/>
                <w:szCs w:val="17"/>
                <w:color w:val="auto"/>
              </w:rPr>
              <w:t>current</w:t>
            </w:r>
          </w:p>
        </w:tc>
        <w:tc>
          <w:tcPr>
            <w:tcW w:w="1680" w:type="dxa"/>
            <w:vAlign w:val="bottom"/>
            <w:gridSpan w:val="2"/>
          </w:tcPr>
          <w:p>
            <w:pPr>
              <w:ind w:left="220"/>
              <w:spacing w:after="0"/>
              <w:rPr>
                <w:sz w:val="20"/>
                <w:szCs w:val="20"/>
                <w:color w:val="auto"/>
              </w:rPr>
            </w:pPr>
            <w:r>
              <w:rPr>
                <w:rFonts w:ascii="Arial" w:cs="Arial" w:eastAsia="Arial" w:hAnsi="Arial"/>
                <w:sz w:val="17"/>
                <w:szCs w:val="17"/>
                <w:color w:val="auto"/>
              </w:rPr>
              <w:t>useful   lives,   is</w:t>
            </w:r>
          </w:p>
        </w:tc>
        <w:tc>
          <w:tcPr>
            <w:tcW w:w="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as   follows</w:t>
            </w:r>
          </w:p>
        </w:tc>
        <w:tc>
          <w:tcPr>
            <w:tcW w:w="1300" w:type="dxa"/>
            <w:vAlign w:val="bottom"/>
          </w:tcPr>
          <w:p>
            <w:pPr>
              <w:jc w:val="right"/>
              <w:spacing w:after="0"/>
              <w:rPr>
                <w:sz w:val="20"/>
                <w:szCs w:val="20"/>
                <w:color w:val="auto"/>
              </w:rPr>
            </w:pPr>
            <w:r>
              <w:rPr>
                <w:rFonts w:ascii="Arial" w:cs="Arial" w:eastAsia="Arial" w:hAnsi="Arial"/>
                <w:sz w:val="17"/>
                <w:szCs w:val="17"/>
                <w:color w:val="auto"/>
              </w:rPr>
              <w:t>(in   thousands):</w:t>
            </w:r>
          </w:p>
        </w:tc>
        <w:tc>
          <w:tcPr>
            <w:tcW w:w="0" w:type="dxa"/>
            <w:vAlign w:val="bottom"/>
          </w:tcPr>
          <w:p>
            <w:pPr>
              <w:spacing w:after="0"/>
              <w:rPr>
                <w:sz w:val="1"/>
                <w:szCs w:val="1"/>
                <w:color w:val="auto"/>
              </w:rPr>
            </w:pPr>
          </w:p>
        </w:tc>
      </w:tr>
      <w:tr>
        <w:trPr>
          <w:trHeight w:val="235"/>
        </w:trPr>
        <w:tc>
          <w:tcPr>
            <w:tcW w:w="6520" w:type="dxa"/>
            <w:vAlign w:val="bottom"/>
          </w:tcPr>
          <w:p>
            <w:pPr>
              <w:ind w:left="320"/>
              <w:spacing w:after="0"/>
              <w:rPr>
                <w:sz w:val="20"/>
                <w:szCs w:val="20"/>
                <w:color w:val="auto"/>
              </w:rPr>
            </w:pPr>
            <w:r>
              <w:rPr>
                <w:rFonts w:ascii="Arial" w:cs="Arial" w:eastAsia="Arial" w:hAnsi="Arial"/>
                <w:sz w:val="17"/>
                <w:szCs w:val="17"/>
                <w:b w:val="1"/>
                <w:bCs w:val="1"/>
                <w:color w:val="auto"/>
              </w:rPr>
              <w:t>Fiscal year ending July 31,</w:t>
            </w: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2022 (remainder of fiscal year)</w:t>
            </w:r>
          </w:p>
        </w:tc>
        <w:tc>
          <w:tcPr>
            <w:tcW w:w="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10,327</w:t>
            </w:r>
          </w:p>
        </w:tc>
        <w:tc>
          <w:tcPr>
            <w:tcW w:w="0" w:type="dxa"/>
            <w:vAlign w:val="bottom"/>
          </w:tcPr>
          <w:p>
            <w:pPr>
              <w:spacing w:after="0"/>
              <w:rPr>
                <w:sz w:val="1"/>
                <w:szCs w:val="1"/>
                <w:color w:val="auto"/>
              </w:rPr>
            </w:pPr>
          </w:p>
        </w:tc>
      </w:tr>
      <w:tr>
        <w:trPr>
          <w:trHeight w:val="218"/>
        </w:trPr>
        <w:tc>
          <w:tcPr>
            <w:tcW w:w="6520" w:type="dxa"/>
            <w:vAlign w:val="bottom"/>
          </w:tcPr>
          <w:p>
            <w:pPr>
              <w:ind w:left="320"/>
              <w:spacing w:after="0"/>
              <w:rPr>
                <w:sz w:val="20"/>
                <w:szCs w:val="20"/>
                <w:color w:val="auto"/>
              </w:rPr>
            </w:pPr>
            <w:r>
              <w:rPr>
                <w:rFonts w:ascii="Arial" w:cs="Arial" w:eastAsia="Arial" w:hAnsi="Arial"/>
                <w:sz w:val="17"/>
                <w:szCs w:val="17"/>
                <w:color w:val="auto"/>
              </w:rPr>
              <w:t>2023</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6,888</w:t>
            </w: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2024</w:t>
            </w:r>
          </w:p>
        </w:tc>
        <w:tc>
          <w:tcPr>
            <w:tcW w:w="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5,468</w:t>
            </w:r>
          </w:p>
        </w:tc>
        <w:tc>
          <w:tcPr>
            <w:tcW w:w="0" w:type="dxa"/>
            <w:vAlign w:val="bottom"/>
          </w:tcPr>
          <w:p>
            <w:pPr>
              <w:spacing w:after="0"/>
              <w:rPr>
                <w:sz w:val="1"/>
                <w:szCs w:val="1"/>
                <w:color w:val="auto"/>
              </w:rPr>
            </w:pPr>
          </w:p>
        </w:tc>
      </w:tr>
      <w:tr>
        <w:trPr>
          <w:trHeight w:val="218"/>
        </w:trPr>
        <w:tc>
          <w:tcPr>
            <w:tcW w:w="6520" w:type="dxa"/>
            <w:vAlign w:val="bottom"/>
          </w:tcPr>
          <w:p>
            <w:pPr>
              <w:ind w:left="320"/>
              <w:spacing w:after="0"/>
              <w:rPr>
                <w:sz w:val="20"/>
                <w:szCs w:val="20"/>
                <w:color w:val="auto"/>
              </w:rPr>
            </w:pPr>
            <w:r>
              <w:rPr>
                <w:rFonts w:ascii="Arial" w:cs="Arial" w:eastAsia="Arial" w:hAnsi="Arial"/>
                <w:sz w:val="17"/>
                <w:szCs w:val="17"/>
                <w:color w:val="auto"/>
              </w:rPr>
              <w:t>2025</w:t>
            </w: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5,026</w:t>
            </w: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2026</w:t>
            </w:r>
          </w:p>
        </w:tc>
        <w:tc>
          <w:tcPr>
            <w:tcW w:w="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3,572</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Thereafter</w:t>
            </w:r>
          </w:p>
        </w:tc>
        <w:tc>
          <w:tcPr>
            <w:tcW w:w="6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38"/>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6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55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31,688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b w:val="1"/>
                <w:bCs w:val="1"/>
                <w:i w:val="1"/>
                <w:iCs w:val="1"/>
                <w:color w:val="auto"/>
              </w:rPr>
              <w:t>Other assets</w:t>
            </w:r>
          </w:p>
        </w:tc>
        <w:tc>
          <w:tcPr>
            <w:tcW w:w="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5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tcPr>
          <w:p>
            <w:pPr>
              <w:ind w:left="320"/>
              <w:spacing w:after="0"/>
              <w:rPr>
                <w:sz w:val="20"/>
                <w:szCs w:val="20"/>
                <w:color w:val="auto"/>
              </w:rPr>
            </w:pPr>
            <w:r>
              <w:rPr>
                <w:rFonts w:ascii="Arial" w:cs="Arial" w:eastAsia="Arial" w:hAnsi="Arial"/>
                <w:sz w:val="17"/>
                <w:szCs w:val="17"/>
                <w:color w:val="auto"/>
              </w:rPr>
              <w:t>Other assets consist of the following (in thousands):</w:t>
            </w: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5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w w:val="91"/>
              </w:rPr>
              <w:t>October 31, 2021</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30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7"/>
                <w:szCs w:val="17"/>
                <w:b w:val="1"/>
                <w:bCs w:val="1"/>
                <w:color w:val="auto"/>
              </w:rPr>
              <w:t>July 31, 2021</w:t>
            </w: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w:t>
            </w:r>
          </w:p>
        </w:tc>
        <w:tc>
          <w:tcPr>
            <w:tcW w:w="6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2,974</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3,276</w:t>
            </w:r>
          </w:p>
        </w:tc>
        <w:tc>
          <w:tcPr>
            <w:tcW w:w="0" w:type="dxa"/>
            <w:vAlign w:val="bottom"/>
          </w:tcPr>
          <w:p>
            <w:pPr>
              <w:spacing w:after="0"/>
              <w:rPr>
                <w:sz w:val="1"/>
                <w:szCs w:val="1"/>
                <w:color w:val="auto"/>
              </w:rPr>
            </w:pPr>
          </w:p>
        </w:tc>
      </w:tr>
      <w:tr>
        <w:trPr>
          <w:trHeight w:val="218"/>
        </w:trPr>
        <w:tc>
          <w:tcPr>
            <w:tcW w:w="6520" w:type="dxa"/>
            <w:vAlign w:val="bottom"/>
          </w:tcPr>
          <w:p>
            <w:pPr>
              <w:ind w:left="320"/>
              <w:spacing w:after="0"/>
              <w:rPr>
                <w:sz w:val="20"/>
                <w:szCs w:val="20"/>
                <w:color w:val="auto"/>
              </w:rPr>
            </w:pPr>
            <w:r>
              <w:rPr>
                <w:rFonts w:ascii="Arial" w:cs="Arial" w:eastAsia="Arial" w:hAnsi="Arial"/>
                <w:sz w:val="17"/>
                <w:szCs w:val="17"/>
                <w:color w:val="auto"/>
              </w:rPr>
              <w:t>Contract costs</w:t>
            </w:r>
          </w:p>
        </w:tc>
        <w:tc>
          <w:tcPr>
            <w:tcW w:w="6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29,061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28,870</w:t>
            </w: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costs</w:t>
            </w:r>
          </w:p>
        </w:tc>
        <w:tc>
          <w:tcPr>
            <w:tcW w:w="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2,777</w:t>
            </w:r>
          </w:p>
        </w:tc>
        <w:tc>
          <w:tcPr>
            <w:tcW w:w="0" w:type="dxa"/>
            <w:vAlign w:val="bottom"/>
          </w:tcPr>
          <w:p>
            <w:pPr>
              <w:spacing w:after="0"/>
              <w:rPr>
                <w:sz w:val="1"/>
                <w:szCs w:val="1"/>
                <w:color w:val="auto"/>
              </w:rPr>
            </w:pPr>
          </w:p>
        </w:tc>
      </w:tr>
      <w:tr>
        <w:trPr>
          <w:trHeight w:val="218"/>
        </w:trPr>
        <w:tc>
          <w:tcPr>
            <w:tcW w:w="6520" w:type="dxa"/>
            <w:vAlign w:val="bottom"/>
          </w:tcPr>
          <w:p>
            <w:pPr>
              <w:ind w:left="320"/>
              <w:spacing w:after="0"/>
              <w:rPr>
                <w:sz w:val="20"/>
                <w:szCs w:val="20"/>
                <w:color w:val="auto"/>
              </w:rPr>
            </w:pPr>
            <w:r>
              <w:rPr>
                <w:rFonts w:ascii="Arial" w:cs="Arial" w:eastAsia="Arial" w:hAnsi="Arial"/>
                <w:sz w:val="17"/>
                <w:szCs w:val="17"/>
                <w:color w:val="auto"/>
              </w:rPr>
              <w:t>Strategic equity investments</w:t>
            </w:r>
          </w:p>
        </w:tc>
        <w:tc>
          <w:tcPr>
            <w:tcW w:w="6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3,556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3,556</w:t>
            </w: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320"/>
              <w:spacing w:after="0" w:line="220"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(2)</w:t>
            </w:r>
          </w:p>
        </w:tc>
        <w:tc>
          <w:tcPr>
            <w:tcW w:w="6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520" w:type="dxa"/>
            <w:vAlign w:val="bottom"/>
          </w:tcPr>
          <w:p>
            <w:pPr>
              <w:ind w:left="520"/>
              <w:spacing w:after="0"/>
              <w:rPr>
                <w:sz w:val="20"/>
                <w:szCs w:val="20"/>
                <w:color w:val="auto"/>
              </w:rPr>
            </w:pPr>
            <w:r>
              <w:rPr>
                <w:rFonts w:ascii="Arial" w:cs="Arial" w:eastAsia="Arial" w:hAnsi="Arial"/>
                <w:sz w:val="17"/>
                <w:szCs w:val="17"/>
                <w:color w:val="auto"/>
              </w:rPr>
              <w:t>Other assets</w:t>
            </w:r>
          </w:p>
        </w:tc>
        <w:tc>
          <w:tcPr>
            <w:tcW w:w="6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42,742</w:t>
            </w:r>
          </w:p>
        </w:tc>
        <w:tc>
          <w:tcPr>
            <w:tcW w:w="40" w:type="dxa"/>
            <w:vAlign w:val="bottom"/>
          </w:tcPr>
          <w:p>
            <w:pPr>
              <w:spacing w:after="0"/>
              <w:rPr>
                <w:sz w:val="18"/>
                <w:szCs w:val="18"/>
                <w:color w:val="auto"/>
              </w:rPr>
            </w:pPr>
          </w:p>
        </w:tc>
        <w:tc>
          <w:tcPr>
            <w:tcW w:w="1060" w:type="dxa"/>
            <w:vAlign w:val="bottom"/>
            <w:gridSpan w:val="2"/>
          </w:tcPr>
          <w:p>
            <w:pPr>
              <w:jc w:val="right"/>
              <w:ind w:right="51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38,479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(2) Restricted cash represents the long-term portion of the acquisition consideration holdback.</w:t>
      </w:r>
    </w:p>
    <w:p>
      <w:pPr>
        <w:spacing w:after="0" w:line="37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6"/>
          <w:szCs w:val="16"/>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No impairment charges related to strategic investments were recognized during the three months ended October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5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791"/>
        </w:trPr>
        <w:tc>
          <w:tcPr>
            <w:tcW w:w="3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Accrued Employee Compensation</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17"/>
                <w:szCs w:val="17"/>
                <w:color w:val="auto"/>
              </w:rPr>
              <w:t>Accrued employee compensation consists of the following (in thousands):</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6"/>
        </w:trPr>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21"/>
                <w:szCs w:val="21"/>
                <w:color w:val="auto"/>
              </w:rPr>
            </w:pPr>
          </w:p>
        </w:tc>
        <w:tc>
          <w:tcPr>
            <w:tcW w:w="168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32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Bonus</w:t>
            </w:r>
          </w:p>
        </w:tc>
        <w:tc>
          <w:tcPr>
            <w:tcW w:w="5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12,241</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48,414</w:t>
            </w:r>
          </w:p>
        </w:tc>
      </w:tr>
      <w:tr>
        <w:trPr>
          <w:trHeight w:val="218"/>
        </w:trPr>
        <w:tc>
          <w:tcPr>
            <w:tcW w:w="3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7"/>
                <w:szCs w:val="17"/>
                <w:color w:val="auto"/>
              </w:rPr>
              <w:t>Commission</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2,233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11,271</w:t>
            </w:r>
          </w:p>
        </w:tc>
      </w:tr>
      <w:tr>
        <w:trPr>
          <w:trHeight w:val="220"/>
        </w:trPr>
        <w:tc>
          <w:tcPr>
            <w:tcW w:w="3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Vacation</w:t>
            </w:r>
            <w:r>
              <w:rPr>
                <w:rFonts w:ascii="Arial" w:cs="Arial" w:eastAsia="Arial" w:hAnsi="Arial"/>
                <w:sz w:val="22"/>
                <w:szCs w:val="22"/>
                <w:color w:val="auto"/>
                <w:vertAlign w:val="superscript"/>
              </w:rPr>
              <w:t>*</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23,803</w:t>
            </w:r>
          </w:p>
        </w:tc>
      </w:tr>
      <w:tr>
        <w:trPr>
          <w:trHeight w:val="218"/>
        </w:trPr>
        <w:tc>
          <w:tcPr>
            <w:tcW w:w="3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Salaries, payroll taxes, and benefits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18,185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18,649</w:t>
            </w:r>
          </w:p>
        </w:tc>
      </w:tr>
      <w:tr>
        <w:trPr>
          <w:trHeight w:val="238"/>
        </w:trPr>
        <w:tc>
          <w:tcPr>
            <w:tcW w:w="320" w:type="dxa"/>
            <w:vAlign w:val="bottom"/>
            <w:tcBorders>
              <w:bottom w:val="single" w:sz="8" w:color="CCEEFF"/>
            </w:tcBorders>
            <w:shd w:val="clear" w:color="auto" w:fill="CCEEFF"/>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Accrued employee compensation</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38,405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102,137</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*In the first quarter of fiscal year 2022, the Company paid out accrued vacation for employees in certain countries upon adopting a non-accrued vacation policy effective September 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Other Current Liabilities</w:t>
            </w: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97"/>
        </w:trPr>
        <w:tc>
          <w:tcPr>
            <w:tcW w:w="6520" w:type="dxa"/>
            <w:vAlign w:val="bottom"/>
          </w:tcPr>
          <w:p>
            <w:pPr>
              <w:ind w:left="320"/>
              <w:spacing w:after="0"/>
              <w:rPr>
                <w:sz w:val="20"/>
                <w:szCs w:val="20"/>
                <w:color w:val="auto"/>
              </w:rPr>
            </w:pPr>
            <w:r>
              <w:rPr>
                <w:rFonts w:ascii="Arial" w:cs="Arial" w:eastAsia="Arial" w:hAnsi="Arial"/>
                <w:sz w:val="17"/>
                <w:szCs w:val="17"/>
                <w:color w:val="auto"/>
              </w:rPr>
              <w:t>Other current liabilities consist of the following (in thousands):</w:t>
            </w: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6"/>
        </w:trPr>
        <w:tc>
          <w:tcPr>
            <w:tcW w:w="6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21"/>
                <w:szCs w:val="21"/>
                <w:color w:val="auto"/>
              </w:rPr>
            </w:pPr>
          </w:p>
        </w:tc>
        <w:tc>
          <w:tcPr>
            <w:tcW w:w="168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6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Lease liabilities</w:t>
            </w:r>
          </w:p>
        </w:tc>
        <w:tc>
          <w:tcPr>
            <w:tcW w:w="5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11,312</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11,624</w:t>
            </w:r>
          </w:p>
        </w:tc>
      </w:tr>
      <w:tr>
        <w:trPr>
          <w:trHeight w:val="218"/>
        </w:trPr>
        <w:tc>
          <w:tcPr>
            <w:tcW w:w="6520" w:type="dxa"/>
            <w:vAlign w:val="bottom"/>
          </w:tcPr>
          <w:p>
            <w:pPr>
              <w:ind w:left="320"/>
              <w:spacing w:after="0"/>
              <w:rPr>
                <w:sz w:val="20"/>
                <w:szCs w:val="20"/>
                <w:color w:val="auto"/>
              </w:rPr>
            </w:pPr>
            <w:r>
              <w:rPr>
                <w:rFonts w:ascii="Arial" w:cs="Arial" w:eastAsia="Arial" w:hAnsi="Arial"/>
                <w:sz w:val="17"/>
                <w:szCs w:val="17"/>
                <w:color w:val="auto"/>
              </w:rPr>
              <w:t>Accrued royalties</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9,165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7,525</w:t>
            </w:r>
          </w:p>
        </w:tc>
      </w:tr>
      <w:tr>
        <w:trPr>
          <w:trHeight w:val="220"/>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taxes</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6,796</w:t>
            </w:r>
          </w:p>
        </w:tc>
      </w:tr>
      <w:tr>
        <w:trPr>
          <w:trHeight w:val="218"/>
        </w:trPr>
        <w:tc>
          <w:tcPr>
            <w:tcW w:w="65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4,029</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5,703</w:t>
            </w:r>
          </w:p>
        </w:tc>
      </w:tr>
      <w:tr>
        <w:trPr>
          <w:trHeight w:val="238"/>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Other current liabilities</w:t>
            </w:r>
          </w:p>
        </w:tc>
        <w:tc>
          <w:tcPr>
            <w:tcW w:w="5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28,001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31,648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8" w:name="page29"/>
    <w:bookmarkEnd w:id="28"/>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Net Income (Loss) Per Share</w:t>
      </w:r>
    </w:p>
    <w:p>
      <w:pPr>
        <w:spacing w:after="0" w:line="9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Company calculates basic earnings per share by dividing the net income (loss) by the weighted average number of shares of common stock outstanding for the period. The diluted earnings per share is computed by giving effect to all potentially dilutive common stock equivalents outstanding for the period using the treasury stock method. For purposes of this calculation, options to purchase common stock, stock awards, and the Convertible Senior Notes are considered to be common stock equivalents.</w:t>
      </w:r>
    </w:p>
    <w:p>
      <w:pPr>
        <w:spacing w:after="0" w:line="62" w:lineRule="exact"/>
        <w:rPr>
          <w:sz w:val="20"/>
          <w:szCs w:val="20"/>
          <w:color w:val="auto"/>
        </w:rPr>
      </w:pPr>
    </w:p>
    <w:p>
      <w:pPr>
        <w:ind w:right="520" w:firstLine="309"/>
        <w:spacing w:after="0" w:line="273" w:lineRule="auto"/>
        <w:rPr>
          <w:sz w:val="20"/>
          <w:szCs w:val="20"/>
          <w:color w:val="auto"/>
        </w:rPr>
      </w:pPr>
      <w:r>
        <w:rPr>
          <w:rFonts w:ascii="Arial" w:cs="Arial" w:eastAsia="Arial" w:hAnsi="Arial"/>
          <w:sz w:val="17"/>
          <w:szCs w:val="17"/>
          <w:color w:val="auto"/>
        </w:rPr>
        <w:t>The following table sets forth the computation of the Company’s basic and diluted net income (loss) per share (in thousands,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w w:val="92"/>
              </w:rPr>
              <w:t>Three Months Ended October 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Numerator:</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tcPr>
          <w:p>
            <w:pPr>
              <w:ind w:left="580"/>
              <w:spacing w:after="0"/>
              <w:rPr>
                <w:sz w:val="20"/>
                <w:szCs w:val="20"/>
                <w:color w:val="auto"/>
              </w:rPr>
            </w:pPr>
            <w:r>
              <w:rPr>
                <w:rFonts w:ascii="Arial" w:cs="Arial" w:eastAsia="Arial" w:hAnsi="Arial"/>
                <w:sz w:val="17"/>
                <w:szCs w:val="17"/>
                <w:color w:val="auto"/>
              </w:rPr>
              <w:t>Net income (loss)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(51,276)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80" w:type="dxa"/>
            <w:vAlign w:val="bottom"/>
            <w:shd w:val="clear" w:color="auto" w:fill="CCEEFF"/>
          </w:tcPr>
          <w:p>
            <w:pPr>
              <w:ind w:left="320"/>
              <w:spacing w:after="0" w:line="185" w:lineRule="exact"/>
              <w:rPr>
                <w:sz w:val="20"/>
                <w:szCs w:val="20"/>
                <w:color w:val="auto"/>
              </w:rPr>
            </w:pPr>
            <w:r>
              <w:rPr>
                <w:rFonts w:ascii="Arial" w:cs="Arial" w:eastAsia="Arial" w:hAnsi="Arial"/>
                <w:sz w:val="17"/>
                <w:szCs w:val="17"/>
                <w:b w:val="1"/>
                <w:bCs w:val="1"/>
                <w:color w:val="auto"/>
              </w:rPr>
              <w:t>Net income (loss) per share:</w:t>
            </w: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tcPr>
          <w:p>
            <w:pPr>
              <w:ind w:left="580"/>
              <w:spacing w:after="0"/>
              <w:rPr>
                <w:sz w:val="20"/>
                <w:szCs w:val="20"/>
                <w:color w:val="auto"/>
              </w:rPr>
            </w:pPr>
            <w:r>
              <w:rPr>
                <w:rFonts w:ascii="Arial" w:cs="Arial" w:eastAsia="Arial" w:hAnsi="Arial"/>
                <w:sz w:val="17"/>
                <w:szCs w:val="17"/>
                <w:color w:val="auto"/>
              </w:rPr>
              <w:t>Basic</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Diluted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b w:val="1"/>
                <w:bCs w:val="1"/>
                <w:color w:val="auto"/>
              </w:rPr>
              <w:t>Denominator:</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Weighted average shares used in computing net income (loss) per share:</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760"/>
              <w:spacing w:after="0" w:line="186" w:lineRule="exact"/>
              <w:rPr>
                <w:sz w:val="20"/>
                <w:szCs w:val="20"/>
                <w:color w:val="auto"/>
              </w:rPr>
            </w:pPr>
            <w:r>
              <w:rPr>
                <w:rFonts w:ascii="Arial" w:cs="Arial" w:eastAsia="Arial" w:hAnsi="Arial"/>
                <w:sz w:val="17"/>
                <w:szCs w:val="17"/>
                <w:color w:val="auto"/>
              </w:rPr>
              <w:t>Basic</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83,225,743</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83,613,287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Diluted</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83,225,743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83,613,287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20" w:firstLine="309"/>
        <w:spacing w:after="0" w:line="273" w:lineRule="auto"/>
        <w:rPr>
          <w:sz w:val="20"/>
          <w:szCs w:val="20"/>
          <w:color w:val="auto"/>
        </w:rPr>
      </w:pPr>
      <w:r>
        <w:rPr>
          <w:rFonts w:ascii="Arial" w:cs="Arial" w:eastAsia="Arial" w:hAnsi="Arial"/>
          <w:sz w:val="17"/>
          <w:szCs w:val="17"/>
          <w:color w:val="auto"/>
        </w:rPr>
        <w:t>The following weighted average shares of potential common stock were excluded from the computation of diluted net income (loss) per share for the periods presented because including them would have been anti-dilutive:</w:t>
      </w:r>
    </w:p>
    <w:p>
      <w:pPr>
        <w:ind w:left="9360"/>
        <w:spacing w:after="0" w:line="230" w:lineRule="auto"/>
        <w:rPr>
          <w:sz w:val="20"/>
          <w:szCs w:val="20"/>
          <w:color w:val="auto"/>
        </w:rPr>
      </w:pPr>
      <w:r>
        <w:rPr>
          <w:rFonts w:ascii="Arial" w:cs="Arial" w:eastAsia="Arial" w:hAnsi="Arial"/>
          <w:sz w:val="17"/>
          <w:szCs w:val="17"/>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20" w:type="dxa"/>
            <w:vAlign w:val="bottom"/>
          </w:tcPr>
          <w:p>
            <w:pPr>
              <w:spacing w:after="0"/>
              <w:rPr>
                <w:sz w:val="17"/>
                <w:szCs w:val="17"/>
                <w:color w:val="auto"/>
              </w:rPr>
            </w:pPr>
          </w:p>
        </w:tc>
        <w:tc>
          <w:tcPr>
            <w:tcW w:w="1720" w:type="dxa"/>
            <w:vAlign w:val="bottom"/>
            <w:tcBorders>
              <w:bottom w:val="single" w:sz="8" w:color="auto"/>
            </w:tcBorders>
            <w:gridSpan w:val="3"/>
          </w:tcPr>
          <w:p>
            <w:pPr>
              <w:ind w:left="840"/>
              <w:spacing w:after="0"/>
              <w:rPr>
                <w:sz w:val="20"/>
                <w:szCs w:val="20"/>
                <w:color w:val="auto"/>
              </w:rPr>
            </w:pPr>
            <w:r>
              <w:rPr>
                <w:rFonts w:ascii="Arial" w:cs="Arial" w:eastAsia="Arial" w:hAnsi="Arial"/>
                <w:sz w:val="17"/>
                <w:szCs w:val="17"/>
                <w:b w:val="1"/>
                <w:bCs w:val="1"/>
                <w:color w:val="auto"/>
                <w:w w:val="91"/>
              </w:rPr>
              <w:t>October 31,</w:t>
            </w:r>
          </w:p>
        </w:tc>
        <w:tc>
          <w:tcPr>
            <w:tcW w:w="800" w:type="dxa"/>
            <w:vAlign w:val="bottom"/>
            <w:tcBorders>
              <w:bottom w:val="single" w:sz="8" w:color="auto"/>
            </w:tcBorders>
          </w:tcPr>
          <w:p>
            <w:pPr>
              <w:spacing w:after="0"/>
              <w:rPr>
                <w:sz w:val="17"/>
                <w:szCs w:val="17"/>
                <w:color w:val="auto"/>
              </w:rPr>
            </w:pPr>
          </w:p>
        </w:tc>
      </w:tr>
      <w:tr>
        <w:trPr>
          <w:trHeight w:val="212"/>
        </w:trPr>
        <w:tc>
          <w:tcPr>
            <w:tcW w:w="87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2020</w:t>
            </w:r>
          </w:p>
        </w:tc>
      </w:tr>
      <w:tr>
        <w:trPr>
          <w:trHeight w:val="212"/>
        </w:trPr>
        <w:tc>
          <w:tcPr>
            <w:tcW w:w="8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61,472</w:t>
            </w:r>
          </w:p>
        </w:tc>
      </w:tr>
      <w:tr>
        <w:trPr>
          <w:trHeight w:val="218"/>
        </w:trPr>
        <w:tc>
          <w:tcPr>
            <w:tcW w:w="8720" w:type="dxa"/>
            <w:vAlign w:val="bottom"/>
          </w:tcPr>
          <w:p>
            <w:pPr>
              <w:ind w:left="320"/>
              <w:spacing w:after="0"/>
              <w:rPr>
                <w:sz w:val="20"/>
                <w:szCs w:val="20"/>
                <w:color w:val="auto"/>
              </w:rPr>
            </w:pPr>
            <w:r>
              <w:rPr>
                <w:rFonts w:ascii="Arial" w:cs="Arial" w:eastAsia="Arial" w:hAnsi="Arial"/>
                <w:sz w:val="17"/>
                <w:szCs w:val="17"/>
                <w:color w:val="auto"/>
              </w:rPr>
              <w:t>Stock awards</w:t>
            </w:r>
          </w:p>
        </w:tc>
        <w:tc>
          <w:tcPr>
            <w:tcW w:w="1180" w:type="dxa"/>
            <w:vAlign w:val="bottom"/>
          </w:tcPr>
          <w:p>
            <w:pPr>
              <w:jc w:val="right"/>
              <w:spacing w:after="0"/>
              <w:rPr>
                <w:sz w:val="20"/>
                <w:szCs w:val="20"/>
                <w:color w:val="auto"/>
              </w:rPr>
            </w:pPr>
            <w:r>
              <w:rPr>
                <w:rFonts w:ascii="Arial" w:cs="Arial" w:eastAsia="Arial" w:hAnsi="Arial"/>
                <w:sz w:val="17"/>
                <w:szCs w:val="17"/>
                <w:color w:val="auto"/>
              </w:rPr>
              <w:t>2,905,346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5"/>
              </w:rPr>
              <w:t>2,263,076</w:t>
            </w:r>
          </w:p>
        </w:tc>
      </w:tr>
      <w:tr>
        <w:trPr>
          <w:trHeight w:val="220"/>
        </w:trPr>
        <w:tc>
          <w:tcPr>
            <w:tcW w:w="8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Convertible senior notes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5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net income per share, if applicable. The conversion spread will have a dilutive impact on net income (loss) per share when the average market price of the Company’s common stock for a given period exceeds the conversion price of $113.75 per share for the Convertible Senior Notes. During the three months ended October 31, 2021, the average market price of the Company's common stock exceeded the conversion price for the Convertible Senior Notes.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Convertible Senior Notes</w:t>
      </w:r>
    </w:p>
    <w:p>
      <w:pPr>
        <w:spacing w:after="0" w:line="249"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09"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Convertible Senior Notes are unsecured obligations of the Company with interest payable semi-annually in arrears at a rate of 1.25% per year, on March 15th and September 15th of each year.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9" w:name="page30"/>
    <w:bookmarkEnd w:id="29"/>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2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0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189" w:lineRule="exact"/>
        <w:rPr>
          <w:sz w:val="20"/>
          <w:szCs w:val="20"/>
          <w:color w:val="auto"/>
        </w:rPr>
      </w:pPr>
    </w:p>
    <w:p>
      <w:pPr>
        <w:ind w:right="380" w:firstLine="309"/>
        <w:spacing w:after="0" w:line="273" w:lineRule="auto"/>
        <w:rPr>
          <w:sz w:val="20"/>
          <w:szCs w:val="20"/>
          <w:color w:val="auto"/>
        </w:rPr>
      </w:pPr>
      <w:r>
        <w:rPr>
          <w:rFonts w:ascii="Arial" w:cs="Arial" w:eastAsia="Arial" w:hAnsi="Arial"/>
          <w:sz w:val="17"/>
          <w:szCs w:val="17"/>
          <w:color w:val="auto"/>
        </w:rPr>
        <w:t>The net carrying value of the liability component, unamortized debt discount and unamortized debt issuance costs of the Convertible Senior Notes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19"/>
                <w:szCs w:val="19"/>
                <w:color w:val="auto"/>
              </w:rPr>
            </w:pPr>
          </w:p>
        </w:tc>
        <w:tc>
          <w:tcPr>
            <w:tcW w:w="168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6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Principal</w:t>
            </w:r>
          </w:p>
        </w:tc>
        <w:tc>
          <w:tcPr>
            <w:tcW w:w="5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400,000</w:t>
            </w:r>
          </w:p>
        </w:tc>
      </w:tr>
      <w:tr>
        <w:trPr>
          <w:trHeight w:val="218"/>
        </w:trPr>
        <w:tc>
          <w:tcPr>
            <w:tcW w:w="6540" w:type="dxa"/>
            <w:vAlign w:val="bottom"/>
          </w:tcPr>
          <w:p>
            <w:pPr>
              <w:ind w:left="320"/>
              <w:spacing w:after="0"/>
              <w:rPr>
                <w:sz w:val="20"/>
                <w:szCs w:val="20"/>
                <w:color w:val="auto"/>
              </w:rPr>
            </w:pPr>
            <w:r>
              <w:rPr>
                <w:rFonts w:ascii="Arial" w:cs="Arial" w:eastAsia="Arial" w:hAnsi="Arial"/>
                <w:sz w:val="17"/>
                <w:szCs w:val="17"/>
                <w:color w:val="auto"/>
              </w:rPr>
              <w:t>Less unamortized:</w:t>
            </w: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6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Debt discount</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50,198</w:t>
            </w:r>
          </w:p>
        </w:tc>
      </w:tr>
      <w:tr>
        <w:trPr>
          <w:trHeight w:val="218"/>
        </w:trPr>
        <w:tc>
          <w:tcPr>
            <w:tcW w:w="65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Debt issuance costs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5,629</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5,977</w:t>
            </w:r>
          </w:p>
        </w:tc>
      </w:tr>
      <w:tr>
        <w:trPr>
          <w:trHeight w:val="238"/>
        </w:trPr>
        <w:tc>
          <w:tcPr>
            <w:tcW w:w="6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Net carrying amount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347,349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343,825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effective interest rate of the Convertible Senior Notes is 5.53%. The following table sets forth the interest expense recognized related to the Convertible Senior Notes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0" w:type="dxa"/>
            <w:vAlign w:val="bottom"/>
          </w:tcPr>
          <w:p>
            <w:pPr>
              <w:spacing w:after="0"/>
              <w:rPr>
                <w:sz w:val="19"/>
                <w:szCs w:val="19"/>
                <w:color w:val="auto"/>
              </w:rPr>
            </w:pPr>
          </w:p>
        </w:tc>
        <w:tc>
          <w:tcPr>
            <w:tcW w:w="35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7"/>
                <w:szCs w:val="17"/>
                <w:b w:val="1"/>
                <w:bCs w:val="1"/>
                <w:color w:val="auto"/>
              </w:rPr>
              <w:t>Three Months Ended October 31,</w:t>
            </w:r>
          </w:p>
        </w:tc>
        <w:tc>
          <w:tcPr>
            <w:tcW w:w="660" w:type="dxa"/>
            <w:vAlign w:val="bottom"/>
            <w:tcBorders>
              <w:bottom w:val="single" w:sz="8" w:color="auto"/>
            </w:tcBorders>
          </w:tcPr>
          <w:p>
            <w:pPr>
              <w:spacing w:after="0"/>
              <w:rPr>
                <w:sz w:val="19"/>
                <w:szCs w:val="19"/>
                <w:color w:val="auto"/>
              </w:rPr>
            </w:pPr>
          </w:p>
        </w:tc>
      </w:tr>
      <w:tr>
        <w:trPr>
          <w:trHeight w:val="213"/>
        </w:trPr>
        <w:tc>
          <w:tcPr>
            <w:tcW w:w="70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1420" w:type="dxa"/>
            <w:vAlign w:val="bottom"/>
            <w:shd w:val="clear" w:color="auto" w:fill="CCEEFF"/>
          </w:tcPr>
          <w:p>
            <w:pPr>
              <w:jc w:val="right"/>
              <w:ind w:right="12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r>
      <w:tr>
        <w:trPr>
          <w:trHeight w:val="218"/>
        </w:trPr>
        <w:tc>
          <w:tcPr>
            <w:tcW w:w="7000" w:type="dxa"/>
            <w:vAlign w:val="bottom"/>
          </w:tcPr>
          <w:p>
            <w:pPr>
              <w:ind w:left="20"/>
              <w:spacing w:after="0"/>
              <w:rPr>
                <w:sz w:val="20"/>
                <w:szCs w:val="20"/>
                <w:color w:val="auto"/>
              </w:rPr>
            </w:pPr>
            <w:r>
              <w:rPr>
                <w:rFonts w:ascii="Arial" w:cs="Arial" w:eastAsia="Arial" w:hAnsi="Arial"/>
                <w:sz w:val="17"/>
                <w:szCs w:val="17"/>
                <w:color w:val="auto"/>
              </w:rPr>
              <w:t>Amortization of debt discount</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3,176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3,020</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issuance costs</w:t>
            </w: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13"/>
        </w:trPr>
        <w:tc>
          <w:tcPr>
            <w:tcW w:w="7000" w:type="dxa"/>
            <w:vAlign w:val="bottom"/>
          </w:tcPr>
          <w:p>
            <w:pPr>
              <w:ind w:left="20"/>
              <w:spacing w:after="0"/>
              <w:rPr>
                <w:sz w:val="20"/>
                <w:szCs w:val="20"/>
                <w:color w:val="auto"/>
              </w:rPr>
            </w:pPr>
            <w:r>
              <w:rPr>
                <w:rFonts w:ascii="Arial" w:cs="Arial" w:eastAsia="Arial" w:hAnsi="Arial"/>
                <w:sz w:val="17"/>
                <w:szCs w:val="17"/>
                <w:color w:val="auto"/>
              </w:rPr>
              <w:t>Total</w:t>
            </w:r>
          </w:p>
        </w:tc>
        <w:tc>
          <w:tcPr>
            <w:tcW w:w="1420" w:type="dxa"/>
            <w:vAlign w:val="bottom"/>
            <w:tcBorders>
              <w:bottom w:val="single" w:sz="8" w:color="auto"/>
            </w:tcBorders>
          </w:tcPr>
          <w:p>
            <w:pPr>
              <w:jc w:val="right"/>
              <w:ind w:right="123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4,774</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21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4,585</w:t>
            </w:r>
          </w:p>
        </w:tc>
      </w:tr>
      <w:tr>
        <w:trPr>
          <w:trHeight w:val="20"/>
        </w:trPr>
        <w:tc>
          <w:tcPr>
            <w:tcW w:w="70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Capped Call</w:t>
      </w:r>
    </w:p>
    <w:p>
      <w:pPr>
        <w:spacing w:after="0" w:line="243"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condensed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0" w:name="page31"/>
    <w:bookmarkEnd w:id="3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00" w:firstLine="309"/>
        <w:spacing w:after="0" w:line="266" w:lineRule="auto"/>
        <w:rPr>
          <w:sz w:val="20"/>
          <w:szCs w:val="20"/>
          <w:color w:val="auto"/>
        </w:rPr>
      </w:pPr>
      <w:r>
        <w:rPr>
          <w:rFonts w:ascii="Arial" w:cs="Arial" w:eastAsia="Arial" w:hAnsi="Arial"/>
          <w:sz w:val="17"/>
          <w:szCs w:val="17"/>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6340" w:type="dxa"/>
            <w:vAlign w:val="bottom"/>
            <w:gridSpan w:val="2"/>
          </w:tcPr>
          <w:p>
            <w:pPr>
              <w:spacing w:after="0"/>
              <w:rPr>
                <w:sz w:val="20"/>
                <w:szCs w:val="20"/>
                <w:color w:val="auto"/>
              </w:rPr>
            </w:pPr>
            <w:r>
              <w:rPr>
                <w:rFonts w:ascii="Arial" w:cs="Arial" w:eastAsia="Arial" w:hAnsi="Arial"/>
                <w:sz w:val="17"/>
                <w:szCs w:val="17"/>
                <w:color w:val="auto"/>
              </w:rPr>
              <w:t>Components of operating lease costs were as follows (in thousands):</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46"/>
        </w:trPr>
        <w:tc>
          <w:tcPr>
            <w:tcW w:w="30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468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b w:val="1"/>
                <w:bCs w:val="1"/>
                <w:color w:val="auto"/>
              </w:rPr>
              <w:t>Three Months Ended October 31,</w:t>
            </w:r>
          </w:p>
        </w:tc>
      </w:tr>
      <w:tr>
        <w:trPr>
          <w:trHeight w:val="213"/>
        </w:trPr>
        <w:tc>
          <w:tcPr>
            <w:tcW w:w="300" w:type="dxa"/>
            <w:vAlign w:val="bottom"/>
          </w:tcPr>
          <w:p>
            <w:pPr>
              <w:spacing w:after="0"/>
              <w:rPr>
                <w:sz w:val="18"/>
                <w:szCs w:val="18"/>
                <w:color w:val="auto"/>
              </w:rPr>
            </w:pPr>
          </w:p>
        </w:tc>
        <w:tc>
          <w:tcPr>
            <w:tcW w:w="60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2020</w:t>
            </w:r>
          </w:p>
        </w:tc>
      </w:tr>
      <w:tr>
        <w:trPr>
          <w:trHeight w:val="212"/>
        </w:trPr>
        <w:tc>
          <w:tcPr>
            <w:tcW w:w="300" w:type="dxa"/>
            <w:vAlign w:val="bottom"/>
          </w:tcPr>
          <w:p>
            <w:pPr>
              <w:spacing w:after="0"/>
              <w:rPr>
                <w:sz w:val="18"/>
                <w:szCs w:val="18"/>
                <w:color w:val="auto"/>
              </w:rPr>
            </w:pPr>
          </w:p>
        </w:tc>
        <w:tc>
          <w:tcPr>
            <w:tcW w:w="6040" w:type="dxa"/>
            <w:vAlign w:val="bottom"/>
            <w:shd w:val="clear" w:color="auto" w:fill="CCEEFF"/>
          </w:tcPr>
          <w:p>
            <w:pPr>
              <w:ind w:left="640"/>
              <w:spacing w:after="0" w:line="212"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194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4,252</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214"/>
              <w:spacing w:after="0"/>
              <w:rPr>
                <w:sz w:val="20"/>
                <w:szCs w:val="20"/>
                <w:color w:val="auto"/>
              </w:rPr>
            </w:pPr>
            <w:r>
              <w:rPr>
                <w:rFonts w:ascii="Arial" w:cs="Arial" w:eastAsia="Arial" w:hAnsi="Arial"/>
                <w:sz w:val="17"/>
                <w:szCs w:val="17"/>
                <w:color w:val="auto"/>
              </w:rPr>
              <w:t>$</w:t>
            </w:r>
          </w:p>
        </w:tc>
      </w:tr>
      <w:tr>
        <w:trPr>
          <w:trHeight w:val="218"/>
        </w:trPr>
        <w:tc>
          <w:tcPr>
            <w:tcW w:w="300" w:type="dxa"/>
            <w:vAlign w:val="bottom"/>
          </w:tcPr>
          <w:p>
            <w:pPr>
              <w:spacing w:after="0"/>
              <w:rPr>
                <w:sz w:val="18"/>
                <w:szCs w:val="18"/>
                <w:color w:val="auto"/>
              </w:rPr>
            </w:pPr>
          </w:p>
        </w:tc>
        <w:tc>
          <w:tcPr>
            <w:tcW w:w="6040" w:type="dxa"/>
            <w:vAlign w:val="bottom"/>
          </w:tcPr>
          <w:p>
            <w:pPr>
              <w:ind w:left="640"/>
              <w:spacing w:after="0"/>
              <w:rPr>
                <w:sz w:val="20"/>
                <w:szCs w:val="20"/>
                <w:color w:val="auto"/>
              </w:rPr>
            </w:pPr>
            <w:r>
              <w:rPr>
                <w:rFonts w:ascii="Arial" w:cs="Arial" w:eastAsia="Arial" w:hAnsi="Arial"/>
                <w:sz w:val="17"/>
                <w:szCs w:val="17"/>
                <w:color w:val="auto"/>
              </w:rPr>
              <w:t>Variable lease cost</w:t>
            </w:r>
          </w:p>
        </w:tc>
        <w:tc>
          <w:tcPr>
            <w:tcW w:w="1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1,408</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9"/>
        </w:trPr>
        <w:tc>
          <w:tcPr>
            <w:tcW w:w="300" w:type="dxa"/>
            <w:vAlign w:val="bottom"/>
          </w:tcPr>
          <w:p>
            <w:pPr>
              <w:spacing w:after="0"/>
              <w:rPr>
                <w:sz w:val="19"/>
                <w:szCs w:val="19"/>
                <w:color w:val="auto"/>
              </w:rPr>
            </w:pPr>
          </w:p>
        </w:tc>
        <w:tc>
          <w:tcPr>
            <w:tcW w:w="6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Sublease income</w:t>
            </w:r>
          </w:p>
        </w:tc>
        <w:tc>
          <w:tcPr>
            <w:tcW w:w="1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r>
      <w:tr>
        <w:trPr>
          <w:trHeight w:val="213"/>
        </w:trPr>
        <w:tc>
          <w:tcPr>
            <w:tcW w:w="300" w:type="dxa"/>
            <w:vAlign w:val="bottom"/>
          </w:tcPr>
          <w:p>
            <w:pPr>
              <w:spacing w:after="0"/>
              <w:rPr>
                <w:sz w:val="18"/>
                <w:szCs w:val="18"/>
                <w:color w:val="auto"/>
              </w:rPr>
            </w:pPr>
          </w:p>
        </w:tc>
        <w:tc>
          <w:tcPr>
            <w:tcW w:w="6040" w:type="dxa"/>
            <w:vAlign w:val="bottom"/>
          </w:tcPr>
          <w:p>
            <w:pPr>
              <w:ind w:left="640"/>
              <w:spacing w:after="0"/>
              <w:rPr>
                <w:sz w:val="20"/>
                <w:szCs w:val="20"/>
                <w:color w:val="auto"/>
              </w:rPr>
            </w:pPr>
            <w:r>
              <w:rPr>
                <w:rFonts w:ascii="Arial" w:cs="Arial" w:eastAsia="Arial" w:hAnsi="Arial"/>
                <w:sz w:val="17"/>
                <w:szCs w:val="17"/>
                <w:color w:val="auto"/>
              </w:rPr>
              <w:t>Net operating lease cost</w:t>
            </w:r>
          </w:p>
        </w:tc>
        <w:tc>
          <w:tcPr>
            <w:tcW w:w="1940" w:type="dxa"/>
            <w:vAlign w:val="bottom"/>
            <w:tcBorders>
              <w:bottom w:val="single" w:sz="8" w:color="auto"/>
            </w:tcBorders>
          </w:tcPr>
          <w:p>
            <w:pPr>
              <w:jc w:val="right"/>
              <w:ind w:right="11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5,270</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ind w:right="1214"/>
              <w:spacing w:after="0"/>
              <w:rPr>
                <w:sz w:val="20"/>
                <w:szCs w:val="20"/>
                <w:color w:val="auto"/>
              </w:rPr>
            </w:pPr>
            <w:r>
              <w:rPr>
                <w:rFonts w:ascii="Arial" w:cs="Arial" w:eastAsia="Arial" w:hAnsi="Arial"/>
                <w:sz w:val="17"/>
                <w:szCs w:val="17"/>
                <w:color w:val="auto"/>
              </w:rPr>
              <w:t>$</w:t>
            </w:r>
          </w:p>
        </w:tc>
      </w:tr>
      <w:tr>
        <w:trPr>
          <w:trHeight w:val="20"/>
        </w:trPr>
        <w:tc>
          <w:tcPr>
            <w:tcW w:w="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100" w:firstLine="3"/>
        <w:spacing w:after="0"/>
        <w:tabs>
          <w:tab w:leader="none" w:pos="139"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Lease expense for leases with an initial term of 12 months or less is excluded from the table above and was $0.2 million and $0.3 million for the three months ended October 31, 2021 and 2020, respectively.</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ind w:left="320"/>
              <w:spacing w:after="0"/>
              <w:rPr>
                <w:sz w:val="20"/>
                <w:szCs w:val="20"/>
                <w:color w:val="auto"/>
              </w:rPr>
            </w:pPr>
            <w:r>
              <w:rPr>
                <w:rFonts w:ascii="Arial" w:cs="Arial" w:eastAsia="Arial" w:hAnsi="Arial"/>
                <w:sz w:val="17"/>
                <w:szCs w:val="17"/>
                <w:color w:val="auto"/>
                <w:w w:val="97"/>
              </w:rPr>
              <w:t>Future operating lease payments as of October 31, 2021 were as follows (in thousands):</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800" w:type="dxa"/>
            <w:vAlign w:val="bottom"/>
          </w:tcPr>
          <w:p>
            <w:pPr>
              <w:ind w:left="20"/>
              <w:spacing w:after="0"/>
              <w:rPr>
                <w:sz w:val="20"/>
                <w:szCs w:val="20"/>
                <w:color w:val="auto"/>
              </w:rPr>
            </w:pPr>
            <w:r>
              <w:rPr>
                <w:rFonts w:ascii="Arial" w:cs="Arial" w:eastAsia="Arial" w:hAnsi="Arial"/>
                <w:sz w:val="17"/>
                <w:szCs w:val="17"/>
                <w:color w:val="auto"/>
              </w:rPr>
              <w:t>Fiscal Year Ending July 31,</w:t>
            </w: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2022 (remainder of fiscal year)</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11,936</w:t>
            </w:r>
          </w:p>
        </w:tc>
        <w:tc>
          <w:tcPr>
            <w:tcW w:w="0" w:type="dxa"/>
            <w:vAlign w:val="bottom"/>
          </w:tcPr>
          <w:p>
            <w:pPr>
              <w:spacing w:after="0"/>
              <w:rPr>
                <w:sz w:val="1"/>
                <w:szCs w:val="1"/>
                <w:color w:val="auto"/>
              </w:rPr>
            </w:pP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2023</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16,821</w:t>
            </w:r>
          </w:p>
        </w:tc>
        <w:tc>
          <w:tcPr>
            <w:tcW w:w="0" w:type="dxa"/>
            <w:vAlign w:val="bottom"/>
          </w:tcPr>
          <w:p>
            <w:pPr>
              <w:spacing w:after="0"/>
              <w:rPr>
                <w:sz w:val="1"/>
                <w:szCs w:val="1"/>
                <w:color w:val="auto"/>
              </w:rPr>
            </w:pPr>
          </w:p>
        </w:tc>
      </w:tr>
      <w:tr>
        <w:trPr>
          <w:trHeight w:val="220"/>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2024</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16,721</w:t>
            </w:r>
          </w:p>
        </w:tc>
        <w:tc>
          <w:tcPr>
            <w:tcW w:w="0" w:type="dxa"/>
            <w:vAlign w:val="bottom"/>
          </w:tcPr>
          <w:p>
            <w:pPr>
              <w:spacing w:after="0"/>
              <w:rPr>
                <w:sz w:val="1"/>
                <w:szCs w:val="1"/>
                <w:color w:val="auto"/>
              </w:rPr>
            </w:pP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2025</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16,967</w:t>
            </w:r>
          </w:p>
        </w:tc>
        <w:tc>
          <w:tcPr>
            <w:tcW w:w="0" w:type="dxa"/>
            <w:vAlign w:val="bottom"/>
          </w:tcPr>
          <w:p>
            <w:pPr>
              <w:spacing w:after="0"/>
              <w:rPr>
                <w:sz w:val="1"/>
                <w:szCs w:val="1"/>
                <w:color w:val="auto"/>
              </w:rPr>
            </w:pPr>
          </w:p>
        </w:tc>
      </w:tr>
      <w:tr>
        <w:trPr>
          <w:trHeight w:val="220"/>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2026</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17,115</w:t>
            </w:r>
          </w:p>
        </w:tc>
        <w:tc>
          <w:tcPr>
            <w:tcW w:w="0" w:type="dxa"/>
            <w:vAlign w:val="bottom"/>
          </w:tcPr>
          <w:p>
            <w:pPr>
              <w:spacing w:after="0"/>
              <w:rPr>
                <w:sz w:val="1"/>
                <w:szCs w:val="1"/>
                <w:color w:val="auto"/>
              </w:rPr>
            </w:pPr>
          </w:p>
        </w:tc>
      </w:tr>
      <w:tr>
        <w:trPr>
          <w:trHeight w:val="218"/>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68,198</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future lease payments</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147,758</w:t>
            </w:r>
          </w:p>
        </w:tc>
        <w:tc>
          <w:tcPr>
            <w:tcW w:w="0" w:type="dxa"/>
            <w:vAlign w:val="bottom"/>
          </w:tcPr>
          <w:p>
            <w:pPr>
              <w:spacing w:after="0"/>
              <w:rPr>
                <w:sz w:val="1"/>
                <w:szCs w:val="1"/>
                <w:color w:val="auto"/>
              </w:rPr>
            </w:pPr>
          </w:p>
        </w:tc>
      </w:tr>
      <w:tr>
        <w:trPr>
          <w:trHeight w:val="218"/>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28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(24,146)</w:t>
            </w:r>
          </w:p>
        </w:tc>
        <w:tc>
          <w:tcPr>
            <w:tcW w:w="0" w:type="dxa"/>
            <w:vAlign w:val="bottom"/>
          </w:tcPr>
          <w:p>
            <w:pPr>
              <w:spacing w:after="0"/>
              <w:rPr>
                <w:sz w:val="1"/>
                <w:szCs w:val="1"/>
                <w:color w:val="auto"/>
              </w:rPr>
            </w:pPr>
          </w:p>
        </w:tc>
      </w:tr>
      <w:tr>
        <w:trPr>
          <w:trHeight w:val="238"/>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liability balance</w:t>
            </w: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123,612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gridSpan w:val="4"/>
            <w:vMerge w:val="restart"/>
          </w:tcPr>
          <w:p>
            <w:pPr>
              <w:ind w:left="320"/>
              <w:spacing w:after="0"/>
              <w:rPr>
                <w:sz w:val="20"/>
                <w:szCs w:val="20"/>
                <w:color w:val="auto"/>
              </w:rPr>
            </w:pPr>
            <w:r>
              <w:rPr>
                <w:rFonts w:ascii="Arial" w:cs="Arial" w:eastAsia="Arial" w:hAnsi="Arial"/>
                <w:sz w:val="17"/>
                <w:szCs w:val="17"/>
                <w:color w:val="auto"/>
              </w:rPr>
              <w:t>Supplemental information related to leases was as follows (in thousands, except for lease term and discount rate):</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90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gridSpan w:val="2"/>
          </w:tcPr>
          <w:p>
            <w:pPr>
              <w:ind w:left="180"/>
              <w:spacing w:after="0"/>
              <w:rPr>
                <w:sz w:val="20"/>
                <w:szCs w:val="20"/>
                <w:color w:val="auto"/>
              </w:rPr>
            </w:pPr>
            <w:r>
              <w:rPr>
                <w:rFonts w:ascii="Arial" w:cs="Arial" w:eastAsia="Arial" w:hAnsi="Arial"/>
                <w:sz w:val="17"/>
                <w:szCs w:val="17"/>
                <w:b w:val="1"/>
                <w:bCs w:val="1"/>
                <w:color w:val="auto"/>
              </w:rPr>
              <w:t>October 31, 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ind w:right="514"/>
              <w:spacing w:after="0"/>
              <w:rPr>
                <w:sz w:val="20"/>
                <w:szCs w:val="20"/>
                <w:color w:val="auto"/>
              </w:rPr>
            </w:pPr>
            <w:r>
              <w:rPr>
                <w:rFonts w:ascii="Arial" w:cs="Arial" w:eastAsia="Arial" w:hAnsi="Arial"/>
                <w:sz w:val="17"/>
                <w:szCs w:val="17"/>
                <w:b w:val="1"/>
                <w:bCs w:val="1"/>
                <w:color w:val="auto"/>
              </w:rPr>
              <w:t>July 31, 2021</w:t>
            </w:r>
          </w:p>
        </w:tc>
        <w:tc>
          <w:tcPr>
            <w:tcW w:w="0" w:type="dxa"/>
            <w:vAlign w:val="bottom"/>
          </w:tcPr>
          <w:p>
            <w:pPr>
              <w:spacing w:after="0"/>
              <w:rPr>
                <w:sz w:val="1"/>
                <w:szCs w:val="1"/>
                <w:color w:val="auto"/>
              </w:rPr>
            </w:pPr>
          </w:p>
        </w:tc>
      </w:tr>
      <w:tr>
        <w:trPr>
          <w:trHeight w:val="238"/>
        </w:trPr>
        <w:tc>
          <w:tcPr>
            <w:tcW w:w="6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Operating lease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94,568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97,447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lease liabilities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11,312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11,624</w:t>
            </w:r>
          </w:p>
        </w:tc>
        <w:tc>
          <w:tcPr>
            <w:tcW w:w="0" w:type="dxa"/>
            <w:vAlign w:val="bottom"/>
          </w:tcPr>
          <w:p>
            <w:pPr>
              <w:spacing w:after="0"/>
              <w:rPr>
                <w:sz w:val="1"/>
                <w:szCs w:val="1"/>
                <w:color w:val="auto"/>
              </w:rPr>
            </w:pPr>
          </w:p>
        </w:tc>
      </w:tr>
      <w:tr>
        <w:trPr>
          <w:trHeight w:val="218"/>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Non-current portion of lease liabilities</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112,300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115,374</w:t>
            </w:r>
          </w:p>
        </w:tc>
        <w:tc>
          <w:tcPr>
            <w:tcW w:w="0" w:type="dxa"/>
            <w:vAlign w:val="bottom"/>
          </w:tcPr>
          <w:p>
            <w:pPr>
              <w:spacing w:after="0"/>
              <w:rPr>
                <w:sz w:val="1"/>
                <w:szCs w:val="1"/>
                <w:color w:val="auto"/>
              </w:rPr>
            </w:pPr>
          </w:p>
        </w:tc>
      </w:tr>
      <w:tr>
        <w:trPr>
          <w:trHeight w:val="238"/>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liabilities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123,612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126,998</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Weighted average remaining lease term (years)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Weighted average discount rate</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4.20 %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4.20 %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Supplemental cash and non-cash information related to operating leases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7"/>
                <w:szCs w:val="17"/>
                <w:b w:val="1"/>
                <w:bCs w:val="1"/>
                <w:color w:val="auto"/>
                <w:w w:val="97"/>
              </w:rPr>
              <w:t>Three Months Ended October 31,</w:t>
            </w:r>
          </w:p>
        </w:tc>
      </w:tr>
      <w:tr>
        <w:trPr>
          <w:trHeight w:val="213"/>
        </w:trPr>
        <w:tc>
          <w:tcPr>
            <w:tcW w:w="494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 for operating leases</w:t>
            </w:r>
          </w:p>
        </w:tc>
        <w:tc>
          <w:tcPr>
            <w:tcW w:w="3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5,285</w:t>
            </w:r>
          </w:p>
        </w:tc>
      </w:tr>
      <w:tr>
        <w:trPr>
          <w:trHeight w:val="218"/>
        </w:trPr>
        <w:tc>
          <w:tcPr>
            <w:tcW w:w="4940" w:type="dxa"/>
            <w:vAlign w:val="bottom"/>
          </w:tcPr>
          <w:p>
            <w:pPr>
              <w:ind w:left="20"/>
              <w:spacing w:after="0"/>
              <w:rPr>
                <w:sz w:val="20"/>
                <w:szCs w:val="20"/>
                <w:color w:val="auto"/>
              </w:rPr>
            </w:pPr>
            <w:r>
              <w:rPr>
                <w:rFonts w:ascii="Arial" w:cs="Arial" w:eastAsia="Arial" w:hAnsi="Arial"/>
                <w:sz w:val="17"/>
                <w:szCs w:val="17"/>
                <w:color w:val="auto"/>
              </w:rPr>
              <w:t>Operating lease assets obtained in exchange for lease liabilities</w:t>
            </w:r>
          </w:p>
        </w:tc>
        <w:tc>
          <w:tcPr>
            <w:tcW w:w="3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9,217</w:t>
            </w:r>
          </w:p>
        </w:tc>
      </w:tr>
      <w:tr>
        <w:trPr>
          <w:trHeight w:val="941"/>
        </w:trPr>
        <w:tc>
          <w:tcPr>
            <w:tcW w:w="4940" w:type="dxa"/>
            <w:vAlign w:val="bottom"/>
          </w:tcPr>
          <w:p>
            <w:pPr>
              <w:spacing w:after="0"/>
              <w:rPr>
                <w:sz w:val="24"/>
                <w:szCs w:val="24"/>
                <w:color w:val="auto"/>
              </w:rPr>
            </w:pPr>
          </w:p>
        </w:tc>
        <w:tc>
          <w:tcPr>
            <w:tcW w:w="3000" w:type="dxa"/>
            <w:vAlign w:val="bottom"/>
          </w:tcPr>
          <w:p>
            <w:pPr>
              <w:jc w:val="right"/>
              <w:ind w:right="2154"/>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49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282" w:right="239" w:bottom="1440" w:gutter="0" w:footer="0" w:header="0"/>
        </w:sectPr>
      </w:pPr>
    </w:p>
    <w:bookmarkStart w:id="31" w:name="page32"/>
    <w:bookmarkEnd w:id="31"/>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There has been no material change in the Company’s contractual obligations and commitments other than in the ordinary course of business since the Company’s fiscal year ended July 31, 2021.</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From time to time, the Company is involved in various legal proceedings and receives claims, arising from the normal course of business activities. The Company has not recorded any accrual for claims as of October 31, 2021 or July 31, 2021.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8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31"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Company has not had to reimburse any of its customers for Losses related to indemnification provisions and no material claims against the Company were outstanding as of October 31, 2021 or July 31, 2021.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2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Compensation Expense and Shareholders’ Equity</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01" w:lineRule="exact"/>
        <w:rPr>
          <w:sz w:val="20"/>
          <w:szCs w:val="20"/>
          <w:color w:val="auto"/>
        </w:rPr>
      </w:pPr>
    </w:p>
    <w:p>
      <w:pPr>
        <w:ind w:right="120" w:firstLine="309"/>
        <w:spacing w:after="0" w:line="273" w:lineRule="auto"/>
        <w:rPr>
          <w:sz w:val="20"/>
          <w:szCs w:val="20"/>
          <w:color w:val="auto"/>
        </w:rPr>
      </w:pPr>
      <w:r>
        <w:rPr>
          <w:rFonts w:ascii="Arial" w:cs="Arial" w:eastAsia="Arial" w:hAnsi="Arial"/>
          <w:sz w:val="17"/>
          <w:szCs w:val="17"/>
          <w:color w:val="auto"/>
        </w:rPr>
        <w:t>Stock-based compensation expense related to stock options and Stock Awards is included in the Company’s condensed consolidated statements of operations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20" w:type="dxa"/>
            <w:vAlign w:val="bottom"/>
          </w:tcPr>
          <w:p>
            <w:pPr>
              <w:spacing w:after="0"/>
              <w:rPr>
                <w:sz w:val="19"/>
                <w:szCs w:val="19"/>
                <w:color w:val="auto"/>
              </w:rPr>
            </w:pPr>
          </w:p>
        </w:tc>
        <w:tc>
          <w:tcPr>
            <w:tcW w:w="372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7"/>
                <w:szCs w:val="17"/>
                <w:b w:val="1"/>
                <w:bCs w:val="1"/>
                <w:color w:val="auto"/>
              </w:rPr>
              <w:t>Three Months Ended October 31,</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 expense</w:t>
            </w:r>
          </w:p>
        </w:tc>
        <w:tc>
          <w:tcPr>
            <w:tcW w:w="126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32,533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28,394</w:t>
            </w:r>
          </w:p>
        </w:tc>
        <w:tc>
          <w:tcPr>
            <w:tcW w:w="0" w:type="dxa"/>
            <w:vAlign w:val="bottom"/>
          </w:tcPr>
          <w:p>
            <w:pPr>
              <w:spacing w:after="0"/>
              <w:rPr>
                <w:sz w:val="1"/>
                <w:szCs w:val="1"/>
                <w:color w:val="auto"/>
              </w:rPr>
            </w:pPr>
          </w:p>
        </w:tc>
      </w:tr>
      <w:tr>
        <w:trPr>
          <w:trHeight w:val="218"/>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Net impact of deferred stock-based compensation</w:t>
            </w: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38"/>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stock-based compensation expense, net</w:t>
            </w:r>
          </w:p>
        </w:tc>
        <w:tc>
          <w:tcPr>
            <w:tcW w:w="12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32,240</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28,084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Stock-based compensation expense is included in the following categories: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52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Cost of subscription and support revenue</w:t>
            </w:r>
          </w:p>
        </w:tc>
        <w:tc>
          <w:tcPr>
            <w:tcW w:w="126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2,602</w:t>
            </w:r>
          </w:p>
        </w:tc>
        <w:tc>
          <w:tcPr>
            <w:tcW w:w="0" w:type="dxa"/>
            <w:vAlign w:val="bottom"/>
          </w:tcPr>
          <w:p>
            <w:pPr>
              <w:spacing w:after="0"/>
              <w:rPr>
                <w:sz w:val="1"/>
                <w:szCs w:val="1"/>
                <w:color w:val="auto"/>
              </w:rPr>
            </w:pPr>
          </w:p>
        </w:tc>
      </w:tr>
      <w:tr>
        <w:trPr>
          <w:trHeight w:val="218"/>
        </w:trPr>
        <w:tc>
          <w:tcPr>
            <w:tcW w:w="7520" w:type="dxa"/>
            <w:vAlign w:val="bottom"/>
          </w:tcPr>
          <w:p>
            <w:pPr>
              <w:ind w:left="440"/>
              <w:spacing w:after="0"/>
              <w:rPr>
                <w:sz w:val="20"/>
                <w:szCs w:val="20"/>
                <w:color w:val="auto"/>
              </w:rPr>
            </w:pPr>
            <w:r>
              <w:rPr>
                <w:rFonts w:ascii="Arial" w:cs="Arial" w:eastAsia="Arial" w:hAnsi="Arial"/>
                <w:sz w:val="17"/>
                <w:szCs w:val="17"/>
                <w:color w:val="auto"/>
              </w:rPr>
              <w:t>Cost of license revenue</w:t>
            </w:r>
          </w:p>
        </w:tc>
        <w:tc>
          <w:tcPr>
            <w:tcW w:w="1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Cost of services revenue</w:t>
            </w: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5,543</w:t>
            </w:r>
          </w:p>
        </w:tc>
        <w:tc>
          <w:tcPr>
            <w:tcW w:w="0" w:type="dxa"/>
            <w:vAlign w:val="bottom"/>
          </w:tcPr>
          <w:p>
            <w:pPr>
              <w:spacing w:after="0"/>
              <w:rPr>
                <w:sz w:val="1"/>
                <w:szCs w:val="1"/>
                <w:color w:val="auto"/>
              </w:rPr>
            </w:pPr>
          </w:p>
        </w:tc>
      </w:tr>
      <w:tr>
        <w:trPr>
          <w:trHeight w:val="218"/>
        </w:trPr>
        <w:tc>
          <w:tcPr>
            <w:tcW w:w="7520" w:type="dxa"/>
            <w:vAlign w:val="bottom"/>
          </w:tcPr>
          <w:p>
            <w:pPr>
              <w:ind w:left="440"/>
              <w:spacing w:after="0"/>
              <w:rPr>
                <w:sz w:val="20"/>
                <w:szCs w:val="20"/>
                <w:color w:val="auto"/>
              </w:rPr>
            </w:pPr>
            <w:r>
              <w:rPr>
                <w:rFonts w:ascii="Arial" w:cs="Arial" w:eastAsia="Arial" w:hAnsi="Arial"/>
                <w:sz w:val="17"/>
                <w:szCs w:val="17"/>
                <w:color w:val="auto"/>
              </w:rPr>
              <w:t>Research and development</w:t>
            </w:r>
          </w:p>
        </w:tc>
        <w:tc>
          <w:tcPr>
            <w:tcW w:w="1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8,614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7,247</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Sales and marketing</w:t>
            </w: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5,977</w:t>
            </w:r>
          </w:p>
        </w:tc>
        <w:tc>
          <w:tcPr>
            <w:tcW w:w="0" w:type="dxa"/>
            <w:vAlign w:val="bottom"/>
          </w:tcPr>
          <w:p>
            <w:pPr>
              <w:spacing w:after="0"/>
              <w:rPr>
                <w:sz w:val="1"/>
                <w:szCs w:val="1"/>
                <w:color w:val="auto"/>
              </w:rPr>
            </w:pPr>
          </w:p>
        </w:tc>
      </w:tr>
      <w:tr>
        <w:trPr>
          <w:trHeight w:val="218"/>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General and administrative</w:t>
            </w:r>
          </w:p>
        </w:tc>
        <w:tc>
          <w:tcPr>
            <w:tcW w:w="1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6,970</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6,464</w:t>
            </w:r>
          </w:p>
        </w:tc>
        <w:tc>
          <w:tcPr>
            <w:tcW w:w="0" w:type="dxa"/>
            <w:vAlign w:val="bottom"/>
          </w:tcPr>
          <w:p>
            <w:pPr>
              <w:spacing w:after="0"/>
              <w:rPr>
                <w:sz w:val="1"/>
                <w:szCs w:val="1"/>
                <w:color w:val="auto"/>
              </w:rPr>
            </w:pPr>
          </w:p>
        </w:tc>
      </w:tr>
      <w:tr>
        <w:trPr>
          <w:trHeight w:val="238"/>
        </w:trPr>
        <w:tc>
          <w:tcPr>
            <w:tcW w:w="7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stock-based compensation expense</w:t>
            </w:r>
          </w:p>
        </w:tc>
        <w:tc>
          <w:tcPr>
            <w:tcW w:w="12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32,240</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28,084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2" w:name="page33"/>
    <w:bookmarkEnd w:id="32"/>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Total unrecognized stock-based compensation expense as of October 31, 2021 related to Stock Awards is $361.3 million, that will be recognized over a weighted average period of 2.9 years.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Awards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Company’s Stock Awards activity under the Company’s equity incentive plans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300"/>
              <w:spacing w:after="0"/>
              <w:rPr>
                <w:sz w:val="20"/>
                <w:szCs w:val="20"/>
                <w:color w:val="auto"/>
              </w:rPr>
            </w:pPr>
            <w:r>
              <w:rPr>
                <w:rFonts w:ascii="Arial" w:cs="Arial" w:eastAsia="Arial" w:hAnsi="Arial"/>
                <w:sz w:val="17"/>
                <w:szCs w:val="17"/>
                <w:b w:val="1"/>
                <w:bCs w:val="1"/>
                <w:color w:val="auto"/>
                <w:w w:val="92"/>
              </w:rPr>
              <w:t>Stock Awards Outstanding</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61"/>
        </w:trPr>
        <w:tc>
          <w:tcPr>
            <w:tcW w:w="5100" w:type="dxa"/>
            <w:vAlign w:val="bottom"/>
          </w:tcPr>
          <w:p>
            <w:pPr>
              <w:spacing w:after="0"/>
              <w:rPr>
                <w:sz w:val="14"/>
                <w:szCs w:val="14"/>
                <w:color w:val="auto"/>
              </w:rPr>
            </w:pPr>
          </w:p>
        </w:tc>
        <w:tc>
          <w:tcPr>
            <w:tcW w:w="1880" w:type="dxa"/>
            <w:vAlign w:val="bottom"/>
          </w:tcPr>
          <w:p>
            <w:pPr>
              <w:jc w:val="right"/>
              <w:ind w:right="54"/>
              <w:spacing w:after="0" w:line="162" w:lineRule="exact"/>
              <w:rPr>
                <w:sz w:val="20"/>
                <w:szCs w:val="20"/>
                <w:color w:val="auto"/>
              </w:rPr>
            </w:pPr>
            <w:r>
              <w:rPr>
                <w:rFonts w:ascii="Arial" w:cs="Arial" w:eastAsia="Arial" w:hAnsi="Arial"/>
                <w:sz w:val="17"/>
                <w:szCs w:val="17"/>
                <w:b w:val="1"/>
                <w:bCs w:val="1"/>
                <w:color w:val="auto"/>
              </w:rPr>
              <w:t>Number of Stock</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3"/>
          </w:tcPr>
          <w:p>
            <w:pPr>
              <w:jc w:val="right"/>
              <w:ind w:right="440"/>
              <w:spacing w:after="0" w:line="162" w:lineRule="exact"/>
              <w:rPr>
                <w:sz w:val="20"/>
                <w:szCs w:val="20"/>
                <w:color w:val="auto"/>
              </w:rPr>
            </w:pPr>
            <w:r>
              <w:rPr>
                <w:rFonts w:ascii="Arial" w:cs="Arial" w:eastAsia="Arial" w:hAnsi="Arial"/>
                <w:sz w:val="17"/>
                <w:szCs w:val="17"/>
                <w:b w:val="1"/>
                <w:bCs w:val="1"/>
                <w:color w:val="auto"/>
                <w:w w:val="93"/>
              </w:rPr>
              <w:t>Weighted Average</w:t>
            </w:r>
          </w:p>
        </w:tc>
        <w:tc>
          <w:tcPr>
            <w:tcW w:w="300" w:type="dxa"/>
            <w:vAlign w:val="bottom"/>
          </w:tcPr>
          <w:p>
            <w:pPr>
              <w:spacing w:after="0"/>
              <w:rPr>
                <w:sz w:val="14"/>
                <w:szCs w:val="14"/>
                <w:color w:val="auto"/>
              </w:rPr>
            </w:pPr>
          </w:p>
        </w:tc>
        <w:tc>
          <w:tcPr>
            <w:tcW w:w="1540" w:type="dxa"/>
            <w:vAlign w:val="bottom"/>
          </w:tcPr>
          <w:p>
            <w:pPr>
              <w:jc w:val="right"/>
              <w:ind w:right="14"/>
              <w:spacing w:after="0" w:line="162" w:lineRule="exact"/>
              <w:rPr>
                <w:sz w:val="20"/>
                <w:szCs w:val="20"/>
                <w:color w:val="auto"/>
              </w:rPr>
            </w:pPr>
            <w:r>
              <w:rPr>
                <w:rFonts w:ascii="Arial" w:cs="Arial" w:eastAsia="Arial" w:hAnsi="Arial"/>
                <w:sz w:val="17"/>
                <w:szCs w:val="17"/>
                <w:b w:val="1"/>
                <w:bCs w:val="1"/>
                <w:color w:val="auto"/>
                <w:w w:val="91"/>
              </w:rPr>
              <w:t>Aggregate Intrinsic</w:t>
            </w:r>
          </w:p>
        </w:tc>
      </w:tr>
      <w:tr>
        <w:trPr>
          <w:trHeight w:val="219"/>
        </w:trPr>
        <w:tc>
          <w:tcPr>
            <w:tcW w:w="5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Awards Outstanding</w:t>
            </w:r>
          </w:p>
        </w:tc>
        <w:tc>
          <w:tcPr>
            <w:tcW w:w="8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7"/>
                <w:szCs w:val="17"/>
                <w:b w:val="1"/>
                <w:bCs w:val="1"/>
                <w:color w:val="auto"/>
              </w:rPr>
              <w:t>Grant Date Fair Value</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74"/>
              <w:spacing w:after="0" w:line="219" w:lineRule="exact"/>
              <w:rPr>
                <w:sz w:val="20"/>
                <w:szCs w:val="20"/>
                <w:color w:val="auto"/>
              </w:rPr>
            </w:pPr>
            <w:r>
              <w:rPr>
                <w:rFonts w:ascii="Arial" w:cs="Arial" w:eastAsia="Arial" w:hAnsi="Arial"/>
                <w:sz w:val="17"/>
                <w:szCs w:val="17"/>
                <w:b w:val="1"/>
                <w:bCs w:val="1"/>
                <w:color w:val="auto"/>
                <w:w w:val="89"/>
              </w:rPr>
              <w:t>Value (in thousands)</w:t>
            </w:r>
            <w:r>
              <w:rPr>
                <w:rFonts w:ascii="Arial" w:cs="Arial" w:eastAsia="Arial" w:hAnsi="Arial"/>
                <w:sz w:val="22"/>
                <w:szCs w:val="22"/>
                <w:b w:val="1"/>
                <w:bCs w:val="1"/>
                <w:color w:val="auto"/>
                <w:w w:val="89"/>
                <w:vertAlign w:val="superscript"/>
              </w:rPr>
              <w:t>(1)</w:t>
            </w:r>
          </w:p>
        </w:tc>
      </w:tr>
      <w:tr>
        <w:trPr>
          <w:trHeight w:val="212"/>
        </w:trPr>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 as of July 31, 2021</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2,394,968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275,900</w:t>
            </w:r>
          </w:p>
        </w:tc>
      </w:tr>
      <w:tr>
        <w:trPr>
          <w:trHeight w:val="218"/>
        </w:trPr>
        <w:tc>
          <w:tcPr>
            <w:tcW w:w="5100" w:type="dxa"/>
            <w:vAlign w:val="bottom"/>
          </w:tcPr>
          <w:p>
            <w:pPr>
              <w:ind w:left="440"/>
              <w:spacing w:after="0"/>
              <w:rPr>
                <w:sz w:val="20"/>
                <w:szCs w:val="20"/>
                <w:color w:val="auto"/>
              </w:rPr>
            </w:pPr>
            <w:r>
              <w:rPr>
                <w:rFonts w:ascii="Arial" w:cs="Arial" w:eastAsia="Arial" w:hAnsi="Arial"/>
                <w:sz w:val="17"/>
                <w:szCs w:val="17"/>
                <w:color w:val="auto"/>
              </w:rPr>
              <w:t>Granted</w:t>
            </w:r>
          </w:p>
        </w:tc>
        <w:tc>
          <w:tcPr>
            <w:tcW w:w="1880" w:type="dxa"/>
            <w:vAlign w:val="bottom"/>
          </w:tcPr>
          <w:p>
            <w:pPr>
              <w:jc w:val="right"/>
              <w:spacing w:after="0"/>
              <w:rPr>
                <w:sz w:val="20"/>
                <w:szCs w:val="20"/>
                <w:color w:val="auto"/>
              </w:rPr>
            </w:pPr>
            <w:r>
              <w:rPr>
                <w:rFonts w:ascii="Arial" w:cs="Arial" w:eastAsia="Arial" w:hAnsi="Arial"/>
                <w:sz w:val="17"/>
                <w:szCs w:val="17"/>
                <w:color w:val="auto"/>
              </w:rPr>
              <w:t>1,512,995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119.97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0"/>
        </w:trPr>
        <w:tc>
          <w:tcPr>
            <w:tcW w:w="5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Released</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(335,653)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40,270</w:t>
            </w:r>
          </w:p>
        </w:tc>
      </w:tr>
      <w:tr>
        <w:trPr>
          <w:trHeight w:val="218"/>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Canceled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(88,420)</w:t>
            </w:r>
          </w:p>
        </w:tc>
        <w:tc>
          <w:tcPr>
            <w:tcW w:w="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107.92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r>
      <w:tr>
        <w:trPr>
          <w:trHeight w:val="238"/>
        </w:trPr>
        <w:tc>
          <w:tcPr>
            <w:tcW w:w="5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as of October 31, 2021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3,483,890</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438,029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191"/>
        </w:trPr>
        <w:tc>
          <w:tcPr>
            <w:tcW w:w="5100" w:type="dxa"/>
            <w:vAlign w:val="bottom"/>
          </w:tcPr>
          <w:p>
            <w:pPr>
              <w:ind w:left="320"/>
              <w:spacing w:after="0" w:line="191" w:lineRule="exact"/>
              <w:rPr>
                <w:sz w:val="20"/>
                <w:szCs w:val="20"/>
                <w:color w:val="auto"/>
              </w:rPr>
            </w:pPr>
            <w:r>
              <w:rPr>
                <w:rFonts w:ascii="Arial" w:cs="Arial" w:eastAsia="Arial" w:hAnsi="Arial"/>
                <w:sz w:val="17"/>
                <w:szCs w:val="17"/>
                <w:color w:val="auto"/>
              </w:rPr>
              <w:t>Expected to vest as of October 31, 2021</w:t>
            </w:r>
          </w:p>
        </w:tc>
        <w:tc>
          <w:tcPr>
            <w:tcW w:w="1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3,483,890</w:t>
            </w:r>
          </w:p>
        </w:tc>
        <w:tc>
          <w:tcPr>
            <w:tcW w:w="58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620" w:type="dxa"/>
            <w:vAlign w:val="bottom"/>
          </w:tcPr>
          <w:p>
            <w:pPr>
              <w:jc w:val="right"/>
              <w:spacing w:after="0" w:line="191" w:lineRule="exact"/>
              <w:rPr>
                <w:sz w:val="20"/>
                <w:szCs w:val="20"/>
                <w:color w:val="auto"/>
              </w:rPr>
            </w:pPr>
            <w:r>
              <w:rPr>
                <w:rFonts w:ascii="Arial" w:cs="Arial" w:eastAsia="Arial" w:hAnsi="Arial"/>
                <w:sz w:val="17"/>
                <w:szCs w:val="17"/>
                <w:color w:val="auto"/>
              </w:rPr>
              <w:t>113.47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1540" w:type="dxa"/>
            <w:vAlign w:val="bottom"/>
          </w:tcPr>
          <w:p>
            <w:pPr>
              <w:jc w:val="right"/>
              <w:spacing w:after="0" w:line="191" w:lineRule="exact"/>
              <w:rPr>
                <w:sz w:val="20"/>
                <w:szCs w:val="20"/>
                <w:color w:val="auto"/>
              </w:rPr>
            </w:pPr>
            <w:r>
              <w:rPr>
                <w:rFonts w:ascii="Arial" w:cs="Arial" w:eastAsia="Arial" w:hAnsi="Arial"/>
                <w:sz w:val="17"/>
                <w:szCs w:val="17"/>
                <w:color w:val="auto"/>
              </w:rPr>
              <w:t>438,029</w:t>
            </w:r>
          </w:p>
        </w:tc>
      </w:tr>
      <w:tr>
        <w:trPr>
          <w:trHeight w:val="20"/>
        </w:trPr>
        <w:tc>
          <w:tcPr>
            <w:tcW w:w="5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62" w:lineRule="exact"/>
        <w:rPr>
          <w:sz w:val="20"/>
          <w:szCs w:val="20"/>
          <w:color w:val="auto"/>
        </w:rPr>
      </w:pPr>
    </w:p>
    <w:p>
      <w:pPr>
        <w:ind w:firstLine="3"/>
        <w:spacing w:after="0" w:line="250" w:lineRule="auto"/>
        <w:tabs>
          <w:tab w:leader="none" w:pos="126" w:val="left"/>
        </w:tabs>
        <w:numPr>
          <w:ilvl w:val="0"/>
          <w:numId w:val="13"/>
        </w:numPr>
        <w:rPr>
          <w:rFonts w:ascii="Arial" w:cs="Arial" w:eastAsia="Arial" w:hAnsi="Arial"/>
          <w:sz w:val="9"/>
          <w:szCs w:val="9"/>
          <w:color w:val="auto"/>
        </w:rPr>
      </w:pPr>
      <w:r>
        <w:rPr>
          <w:rFonts w:ascii="Arial" w:cs="Arial" w:eastAsia="Arial" w:hAnsi="Arial"/>
          <w:sz w:val="14"/>
          <w:szCs w:val="14"/>
          <w:color w:val="auto"/>
        </w:rPr>
        <w:t>Aggregate intrinsic value at each period end represents the total market value of Stock Awards at the Company’s closing stock price of $125.73 and $115.20 on October 31, 2021 and July 31, 2021, respectively. Aggregate intrinsic value for released Stock Awards represents the total market value of released Stock Awards at date of release.</w:t>
      </w:r>
    </w:p>
    <w:p>
      <w:pPr>
        <w:spacing w:after="0" w:line="13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Certain executives and employees of the Company received PSUs and TSR PSUs in addition to RSUs. PSUs awarded in fiscal years 2021 and 2022 will vest over three years with 50% vesting annually over the three 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$4.0 million and $3.3 million for the three months ended October 31, 2021 and 2020, respectively.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Stock Options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300" w:type="dxa"/>
            <w:vAlign w:val="bottom"/>
            <w:gridSpan w:val="2"/>
          </w:tcPr>
          <w:p>
            <w:pPr>
              <w:ind w:left="320"/>
              <w:spacing w:after="0"/>
              <w:rPr>
                <w:sz w:val="20"/>
                <w:szCs w:val="20"/>
                <w:color w:val="auto"/>
              </w:rPr>
            </w:pPr>
            <w:r>
              <w:rPr>
                <w:rFonts w:ascii="Arial" w:cs="Arial" w:eastAsia="Arial" w:hAnsi="Arial"/>
                <w:sz w:val="17"/>
                <w:szCs w:val="17"/>
                <w:color w:val="auto"/>
              </w:rPr>
              <w:t>Stock option activity under the Company’s equity incentive plans is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9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ind w:left="380"/>
              <w:spacing w:after="0"/>
              <w:rPr>
                <w:sz w:val="20"/>
                <w:szCs w:val="20"/>
                <w:color w:val="auto"/>
              </w:rPr>
            </w:pPr>
            <w:r>
              <w:rPr>
                <w:rFonts w:ascii="Arial" w:cs="Arial" w:eastAsia="Arial" w:hAnsi="Arial"/>
                <w:sz w:val="17"/>
                <w:szCs w:val="17"/>
                <w:b w:val="1"/>
                <w:bCs w:val="1"/>
                <w:color w:val="auto"/>
                <w:w w:val="98"/>
              </w:rPr>
              <w:t>Stock Options Outstanding</w:t>
            </w: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136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Weighted</w:t>
            </w:r>
          </w:p>
        </w:tc>
        <w:tc>
          <w:tcPr>
            <w:tcW w:w="1380" w:type="dxa"/>
            <w:vAlign w:val="bottom"/>
            <w:gridSpan w:val="2"/>
          </w:tcPr>
          <w:p>
            <w:pPr>
              <w:ind w:left="460"/>
              <w:spacing w:after="0" w:line="162" w:lineRule="exact"/>
              <w:rPr>
                <w:sz w:val="20"/>
                <w:szCs w:val="20"/>
                <w:color w:val="auto"/>
              </w:rPr>
            </w:pPr>
            <w:r>
              <w:rPr>
                <w:rFonts w:ascii="Arial" w:cs="Arial" w:eastAsia="Arial" w:hAnsi="Arial"/>
                <w:sz w:val="17"/>
                <w:szCs w:val="17"/>
                <w:b w:val="1"/>
                <w:bCs w:val="1"/>
                <w:color w:val="auto"/>
              </w:rPr>
              <w:t>Weighted</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8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89"/>
              </w:rPr>
              <w:t>Average</w:t>
            </w:r>
          </w:p>
        </w:tc>
        <w:tc>
          <w:tcPr>
            <w:tcW w:w="480" w:type="dxa"/>
            <w:vAlign w:val="bottom"/>
          </w:tcPr>
          <w:p>
            <w:pPr>
              <w:spacing w:after="0"/>
              <w:rPr>
                <w:sz w:val="14"/>
                <w:szCs w:val="14"/>
                <w:color w:val="auto"/>
              </w:rPr>
            </w:pPr>
          </w:p>
        </w:tc>
        <w:tc>
          <w:tcPr>
            <w:tcW w:w="130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68"/>
        </w:trPr>
        <w:tc>
          <w:tcPr>
            <w:tcW w:w="4940" w:type="dxa"/>
            <w:vAlign w:val="bottom"/>
          </w:tcPr>
          <w:p>
            <w:pPr>
              <w:spacing w:after="0"/>
              <w:rPr>
                <w:sz w:val="14"/>
                <w:szCs w:val="14"/>
                <w:color w:val="auto"/>
              </w:rPr>
            </w:pPr>
          </w:p>
        </w:tc>
        <w:tc>
          <w:tcPr>
            <w:tcW w:w="1360" w:type="dxa"/>
            <w:vAlign w:val="bottom"/>
          </w:tcPr>
          <w:p>
            <w:pPr>
              <w:jc w:val="right"/>
              <w:ind w:right="74"/>
              <w:spacing w:after="0" w:line="167" w:lineRule="exact"/>
              <w:rPr>
                <w:sz w:val="20"/>
                <w:szCs w:val="20"/>
                <w:color w:val="auto"/>
              </w:rPr>
            </w:pPr>
            <w:r>
              <w:rPr>
                <w:rFonts w:ascii="Arial" w:cs="Arial" w:eastAsia="Arial" w:hAnsi="Arial"/>
                <w:sz w:val="17"/>
                <w:szCs w:val="17"/>
                <w:b w:val="1"/>
                <w:bCs w:val="1"/>
                <w:color w:val="auto"/>
              </w:rPr>
              <w:t>Stock Options</w:t>
            </w:r>
          </w:p>
        </w:tc>
        <w:tc>
          <w:tcPr>
            <w:tcW w:w="100" w:type="dxa"/>
            <w:vAlign w:val="bottom"/>
          </w:tcPr>
          <w:p>
            <w:pPr>
              <w:spacing w:after="0"/>
              <w:rPr>
                <w:sz w:val="14"/>
                <w:szCs w:val="14"/>
                <w:color w:val="auto"/>
              </w:rPr>
            </w:pPr>
          </w:p>
        </w:tc>
        <w:tc>
          <w:tcPr>
            <w:tcW w:w="1680" w:type="dxa"/>
            <w:vAlign w:val="bottom"/>
            <w:gridSpan w:val="3"/>
          </w:tcPr>
          <w:p>
            <w:pPr>
              <w:ind w:left="160"/>
              <w:spacing w:after="0" w:line="167" w:lineRule="exact"/>
              <w:rPr>
                <w:sz w:val="20"/>
                <w:szCs w:val="20"/>
                <w:color w:val="auto"/>
              </w:rPr>
            </w:pPr>
            <w:r>
              <w:rPr>
                <w:rFonts w:ascii="Arial" w:cs="Arial" w:eastAsia="Arial" w:hAnsi="Arial"/>
                <w:sz w:val="17"/>
                <w:szCs w:val="17"/>
                <w:b w:val="1"/>
                <w:bCs w:val="1"/>
                <w:color w:val="auto"/>
              </w:rPr>
              <w:t>Average Exercise</w:t>
            </w:r>
          </w:p>
        </w:tc>
        <w:tc>
          <w:tcPr>
            <w:tcW w:w="138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1"/>
              </w:rPr>
              <w:t>Remaining</w:t>
            </w:r>
          </w:p>
        </w:tc>
        <w:tc>
          <w:tcPr>
            <w:tcW w:w="4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b w:val="1"/>
                <w:bCs w:val="1"/>
                <w:color w:val="auto"/>
              </w:rPr>
              <w:t>Price</w:t>
            </w:r>
          </w:p>
        </w:tc>
        <w:tc>
          <w:tcPr>
            <w:tcW w:w="13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Contractual Life</w:t>
            </w:r>
          </w:p>
        </w:tc>
        <w:tc>
          <w:tcPr>
            <w:tcW w:w="1780" w:type="dxa"/>
            <w:vAlign w:val="bottom"/>
            <w:gridSpan w:val="2"/>
          </w:tcPr>
          <w:p>
            <w:pPr>
              <w:jc w:val="right"/>
              <w:ind w:right="194"/>
              <w:spacing w:after="0" w:line="219" w:lineRule="exact"/>
              <w:rPr>
                <w:sz w:val="20"/>
                <w:szCs w:val="20"/>
                <w:color w:val="auto"/>
              </w:rPr>
            </w:pPr>
            <w:r>
              <w:rPr>
                <w:rFonts w:ascii="Arial" w:cs="Arial" w:eastAsia="Arial" w:hAnsi="Arial"/>
                <w:sz w:val="17"/>
                <w:szCs w:val="17"/>
                <w:b w:val="1"/>
                <w:bCs w:val="1"/>
                <w:color w:val="auto"/>
              </w:rPr>
              <w:t>Intrinsic Value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12"/>
        </w:trPr>
        <w:tc>
          <w:tcPr>
            <w:tcW w:w="49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ind w:left="460"/>
              <w:spacing w:after="0"/>
              <w:rPr>
                <w:sz w:val="20"/>
                <w:szCs w:val="20"/>
                <w:color w:val="auto"/>
              </w:rPr>
            </w:pPr>
            <w:r>
              <w:rPr>
                <w:rFonts w:ascii="Arial" w:cs="Arial" w:eastAsia="Arial" w:hAnsi="Arial"/>
                <w:sz w:val="17"/>
                <w:szCs w:val="17"/>
                <w:b w:val="1"/>
                <w:bCs w:val="1"/>
                <w:color w:val="auto"/>
              </w:rPr>
              <w:t>(in years)</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3"/>
              </w:rPr>
              <w:t>(in thousands)</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 as of July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0" w:type="dxa"/>
            <w:vAlign w:val="bottom"/>
          </w:tcPr>
          <w:p>
            <w:pPr>
              <w:spacing w:after="0"/>
              <w:rPr>
                <w:sz w:val="1"/>
                <w:szCs w:val="1"/>
                <w:color w:val="auto"/>
              </w:rPr>
            </w:pPr>
          </w:p>
        </w:tc>
      </w:tr>
      <w:tr>
        <w:trPr>
          <w:trHeight w:val="218"/>
        </w:trPr>
        <w:tc>
          <w:tcPr>
            <w:tcW w:w="4940" w:type="dxa"/>
            <w:vAlign w:val="bottom"/>
          </w:tcPr>
          <w:p>
            <w:pPr>
              <w:ind w:left="520"/>
              <w:spacing w:after="0"/>
              <w:rPr>
                <w:sz w:val="20"/>
                <w:szCs w:val="20"/>
                <w:color w:val="auto"/>
              </w:rPr>
            </w:pPr>
            <w:r>
              <w:rPr>
                <w:rFonts w:ascii="Arial" w:cs="Arial" w:eastAsia="Arial" w:hAnsi="Arial"/>
                <w:sz w:val="17"/>
                <w:szCs w:val="17"/>
                <w:color w:val="auto"/>
              </w:rPr>
              <w:t>Granted</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8"/>
        </w:trPr>
        <w:tc>
          <w:tcPr>
            <w:tcW w:w="494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October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23,760</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40" w:type="dxa"/>
            <w:vAlign w:val="bottom"/>
          </w:tcPr>
          <w:p>
            <w:pPr>
              <w:ind w:left="320"/>
              <w:spacing w:after="0" w:line="191" w:lineRule="exact"/>
              <w:rPr>
                <w:sz w:val="20"/>
                <w:szCs w:val="20"/>
                <w:color w:val="auto"/>
              </w:rPr>
            </w:pPr>
            <w:r>
              <w:rPr>
                <w:rFonts w:ascii="Arial" w:cs="Arial" w:eastAsia="Arial" w:hAnsi="Arial"/>
                <w:sz w:val="17"/>
                <w:szCs w:val="17"/>
                <w:color w:val="auto"/>
              </w:rPr>
              <w:t>Vested and expected to vest as of October 31, 2021</w:t>
            </w:r>
          </w:p>
        </w:tc>
        <w:tc>
          <w:tcPr>
            <w:tcW w:w="13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23,760</w:t>
            </w:r>
          </w:p>
        </w:tc>
        <w:tc>
          <w:tcPr>
            <w:tcW w:w="60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91" w:lineRule="exact"/>
              <w:rPr>
                <w:sz w:val="20"/>
                <w:szCs w:val="20"/>
                <w:color w:val="auto"/>
              </w:rPr>
            </w:pPr>
            <w:r>
              <w:rPr>
                <w:rFonts w:ascii="Arial" w:cs="Arial" w:eastAsia="Arial" w:hAnsi="Arial"/>
                <w:sz w:val="17"/>
                <w:szCs w:val="17"/>
                <w:color w:val="auto"/>
              </w:rPr>
              <w:t>17.81</w:t>
            </w:r>
          </w:p>
        </w:tc>
        <w:tc>
          <w:tcPr>
            <w:tcW w:w="10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1300" w:type="dxa"/>
            <w:vAlign w:val="bottom"/>
          </w:tcPr>
          <w:p>
            <w:pPr>
              <w:jc w:val="right"/>
              <w:spacing w:after="0" w:line="191" w:lineRule="exact"/>
              <w:rPr>
                <w:sz w:val="20"/>
                <w:szCs w:val="20"/>
                <w:color w:val="auto"/>
              </w:rPr>
            </w:pPr>
            <w:r>
              <w:rPr>
                <w:rFonts w:ascii="Arial" w:cs="Arial" w:eastAsia="Arial" w:hAnsi="Arial"/>
                <w:sz w:val="17"/>
                <w:szCs w:val="17"/>
                <w:color w:val="auto"/>
              </w:rPr>
              <w:t>2,564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Exercisable as of October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23,760</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3"/>
        <w:spacing w:after="0" w:line="384" w:lineRule="auto"/>
        <w:tabs>
          <w:tab w:leader="none" w:pos="126" w:val="left"/>
        </w:tabs>
        <w:numPr>
          <w:ilvl w:val="0"/>
          <w:numId w:val="14"/>
        </w:numPr>
        <w:rPr>
          <w:rFonts w:ascii="Arial" w:cs="Arial" w:eastAsia="Arial" w:hAnsi="Arial"/>
          <w:sz w:val="8"/>
          <w:szCs w:val="8"/>
          <w:color w:val="auto"/>
        </w:rPr>
      </w:pPr>
      <w:r>
        <w:rPr>
          <w:rFonts w:ascii="Arial" w:cs="Arial" w:eastAsia="Arial" w:hAnsi="Arial"/>
          <w:sz w:val="11"/>
          <w:szCs w:val="11"/>
          <w:color w:val="auto"/>
        </w:rPr>
        <w:t>Aggregate intrinsic value at each period end represents the difference between the Company’s closing stock price of $125.73 and $115.20 on October 31, 2021 and July 31, 2021, respectively, and the exercise price of outstanding options. Aggregate intrinsic value for exercised options represents the difference between the Company’s stock price at date of exercise and the exercise price.</w:t>
      </w:r>
    </w:p>
    <w:p>
      <w:pPr>
        <w:spacing w:after="0" w:line="37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Common Stock Reserved for Issuance</w:t>
      </w:r>
    </w:p>
    <w:p>
      <w:pPr>
        <w:spacing w:after="0" w:line="10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As of October 31, 2021 and July 31, 2021, the Company was authorized to issue 500,000,000 shares of common stock with a par value of $0.0001 per share and, of these, 83,305,156 and 83,194,157 shares of common stock were issued and outstanding,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2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726"/>
        </w:trPr>
        <w:tc>
          <w:tcPr>
            <w:tcW w:w="3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As  of  October  31,  2021  and  July  31,  2021,</w:t>
            </w:r>
          </w:p>
        </w:tc>
        <w:tc>
          <w:tcPr>
            <w:tcW w:w="5380" w:type="dxa"/>
            <w:vAlign w:val="bottom"/>
            <w:gridSpan w:val="4"/>
          </w:tcPr>
          <w:p>
            <w:pPr>
              <w:ind w:left="80"/>
              <w:spacing w:after="0"/>
              <w:rPr>
                <w:sz w:val="20"/>
                <w:szCs w:val="20"/>
                <w:color w:val="auto"/>
              </w:rPr>
            </w:pPr>
            <w:r>
              <w:rPr>
                <w:rFonts w:ascii="Arial" w:cs="Arial" w:eastAsia="Arial" w:hAnsi="Arial"/>
                <w:sz w:val="17"/>
                <w:szCs w:val="17"/>
                <w:color w:val="auto"/>
              </w:rPr>
              <w:t>the  Company  had  reserved  shares  of  common  stock  for  future</w:t>
            </w:r>
          </w:p>
        </w:tc>
        <w:tc>
          <w:tcPr>
            <w:tcW w:w="1680" w:type="dxa"/>
            <w:vAlign w:val="bottom"/>
          </w:tcPr>
          <w:p>
            <w:pPr>
              <w:jc w:val="right"/>
              <w:spacing w:after="0"/>
              <w:rPr>
                <w:sz w:val="20"/>
                <w:szCs w:val="20"/>
                <w:color w:val="auto"/>
              </w:rPr>
            </w:pPr>
            <w:r>
              <w:rPr>
                <w:rFonts w:ascii="Arial" w:cs="Arial" w:eastAsia="Arial" w:hAnsi="Arial"/>
                <w:sz w:val="17"/>
                <w:szCs w:val="17"/>
                <w:color w:val="auto"/>
              </w:rPr>
              <w:t>issuance  as  follows:</w:t>
            </w:r>
          </w:p>
        </w:tc>
      </w:tr>
      <w:tr>
        <w:trPr>
          <w:trHeight w:val="246"/>
        </w:trPr>
        <w:tc>
          <w:tcPr>
            <w:tcW w:w="3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64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October 31, 2021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3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Exercise of stock options to purchase common stock</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23,760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25,278</w:t>
            </w:r>
          </w:p>
        </w:tc>
      </w:tr>
      <w:tr>
        <w:trPr>
          <w:trHeight w:val="218"/>
        </w:trPr>
        <w:tc>
          <w:tcPr>
            <w:tcW w:w="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Vesting of stock awards</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3,483,890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2,394,968</w:t>
            </w:r>
          </w:p>
        </w:tc>
      </w:tr>
      <w:tr>
        <w:trPr>
          <w:trHeight w:val="219"/>
        </w:trPr>
        <w:tc>
          <w:tcPr>
            <w:tcW w:w="3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available under stock plans</w:t>
            </w:r>
          </w:p>
        </w:tc>
        <w:tc>
          <w:tcPr>
            <w:tcW w:w="282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3,590,878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5,014,069</w:t>
            </w:r>
          </w:p>
        </w:tc>
      </w:tr>
      <w:tr>
        <w:trPr>
          <w:trHeight w:val="213"/>
        </w:trPr>
        <w:tc>
          <w:tcPr>
            <w:tcW w:w="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Total common stock reserved for issuance</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7,098,528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7,434,315</w:t>
            </w:r>
          </w:p>
        </w:tc>
      </w:tr>
      <w:tr>
        <w:trPr>
          <w:trHeight w:val="20"/>
        </w:trPr>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8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w:t>
      </w:r>
    </w:p>
    <w:p>
      <w:pPr>
        <w:spacing w:after="0" w:line="48"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shares the Company issues under the 2020 Plan will be from the Company's pool of authorized but unissued shares. The shares of common stock underlying any awards under the 2011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w:t>
      </w:r>
    </w:p>
    <w:p>
      <w:pPr>
        <w:spacing w:after="0" w:line="3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0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 October 2020, the Company's board of directors authorized and approved a stock repurchase program of up to $200.0 million of the Company's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4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During the three months ended October 31, 2021, the Company repurchased 226,172 shares of common stock at an average price of $116.12 per share, for an aggregate purchase price of $26.3 million. As of October 31, 2021, $11.2 million remained available for future share repurchases.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17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recognized an income tax benefit of $17.0 million and $10.7 million for the three months ended October 31, 2021 and 2020, respectively. The change in the amount of income taxes recorded for the three months ended October 31, 2021 compared to the same period a year ago was primarily due to the increase in the loss before taxes and research and development credits, offset by a tax status change of certain foreign subsidiaries for U.S. tax purposes and certain non-deductible expenses. The effective tax rate of 25% for the three months ended October 31, 2021 differs from the statutory U.S. federal income tax rate of 21% mainly due to permanent differences for stock-based compensation including excess tax benefits, research and development credits, and certain non-deductible expenses including executive compensation.</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During the three months ended October 31, 2021, unrecognized tax benefits increased by $0.4 million. As of October 31, 2021, the Company had unrecognized tax benefits of $11.1 million that, if recognized, would affect the Company’s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Segment Information</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as well as by geographic region, while all other financial information is reviewed on a consolidated basis. The Company’s principal operations and decision-making functions are located in the United States.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firstLine="309"/>
        <w:spacing w:after="0" w:line="273" w:lineRule="auto"/>
        <w:rPr>
          <w:sz w:val="20"/>
          <w:szCs w:val="20"/>
          <w:color w:val="auto"/>
        </w:rPr>
      </w:pPr>
      <w:r>
        <w:rPr>
          <w:rFonts w:ascii="Arial" w:cs="Arial" w:eastAsia="Arial" w:hAnsi="Arial"/>
          <w:sz w:val="17"/>
          <w:szCs w:val="17"/>
          <w:color w:val="auto"/>
        </w:rPr>
        <w:t>The Company's long-lived assets for this disclosure is defined as property and equipment and operating lease assets. The Company’s long-lived assets by geographic region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19"/>
                <w:szCs w:val="19"/>
                <w:color w:val="auto"/>
              </w:rPr>
            </w:pPr>
          </w:p>
        </w:tc>
        <w:tc>
          <w:tcPr>
            <w:tcW w:w="168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6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Americas</w:t>
            </w:r>
          </w:p>
        </w:tc>
        <w:tc>
          <w:tcPr>
            <w:tcW w:w="5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141,104</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143,736</w:t>
            </w:r>
          </w:p>
        </w:tc>
      </w:tr>
      <w:tr>
        <w:trPr>
          <w:trHeight w:val="218"/>
        </w:trPr>
        <w:tc>
          <w:tcPr>
            <w:tcW w:w="6520" w:type="dxa"/>
            <w:vAlign w:val="bottom"/>
          </w:tcPr>
          <w:p>
            <w:pPr>
              <w:ind w:left="320"/>
              <w:spacing w:after="0"/>
              <w:rPr>
                <w:sz w:val="20"/>
                <w:szCs w:val="20"/>
                <w:color w:val="auto"/>
              </w:rPr>
            </w:pPr>
            <w:r>
              <w:rPr>
                <w:rFonts w:ascii="Arial" w:cs="Arial" w:eastAsia="Arial" w:hAnsi="Arial"/>
                <w:sz w:val="17"/>
                <w:szCs w:val="17"/>
                <w:color w:val="auto"/>
              </w:rPr>
              <w:t>EMEA</w:t>
            </w:r>
          </w:p>
        </w:tc>
        <w:tc>
          <w:tcPr>
            <w:tcW w:w="5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34,835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32,171</w:t>
            </w:r>
          </w:p>
        </w:tc>
      </w:tr>
      <w:tr>
        <w:trPr>
          <w:trHeight w:val="220"/>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APAC</w:t>
            </w:r>
          </w:p>
        </w:tc>
        <w:tc>
          <w:tcPr>
            <w:tcW w:w="5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1,601</w:t>
            </w:r>
          </w:p>
        </w:tc>
      </w:tr>
      <w:tr>
        <w:trPr>
          <w:trHeight w:val="211"/>
        </w:trPr>
        <w:tc>
          <w:tcPr>
            <w:tcW w:w="6520" w:type="dxa"/>
            <w:vAlign w:val="bottom"/>
          </w:tcPr>
          <w:p>
            <w:pPr>
              <w:ind w:left="64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177,342</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177,508</w:t>
            </w:r>
          </w:p>
        </w:tc>
      </w:tr>
      <w:tr>
        <w:trPr>
          <w:trHeight w:val="20"/>
        </w:trPr>
        <w:tc>
          <w:tcPr>
            <w:tcW w:w="6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5" w:name="page36"/>
    <w:bookmarkEnd w:id="35"/>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Guidewire delivers a leading platform that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124"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Our core operational services and products are InsuranceSuite via Guidewire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 These applications are built on and optimized for our Guidewire Cloud Platform ("GWCP") architecture and leverage our in-house Guidewire Cloud operations team. InsuranceSuite via Guidewire Cloud is designed to support multiple releases each year to ensure that cloud customers remain on the latest version and gain fast access to our innovation efforts. Additionally, InsuranceSuite via Guidewire Cloud embeds digital and analytics capabilities natively into our platform. Most new sales and implementations are for InsuranceSuite via Guidewire Cloud. InsuranceNow is a complete, cloud-based application that offers policy, billing, and claims management functionality to insurers that have limited internal information technology resources. InsuranceSuite for self-managed installations is comprised of three core applications (PolicyCenter, BillingCenter, and ClaimCenter) that can be licensed separately or together and can be deployed and updated by our customers and their implementation partners.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20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7"/>
          <w:szCs w:val="17"/>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18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Because our platform is critical to our new and existing customers' businesses, their decision-making and product evaluation process is long, which results in an extended sales cycle. These evaluation periods can extend further if a customer purchases multiple products or assesses the benefits of a cloud-based subscription. Sales to new customers also involve extensive customer due diligence and reference checks. Our sales cycle has lengthened due to the COVID-19 pandemic.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w:t>
      </w:r>
    </w:p>
    <w:p>
      <w:pPr>
        <w:spacing w:after="0" w:line="196" w:lineRule="exact"/>
        <w:rPr>
          <w:sz w:val="20"/>
          <w:szCs w:val="20"/>
          <w:color w:val="auto"/>
        </w:rPr>
      </w:pPr>
    </w:p>
    <w:p>
      <w:pPr>
        <w:jc w:val="both"/>
        <w:ind w:firstLine="309"/>
        <w:spacing w:after="0" w:line="239" w:lineRule="auto"/>
        <w:rPr>
          <w:sz w:val="20"/>
          <w:szCs w:val="20"/>
          <w:color w:val="auto"/>
        </w:rPr>
      </w:pPr>
      <w:r>
        <w:rPr>
          <w:rFonts w:ascii="Arial" w:cs="Arial" w:eastAsia="Arial" w:hAnsi="Arial"/>
          <w:sz w:val="16"/>
          <w:szCs w:val="16"/>
          <w:color w:val="auto"/>
        </w:rPr>
        <w:t>We sell our cloud-delivered offerings through subscription services and our self-managed products through term licenses. We generally price our services and products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Substantially all of our services revenue is billed monthly on a time and materials basis.</w:t>
      </w:r>
    </w:p>
    <w:p>
      <w:pPr>
        <w:spacing w:after="0" w:line="13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Over the past few years, we have primarily been entering into cloud-based subscription arrangements with our new and existing customers and we anticipate that subscription arrangements will be a majority of annual new sales going forward. As this sales model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6" w:name="page37"/>
    <w:bookmarkEnd w:id="36"/>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matures, we may decide to change certain contract terms in new arrangements to remain competitive or otherwise meet market demands.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11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track record of success with customers and their implementations is central to maintaining our strong competitive position. We rely on our global services team and SI partners to ensure that teams with the right combination of product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3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managing the infrastructure of our cloud-based customers. In response to these and other risks we might face, we continue to invest in many areas of our business, including product development, cloud operations, implementation services and sales and marketing.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49"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comparison with our second quarter of fiscal year 2021 and created a challenging comparable period for the first quarter of fiscal year 2022.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18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Impact</w:t>
      </w:r>
    </w:p>
    <w:p>
      <w:pPr>
        <w:spacing w:after="0" w:line="171"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7"/>
          <w:szCs w:val="17"/>
          <w:color w:val="auto"/>
        </w:rPr>
        <w:t>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While we are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7" w:name="page38"/>
    <w:bookmarkEnd w:id="37"/>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unable to accurately predict the full impact that COVID-19 will have on our results of operations, financial condition, liquidity, and cash flows due to numerous uncertainties, including the duration and severity of the pandemic and containment measures and if there are any periods of increases in the number of COVID-19 cases or future variants of the virus in areas in which we operate, our compliance with containment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delay the timing of new orders and professional services engagements in the future.</w:t>
      </w:r>
    </w:p>
    <w:p>
      <w:pPr>
        <w:spacing w:after="0" w:line="134"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Our business and financial results since the third quarter of fiscal year 2020 have been impacted due to these disruptions, including decreases in annual recurring revenue ("ARR") growth rates, services revenue and margins, operating cash flow, potentially higher employee attrition, and the change in fair value of strategic investments. ARR and revenue, especially services revenue, continued to be impacted in fiscal year 2022 as a result of the challenges related to our compliance with government-mandated or recommended shelter-in-place orders in jurisdictions in which we, our customers, SI partners and vendors operate.</w:t>
      </w:r>
    </w:p>
    <w:p>
      <w:pPr>
        <w:spacing w:after="0" w:line="97"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Although vaccines are making progress against the COVID-19 pandemic in the United States and certain other parts of the world where vaccinations are widely available, the economic impact of the pandemic on our business and the businesses of our customers, SI partners, and vendors may continue through fiscal year 2022, if not longer. We believe that new sales activities are being delayed, not cancelled, and implementation engagements are being rescheduled to later periods or being completed over a longer period of time. Certain marketing events have or will be cancelled or postponed, while others are being hosted both in-person and virtually, like our customer conference, Connections. Our customers may be unable to pay or may request amended payment terms for their outstanding invoices due to the economic impacts from COVID-19,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or goodwill.</w:t>
      </w:r>
    </w:p>
    <w:p>
      <w:pPr>
        <w:spacing w:after="0" w:line="112"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In response to the pandemic, various government programs have been announced which provide financial relief to affected businesses. As an example, the Canadian Government enacted the Canada Emergency Wage Subsidy ("CEWS") under their COVID-19 Economic Response Plan to prevent layoffs and help employers offset, for a limited time, a portion of their employee salaries and wages. Beginning in January 2021, we applied for the CEWS, to the extent we met the requirements to receive a subsidy. We have not and do not expect to receive a subsidy under the CEWS for the three months ended October 31, 2021.</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will continue to evaluate the nature and extent of the impact of COVID-19 on our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9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Annual Recurring Revenue ("ARR")</w:t>
      </w:r>
    </w:p>
    <w:p>
      <w:pPr>
        <w:spacing w:after="0" w:line="204"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three months ended October 31, 2021, the recurring license and support or subscription contract value recognized as services revenue was $0.9 million.</w:t>
      </w:r>
    </w:p>
    <w:p>
      <w:pPr>
        <w:spacing w:after="0" w:line="109"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8" w:name="page39"/>
    <w:bookmarkEnd w:id="38"/>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October 31, 2021, ARR was $594 million, compared to $582 million as of July 31, 2021. ARR results for interim quarterly periods in fiscal year 2022 are measured on a constant currency basis, using the actual currency rates at the end of fiscal year 2021 throughout the year.</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Free Cash Flow</w:t>
      </w:r>
    </w:p>
    <w:p>
      <w:pPr>
        <w:spacing w:after="0" w:line="153"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5"/>
          <w:szCs w:val="15"/>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In the first quarter of fiscal year 2022, we paid the entire bonus amount for fiscal year 2021 along with accrued vacation for employees in countries where we adopted a non-accrued vacation policy effective September 2021. For a further discussion of our operating cash flows, see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20"/>
                <w:szCs w:val="20"/>
                <w:color w:val="auto"/>
              </w:rPr>
            </w:pPr>
            <w:r>
              <w:rPr>
                <w:rFonts w:ascii="Arial" w:cs="Arial" w:eastAsia="Arial" w:hAnsi="Arial"/>
                <w:sz w:val="17"/>
                <w:szCs w:val="17"/>
                <w:color w:val="auto"/>
              </w:rPr>
              <w:t>“Liquidity</w:t>
            </w:r>
          </w:p>
        </w:tc>
        <w:tc>
          <w:tcPr>
            <w:tcW w:w="680" w:type="dxa"/>
            <w:vAlign w:val="bottom"/>
          </w:tcPr>
          <w:p>
            <w:pPr>
              <w:ind w:left="220"/>
              <w:spacing w:after="0"/>
              <w:rPr>
                <w:sz w:val="20"/>
                <w:szCs w:val="20"/>
                <w:color w:val="auto"/>
              </w:rPr>
            </w:pPr>
            <w:r>
              <w:rPr>
                <w:rFonts w:ascii="Arial" w:cs="Arial" w:eastAsia="Arial" w:hAnsi="Arial"/>
                <w:sz w:val="17"/>
                <w:szCs w:val="17"/>
                <w:color w:val="auto"/>
              </w:rPr>
              <w:t>and</w:t>
            </w:r>
          </w:p>
        </w:tc>
        <w:tc>
          <w:tcPr>
            <w:tcW w:w="1080" w:type="dxa"/>
            <w:vAlign w:val="bottom"/>
          </w:tcPr>
          <w:p>
            <w:pPr>
              <w:ind w:left="220"/>
              <w:spacing w:after="0"/>
              <w:rPr>
                <w:sz w:val="20"/>
                <w:szCs w:val="20"/>
                <w:color w:val="auto"/>
              </w:rPr>
            </w:pPr>
            <w:r>
              <w:rPr>
                <w:rFonts w:ascii="Arial" w:cs="Arial" w:eastAsia="Arial" w:hAnsi="Arial"/>
                <w:sz w:val="17"/>
                <w:szCs w:val="17"/>
                <w:color w:val="auto"/>
              </w:rPr>
              <w:t>Capital</w:t>
            </w:r>
          </w:p>
        </w:tc>
        <w:tc>
          <w:tcPr>
            <w:tcW w:w="1000" w:type="dxa"/>
            <w:vAlign w:val="bottom"/>
          </w:tcPr>
          <w:p>
            <w:pPr>
              <w:ind w:left="80"/>
              <w:spacing w:after="0"/>
              <w:rPr>
                <w:sz w:val="20"/>
                <w:szCs w:val="20"/>
                <w:color w:val="auto"/>
              </w:rPr>
            </w:pPr>
            <w:r>
              <w:rPr>
                <w:rFonts w:ascii="Arial" w:cs="Arial" w:eastAsia="Arial" w:hAnsi="Arial"/>
                <w:sz w:val="17"/>
                <w:szCs w:val="17"/>
                <w:color w:val="auto"/>
              </w:rPr>
              <w:t>Resources</w:t>
            </w:r>
          </w:p>
        </w:tc>
        <w:tc>
          <w:tcPr>
            <w:tcW w:w="520" w:type="dxa"/>
            <w:vAlign w:val="bottom"/>
          </w:tcPr>
          <w:p>
            <w:pPr>
              <w:ind w:left="220"/>
              <w:spacing w:after="0"/>
              <w:rPr>
                <w:sz w:val="20"/>
                <w:szCs w:val="20"/>
                <w:color w:val="auto"/>
              </w:rPr>
            </w:pPr>
            <w:r>
              <w:rPr>
                <w:rFonts w:ascii="Arial" w:cs="Arial" w:eastAsia="Arial" w:hAnsi="Arial"/>
                <w:sz w:val="17"/>
                <w:szCs w:val="17"/>
                <w:color w:val="auto"/>
              </w:rPr>
              <w:t>–</w:t>
            </w:r>
          </w:p>
        </w:tc>
        <w:tc>
          <w:tcPr>
            <w:tcW w:w="780" w:type="dxa"/>
            <w:vAlign w:val="bottom"/>
          </w:tcPr>
          <w:p>
            <w:pPr>
              <w:ind w:left="220"/>
              <w:spacing w:after="0"/>
              <w:rPr>
                <w:sz w:val="20"/>
                <w:szCs w:val="20"/>
                <w:color w:val="auto"/>
              </w:rPr>
            </w:pPr>
            <w:r>
              <w:rPr>
                <w:rFonts w:ascii="Arial" w:cs="Arial" w:eastAsia="Arial" w:hAnsi="Arial"/>
                <w:sz w:val="17"/>
                <w:szCs w:val="17"/>
                <w:color w:val="auto"/>
              </w:rPr>
              <w:t>Cash</w:t>
            </w:r>
          </w:p>
        </w:tc>
        <w:tc>
          <w:tcPr>
            <w:tcW w:w="940" w:type="dxa"/>
            <w:vAlign w:val="bottom"/>
          </w:tcPr>
          <w:p>
            <w:pPr>
              <w:ind w:left="220"/>
              <w:spacing w:after="0"/>
              <w:rPr>
                <w:sz w:val="20"/>
                <w:szCs w:val="20"/>
                <w:color w:val="auto"/>
              </w:rPr>
            </w:pPr>
            <w:r>
              <w:rPr>
                <w:rFonts w:ascii="Arial" w:cs="Arial" w:eastAsia="Arial" w:hAnsi="Arial"/>
                <w:sz w:val="17"/>
                <w:szCs w:val="17"/>
                <w:color w:val="auto"/>
              </w:rPr>
              <w:t>Flows”</w:t>
            </w:r>
          </w:p>
        </w:tc>
        <w:tc>
          <w:tcPr>
            <w:tcW w:w="580" w:type="dxa"/>
            <w:vAlign w:val="bottom"/>
          </w:tcPr>
          <w:p>
            <w:pPr>
              <w:ind w:left="220"/>
              <w:spacing w:after="0"/>
              <w:rPr>
                <w:sz w:val="20"/>
                <w:szCs w:val="20"/>
                <w:color w:val="auto"/>
              </w:rPr>
            </w:pPr>
            <w:r>
              <w:rPr>
                <w:rFonts w:ascii="Arial" w:cs="Arial" w:eastAsia="Arial" w:hAnsi="Arial"/>
                <w:sz w:val="17"/>
                <w:szCs w:val="17"/>
                <w:color w:val="auto"/>
              </w:rPr>
              <w:t>in</w:t>
            </w:r>
          </w:p>
        </w:tc>
        <w:tc>
          <w:tcPr>
            <w:tcW w:w="680" w:type="dxa"/>
            <w:vAlign w:val="bottom"/>
          </w:tcPr>
          <w:p>
            <w:pPr>
              <w:jc w:val="right"/>
              <w:ind w:right="140"/>
              <w:spacing w:after="0"/>
              <w:rPr>
                <w:sz w:val="20"/>
                <w:szCs w:val="20"/>
                <w:color w:val="auto"/>
              </w:rPr>
            </w:pPr>
            <w:r>
              <w:rPr>
                <w:rFonts w:ascii="Arial" w:cs="Arial" w:eastAsia="Arial" w:hAnsi="Arial"/>
                <w:sz w:val="17"/>
                <w:szCs w:val="17"/>
                <w:color w:val="auto"/>
              </w:rPr>
              <w:t>this</w:t>
            </w:r>
          </w:p>
        </w:tc>
        <w:tc>
          <w:tcPr>
            <w:tcW w:w="920" w:type="dxa"/>
            <w:vAlign w:val="bottom"/>
          </w:tcPr>
          <w:p>
            <w:pPr>
              <w:jc w:val="right"/>
              <w:spacing w:after="0"/>
              <w:rPr>
                <w:sz w:val="20"/>
                <w:szCs w:val="20"/>
                <w:color w:val="auto"/>
              </w:rPr>
            </w:pPr>
            <w:r>
              <w:rPr>
                <w:rFonts w:ascii="Arial" w:cs="Arial" w:eastAsia="Arial" w:hAnsi="Arial"/>
                <w:sz w:val="17"/>
                <w:szCs w:val="17"/>
                <w:color w:val="auto"/>
              </w:rPr>
              <w:t>Quarterly</w:t>
            </w:r>
          </w:p>
        </w:tc>
        <w:tc>
          <w:tcPr>
            <w:tcW w:w="1020" w:type="dxa"/>
            <w:vAlign w:val="bottom"/>
            <w:gridSpan w:val="3"/>
          </w:tcPr>
          <w:p>
            <w:pPr>
              <w:ind w:left="400"/>
              <w:spacing w:after="0"/>
              <w:rPr>
                <w:sz w:val="20"/>
                <w:szCs w:val="20"/>
                <w:color w:val="auto"/>
              </w:rPr>
            </w:pPr>
            <w:r>
              <w:rPr>
                <w:rFonts w:ascii="Arial" w:cs="Arial" w:eastAsia="Arial" w:hAnsi="Arial"/>
                <w:sz w:val="17"/>
                <w:szCs w:val="17"/>
                <w:color w:val="auto"/>
              </w:rPr>
              <w:t>Report</w:t>
            </w:r>
          </w:p>
        </w:tc>
        <w:tc>
          <w:tcPr>
            <w:tcW w:w="660" w:type="dxa"/>
            <w:vAlign w:val="bottom"/>
          </w:tcPr>
          <w:p>
            <w:pPr>
              <w:jc w:val="right"/>
              <w:ind w:right="140"/>
              <w:spacing w:after="0"/>
              <w:rPr>
                <w:sz w:val="20"/>
                <w:szCs w:val="20"/>
                <w:color w:val="auto"/>
              </w:rPr>
            </w:pPr>
            <w:r>
              <w:rPr>
                <w:rFonts w:ascii="Arial" w:cs="Arial" w:eastAsia="Arial" w:hAnsi="Arial"/>
                <w:sz w:val="17"/>
                <w:szCs w:val="17"/>
                <w:color w:val="auto"/>
              </w:rPr>
              <w:t>on</w:t>
            </w:r>
          </w:p>
        </w:tc>
        <w:tc>
          <w:tcPr>
            <w:tcW w:w="760" w:type="dxa"/>
            <w:vAlign w:val="bottom"/>
          </w:tcPr>
          <w:p>
            <w:pPr>
              <w:jc w:val="right"/>
              <w:ind w:right="78"/>
              <w:spacing w:after="0"/>
              <w:rPr>
                <w:sz w:val="20"/>
                <w:szCs w:val="20"/>
                <w:color w:val="auto"/>
              </w:rPr>
            </w:pPr>
            <w:r>
              <w:rPr>
                <w:rFonts w:ascii="Arial" w:cs="Arial" w:eastAsia="Arial" w:hAnsi="Arial"/>
                <w:sz w:val="17"/>
                <w:szCs w:val="17"/>
                <w:color w:val="auto"/>
              </w:rPr>
              <w:t>Form</w:t>
            </w:r>
          </w:p>
        </w:tc>
        <w:tc>
          <w:tcPr>
            <w:tcW w:w="680" w:type="dxa"/>
            <w:vAlign w:val="bottom"/>
          </w:tcPr>
          <w:p>
            <w:pPr>
              <w:jc w:val="right"/>
              <w:spacing w:after="0"/>
              <w:rPr>
                <w:sz w:val="20"/>
                <w:szCs w:val="20"/>
                <w:color w:val="auto"/>
              </w:rPr>
            </w:pPr>
            <w:r>
              <w:rPr>
                <w:rFonts w:ascii="Arial" w:cs="Arial" w:eastAsia="Arial" w:hAnsi="Arial"/>
                <w:sz w:val="17"/>
                <w:szCs w:val="17"/>
                <w:color w:val="auto"/>
              </w:rPr>
              <w:t>10-Q.</w:t>
            </w:r>
          </w:p>
        </w:tc>
      </w:tr>
      <w:tr>
        <w:trPr>
          <w:trHeight w:val="220"/>
        </w:trPr>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338"/>
              <w:spacing w:after="0"/>
              <w:rPr>
                <w:sz w:val="20"/>
                <w:szCs w:val="20"/>
                <w:color w:val="auto"/>
              </w:rPr>
            </w:pPr>
            <w:r>
              <w:rPr>
                <w:rFonts w:ascii="Arial" w:cs="Arial" w:eastAsia="Arial" w:hAnsi="Arial"/>
                <w:sz w:val="15"/>
                <w:szCs w:val="15"/>
                <w:b w:val="1"/>
                <w:bCs w:val="1"/>
                <w:color w:val="auto"/>
              </w:rPr>
              <w:t>Three Months Ended October 31,</w:t>
            </w:r>
          </w:p>
        </w:tc>
        <w:tc>
          <w:tcPr>
            <w:tcW w:w="680" w:type="dxa"/>
            <w:vAlign w:val="bottom"/>
            <w:tcBorders>
              <w:bottom w:val="single" w:sz="8" w:color="auto"/>
            </w:tcBorders>
          </w:tcPr>
          <w:p>
            <w:pPr>
              <w:spacing w:after="0"/>
              <w:rPr>
                <w:sz w:val="19"/>
                <w:szCs w:val="19"/>
                <w:color w:val="auto"/>
              </w:rPr>
            </w:pPr>
          </w:p>
        </w:tc>
      </w:tr>
      <w:tr>
        <w:trPr>
          <w:trHeight w:val="200"/>
        </w:trPr>
        <w:tc>
          <w:tcPr>
            <w:tcW w:w="9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rPr>
              <w:t>2021</w:t>
            </w: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b w:val="1"/>
                <w:bCs w:val="1"/>
                <w:color w:val="auto"/>
              </w:rPr>
              <w:t>2020</w:t>
            </w:r>
          </w:p>
        </w:tc>
        <w:tc>
          <w:tcPr>
            <w:tcW w:w="680" w:type="dxa"/>
            <w:vAlign w:val="bottom"/>
            <w:tcBorders>
              <w:bottom w:val="single" w:sz="8" w:color="auto"/>
            </w:tcBorders>
          </w:tcPr>
          <w:p>
            <w:pPr>
              <w:spacing w:after="0"/>
              <w:rPr>
                <w:sz w:val="17"/>
                <w:szCs w:val="17"/>
                <w:color w:val="auto"/>
              </w:rPr>
            </w:pPr>
          </w:p>
        </w:tc>
      </w:tr>
      <w:tr>
        <w:trPr>
          <w:trHeight w:val="201"/>
        </w:trPr>
        <w:tc>
          <w:tcPr>
            <w:tcW w:w="370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Net cash provided by (used in) operating activities</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(107,042)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(15,707)</w:t>
            </w:r>
          </w:p>
        </w:tc>
      </w:tr>
      <w:tr>
        <w:trPr>
          <w:trHeight w:val="203"/>
        </w:trPr>
        <w:tc>
          <w:tcPr>
            <w:tcW w:w="2700" w:type="dxa"/>
            <w:vAlign w:val="bottom"/>
            <w:gridSpan w:val="3"/>
          </w:tcPr>
          <w:p>
            <w:pPr>
              <w:ind w:left="320"/>
              <w:spacing w:after="0"/>
              <w:rPr>
                <w:sz w:val="20"/>
                <w:szCs w:val="20"/>
                <w:color w:val="auto"/>
              </w:rPr>
            </w:pPr>
            <w:r>
              <w:rPr>
                <w:rFonts w:ascii="Arial" w:cs="Arial" w:eastAsia="Arial" w:hAnsi="Arial"/>
                <w:sz w:val="15"/>
                <w:szCs w:val="15"/>
                <w:color w:val="auto"/>
                <w:w w:val="94"/>
              </w:rPr>
              <w:t>Purchases of property and equipment</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(1,907)</w:t>
            </w:r>
          </w:p>
        </w:tc>
      </w:tr>
      <w:tr>
        <w:trPr>
          <w:trHeight w:val="206"/>
        </w:trPr>
        <w:tc>
          <w:tcPr>
            <w:tcW w:w="370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Capitalized software development costs</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(2,581)</w:t>
            </w:r>
          </w:p>
        </w:tc>
      </w:tr>
      <w:tr>
        <w:trPr>
          <w:trHeight w:val="202"/>
        </w:trPr>
        <w:tc>
          <w:tcPr>
            <w:tcW w:w="1620" w:type="dxa"/>
            <w:vAlign w:val="bottom"/>
            <w:gridSpan w:val="2"/>
          </w:tcPr>
          <w:p>
            <w:pPr>
              <w:ind w:left="440"/>
              <w:spacing w:after="0"/>
              <w:rPr>
                <w:sz w:val="20"/>
                <w:szCs w:val="20"/>
                <w:color w:val="auto"/>
              </w:rPr>
            </w:pPr>
            <w:r>
              <w:rPr>
                <w:rFonts w:ascii="Arial" w:cs="Arial" w:eastAsia="Arial" w:hAnsi="Arial"/>
                <w:sz w:val="15"/>
                <w:szCs w:val="15"/>
                <w:color w:val="auto"/>
              </w:rPr>
              <w:t>Free cash flow</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(114,158)</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(20,195)</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62"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critical to the periods presented.</w:t>
      </w:r>
    </w:p>
    <w:p>
      <w:pPr>
        <w:spacing w:after="0" w:line="19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6"/>
          <w:szCs w:val="16"/>
          <w:color w:val="auto"/>
        </w:rPr>
        <w:t>There have been no material changes to our significant and critical accounting policies as described in "Management's Discussion and Analysis of Financial Condition and Results of Operations – Critical Accounting Policies and Estimates" in our Annual Report on Form 10-K for the fiscal year ended July 31, 2021 except for the addition of business combinations as a significant accounting policy described in Note 1 “The Company and Summary of Significant Accounting Policies and Estimates” to our condensed consolidated financial statements included in this Quarterly Report on Form 10-Q.</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9" w:name="page40"/>
    <w:bookmarkEnd w:id="39"/>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7"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5"/>
          <w:szCs w:val="15"/>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7"/>
                <w:szCs w:val="17"/>
                <w:color w:val="auto"/>
              </w:rPr>
              <w:t>notes</w:t>
            </w:r>
          </w:p>
        </w:tc>
        <w:tc>
          <w:tcPr>
            <w:tcW w:w="840" w:type="dxa"/>
            <w:vAlign w:val="bottom"/>
          </w:tcPr>
          <w:p>
            <w:pPr>
              <w:ind w:left="180"/>
              <w:spacing w:after="0"/>
              <w:rPr>
                <w:sz w:val="20"/>
                <w:szCs w:val="20"/>
                <w:color w:val="auto"/>
              </w:rPr>
            </w:pPr>
            <w:r>
              <w:rPr>
                <w:rFonts w:ascii="Arial" w:cs="Arial" w:eastAsia="Arial" w:hAnsi="Arial"/>
                <w:sz w:val="17"/>
                <w:szCs w:val="17"/>
                <w:color w:val="auto"/>
              </w:rPr>
              <w:t>thereto</w:t>
            </w:r>
          </w:p>
        </w:tc>
        <w:tc>
          <w:tcPr>
            <w:tcW w:w="900" w:type="dxa"/>
            <w:vAlign w:val="bottom"/>
          </w:tcPr>
          <w:p>
            <w:pPr>
              <w:ind w:left="120"/>
              <w:spacing w:after="0"/>
              <w:rPr>
                <w:sz w:val="20"/>
                <w:szCs w:val="20"/>
                <w:color w:val="auto"/>
              </w:rPr>
            </w:pPr>
            <w:r>
              <w:rPr>
                <w:rFonts w:ascii="Arial" w:cs="Arial" w:eastAsia="Arial" w:hAnsi="Arial"/>
                <w:sz w:val="17"/>
                <w:szCs w:val="17"/>
                <w:color w:val="auto"/>
              </w:rPr>
              <w:t>included</w:t>
            </w:r>
          </w:p>
        </w:tc>
        <w:tc>
          <w:tcPr>
            <w:tcW w:w="480" w:type="dxa"/>
            <w:vAlign w:val="bottom"/>
          </w:tcPr>
          <w:p>
            <w:pPr>
              <w:ind w:left="120"/>
              <w:spacing w:after="0"/>
              <w:rPr>
                <w:sz w:val="20"/>
                <w:szCs w:val="20"/>
                <w:color w:val="auto"/>
              </w:rPr>
            </w:pPr>
            <w:r>
              <w:rPr>
                <w:rFonts w:ascii="Arial" w:cs="Arial" w:eastAsia="Arial" w:hAnsi="Arial"/>
                <w:sz w:val="17"/>
                <w:szCs w:val="17"/>
                <w:color w:val="auto"/>
              </w:rPr>
              <w:t>in</w:t>
            </w:r>
          </w:p>
        </w:tc>
        <w:tc>
          <w:tcPr>
            <w:tcW w:w="460" w:type="dxa"/>
            <w:vAlign w:val="bottom"/>
          </w:tcPr>
          <w:p>
            <w:pPr>
              <w:ind w:left="60"/>
              <w:spacing w:after="0"/>
              <w:rPr>
                <w:sz w:val="20"/>
                <w:szCs w:val="20"/>
                <w:color w:val="auto"/>
              </w:rPr>
            </w:pPr>
            <w:r>
              <w:rPr>
                <w:rFonts w:ascii="Arial" w:cs="Arial" w:eastAsia="Arial" w:hAnsi="Arial"/>
                <w:sz w:val="17"/>
                <w:szCs w:val="17"/>
                <w:color w:val="auto"/>
              </w:rPr>
              <w:t>our</w:t>
            </w:r>
          </w:p>
        </w:tc>
        <w:tc>
          <w:tcPr>
            <w:tcW w:w="800" w:type="dxa"/>
            <w:vAlign w:val="bottom"/>
          </w:tcPr>
          <w:p>
            <w:pPr>
              <w:ind w:left="140"/>
              <w:spacing w:after="0"/>
              <w:rPr>
                <w:sz w:val="20"/>
                <w:szCs w:val="20"/>
                <w:color w:val="auto"/>
              </w:rPr>
            </w:pPr>
            <w:r>
              <w:rPr>
                <w:rFonts w:ascii="Arial" w:cs="Arial" w:eastAsia="Arial" w:hAnsi="Arial"/>
                <w:sz w:val="17"/>
                <w:szCs w:val="17"/>
                <w:color w:val="auto"/>
              </w:rPr>
              <w:t>Annual</w:t>
            </w:r>
          </w:p>
        </w:tc>
        <w:tc>
          <w:tcPr>
            <w:tcW w:w="800" w:type="dxa"/>
            <w:vAlign w:val="bottom"/>
          </w:tcPr>
          <w:p>
            <w:pPr>
              <w:ind w:left="160"/>
              <w:spacing w:after="0"/>
              <w:rPr>
                <w:sz w:val="20"/>
                <w:szCs w:val="20"/>
                <w:color w:val="auto"/>
              </w:rPr>
            </w:pPr>
            <w:r>
              <w:rPr>
                <w:rFonts w:ascii="Arial" w:cs="Arial" w:eastAsia="Arial" w:hAnsi="Arial"/>
                <w:sz w:val="17"/>
                <w:szCs w:val="17"/>
                <w:color w:val="auto"/>
              </w:rPr>
              <w:t>Report</w:t>
            </w:r>
          </w:p>
        </w:tc>
        <w:tc>
          <w:tcPr>
            <w:tcW w:w="460" w:type="dxa"/>
            <w:vAlign w:val="bottom"/>
          </w:tcPr>
          <w:p>
            <w:pPr>
              <w:ind w:left="120"/>
              <w:spacing w:after="0"/>
              <w:rPr>
                <w:sz w:val="20"/>
                <w:szCs w:val="20"/>
                <w:color w:val="auto"/>
              </w:rPr>
            </w:pPr>
            <w:r>
              <w:rPr>
                <w:rFonts w:ascii="Arial" w:cs="Arial" w:eastAsia="Arial" w:hAnsi="Arial"/>
                <w:sz w:val="17"/>
                <w:szCs w:val="17"/>
                <w:color w:val="auto"/>
              </w:rPr>
              <w:t>on</w:t>
            </w: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Form</w:t>
            </w:r>
          </w:p>
        </w:tc>
        <w:tc>
          <w:tcPr>
            <w:tcW w:w="500" w:type="dxa"/>
            <w:vAlign w:val="bottom"/>
          </w:tcPr>
          <w:p>
            <w:pPr>
              <w:jc w:val="right"/>
              <w:spacing w:after="0"/>
              <w:rPr>
                <w:sz w:val="20"/>
                <w:szCs w:val="20"/>
                <w:color w:val="auto"/>
              </w:rPr>
            </w:pPr>
            <w:r>
              <w:rPr>
                <w:rFonts w:ascii="Arial" w:cs="Arial" w:eastAsia="Arial" w:hAnsi="Arial"/>
                <w:sz w:val="17"/>
                <w:szCs w:val="17"/>
                <w:color w:val="auto"/>
              </w:rPr>
              <w:t>10-K</w:t>
            </w:r>
          </w:p>
        </w:tc>
        <w:tc>
          <w:tcPr>
            <w:tcW w:w="460" w:type="dxa"/>
            <w:vAlign w:val="bottom"/>
            <w:gridSpan w:val="2"/>
          </w:tcPr>
          <w:p>
            <w:pPr>
              <w:ind w:left="240"/>
              <w:spacing w:after="0"/>
              <w:rPr>
                <w:sz w:val="20"/>
                <w:szCs w:val="20"/>
                <w:color w:val="auto"/>
              </w:rPr>
            </w:pPr>
            <w:r>
              <w:rPr>
                <w:rFonts w:ascii="Arial" w:cs="Arial" w:eastAsia="Arial" w:hAnsi="Arial"/>
                <w:sz w:val="17"/>
                <w:szCs w:val="17"/>
                <w:color w:val="auto"/>
              </w:rPr>
              <w:t>for</w:t>
            </w:r>
          </w:p>
        </w:tc>
        <w:tc>
          <w:tcPr>
            <w:tcW w:w="540" w:type="dxa"/>
            <w:vAlign w:val="bottom"/>
          </w:tcPr>
          <w:p>
            <w:pPr>
              <w:ind w:left="280"/>
              <w:spacing w:after="0"/>
              <w:rPr>
                <w:sz w:val="20"/>
                <w:szCs w:val="20"/>
                <w:color w:val="auto"/>
              </w:rPr>
            </w:pPr>
            <w:r>
              <w:rPr>
                <w:rFonts w:ascii="Arial" w:cs="Arial" w:eastAsia="Arial" w:hAnsi="Arial"/>
                <w:sz w:val="17"/>
                <w:szCs w:val="17"/>
                <w:color w:val="auto"/>
              </w:rPr>
              <w:t>the</w:t>
            </w:r>
          </w:p>
        </w:tc>
        <w:tc>
          <w:tcPr>
            <w:tcW w:w="660" w:type="dxa"/>
            <w:vAlign w:val="bottom"/>
          </w:tcPr>
          <w:p>
            <w:pPr>
              <w:jc w:val="right"/>
              <w:spacing w:after="0"/>
              <w:rPr>
                <w:sz w:val="20"/>
                <w:szCs w:val="20"/>
                <w:color w:val="auto"/>
              </w:rPr>
            </w:pPr>
            <w:r>
              <w:rPr>
                <w:rFonts w:ascii="Arial" w:cs="Arial" w:eastAsia="Arial" w:hAnsi="Arial"/>
                <w:sz w:val="17"/>
                <w:szCs w:val="17"/>
                <w:color w:val="auto"/>
              </w:rPr>
              <w:t>fiscal</w:t>
            </w:r>
          </w:p>
        </w:tc>
        <w:tc>
          <w:tcPr>
            <w:tcW w:w="1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year</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ended</w:t>
            </w:r>
          </w:p>
        </w:tc>
        <w:tc>
          <w:tcPr>
            <w:tcW w:w="320" w:type="dxa"/>
            <w:vAlign w:val="bottom"/>
            <w:gridSpan w:val="3"/>
          </w:tcPr>
          <w:p>
            <w:pPr>
              <w:spacing w:after="0"/>
              <w:rPr>
                <w:sz w:val="20"/>
                <w:szCs w:val="20"/>
                <w:color w:val="auto"/>
              </w:rPr>
            </w:pPr>
            <w:r>
              <w:rPr>
                <w:rFonts w:ascii="Arial" w:cs="Arial" w:eastAsia="Arial" w:hAnsi="Arial"/>
                <w:sz w:val="17"/>
                <w:szCs w:val="17"/>
                <w:color w:val="auto"/>
                <w:w w:val="99"/>
              </w:rPr>
              <w:t>July</w:t>
            </w:r>
          </w:p>
        </w:tc>
        <w:tc>
          <w:tcPr>
            <w:tcW w:w="740" w:type="dxa"/>
            <w:vAlign w:val="bottom"/>
          </w:tcPr>
          <w:p>
            <w:pPr>
              <w:jc w:val="right"/>
              <w:ind w:right="174"/>
              <w:spacing w:after="0"/>
              <w:rPr>
                <w:sz w:val="20"/>
                <w:szCs w:val="20"/>
                <w:color w:val="auto"/>
              </w:rPr>
            </w:pPr>
            <w:r>
              <w:rPr>
                <w:rFonts w:ascii="Arial" w:cs="Arial" w:eastAsia="Arial" w:hAnsi="Arial"/>
                <w:sz w:val="17"/>
                <w:szCs w:val="17"/>
                <w:color w:val="auto"/>
              </w:rPr>
              <w:t>31,</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2021.</w:t>
            </w:r>
          </w:p>
        </w:tc>
        <w:tc>
          <w:tcPr>
            <w:tcW w:w="0" w:type="dxa"/>
            <w:vAlign w:val="bottom"/>
          </w:tcPr>
          <w:p>
            <w:pPr>
              <w:spacing w:after="0"/>
              <w:rPr>
                <w:sz w:val="1"/>
                <w:szCs w:val="1"/>
                <w:color w:val="auto"/>
              </w:rPr>
            </w:pPr>
          </w:p>
        </w:tc>
      </w:tr>
      <w:tr>
        <w:trPr>
          <w:trHeight w:val="235"/>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b w:val="1"/>
                <w:bCs w:val="1"/>
                <w:color w:val="auto"/>
                <w:w w:val="93"/>
              </w:rPr>
              <w:t>Three Months Ended October 31,</w:t>
            </w: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7"/>
                <w:szCs w:val="17"/>
                <w:b w:val="1"/>
                <w:bCs w:val="1"/>
                <w:color w:val="auto"/>
              </w:rPr>
              <w:t>As a %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74"/>
              <w:spacing w:after="0" w:line="162" w:lineRule="exact"/>
              <w:rPr>
                <w:sz w:val="20"/>
                <w:szCs w:val="20"/>
                <w:color w:val="auto"/>
              </w:rPr>
            </w:pPr>
            <w:r>
              <w:rPr>
                <w:rFonts w:ascii="Arial" w:cs="Arial" w:eastAsia="Arial" w:hAnsi="Arial"/>
                <w:sz w:val="17"/>
                <w:szCs w:val="17"/>
                <w:b w:val="1"/>
                <w:bCs w:val="1"/>
                <w:color w:val="auto"/>
              </w:rPr>
              <w:t>As a % of</w:t>
            </w:r>
          </w:p>
        </w:tc>
        <w:tc>
          <w:tcPr>
            <w:tcW w:w="0" w:type="dxa"/>
            <w:vAlign w:val="bottom"/>
          </w:tcPr>
          <w:p>
            <w:pPr>
              <w:spacing w:after="0"/>
              <w:rPr>
                <w:sz w:val="1"/>
                <w:szCs w:val="1"/>
                <w:color w:val="auto"/>
              </w:rPr>
            </w:pPr>
          </w:p>
        </w:tc>
      </w:tr>
      <w:tr>
        <w:trPr>
          <w:trHeight w:val="219"/>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total revenue</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b w:val="1"/>
                <w:bCs w:val="1"/>
                <w:color w:val="auto"/>
                <w:w w:val="90"/>
              </w:rPr>
              <w:t>total revenue</w:t>
            </w: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9"/>
          </w:tcPr>
          <w:p>
            <w:pPr>
              <w:jc w:val="center"/>
              <w:spacing w:after="0"/>
              <w:rPr>
                <w:sz w:val="20"/>
                <w:szCs w:val="20"/>
                <w:color w:val="auto"/>
              </w:rPr>
            </w:pPr>
            <w:r>
              <w:rPr>
                <w:rFonts w:ascii="Arial" w:cs="Arial" w:eastAsia="Arial" w:hAnsi="Arial"/>
                <w:sz w:val="17"/>
                <w:szCs w:val="17"/>
                <w:b w:val="1"/>
                <w:bCs w:val="1"/>
                <w:color w:val="auto"/>
                <w:w w:val="88"/>
              </w:rPr>
              <w:t>(in thousands, except percentages)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Revenue: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2220" w:type="dxa"/>
            <w:vAlign w:val="bottom"/>
            <w:gridSpan w:val="3"/>
          </w:tcPr>
          <w:p>
            <w:pPr>
              <w:ind w:left="140"/>
              <w:spacing w:after="0"/>
              <w:rPr>
                <w:sz w:val="20"/>
                <w:szCs w:val="20"/>
                <w:color w:val="auto"/>
              </w:rPr>
            </w:pPr>
            <w:r>
              <w:rPr>
                <w:rFonts w:ascii="Arial" w:cs="Arial" w:eastAsia="Arial" w:hAnsi="Arial"/>
                <w:sz w:val="17"/>
                <w:szCs w:val="17"/>
                <w:color w:val="auto"/>
              </w:rPr>
              <w:t>Subscription and support</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78,990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ind w:right="274"/>
              <w:spacing w:after="0"/>
              <w:rPr>
                <w:sz w:val="20"/>
                <w:szCs w:val="20"/>
                <w:color w:val="auto"/>
              </w:rPr>
            </w:pPr>
            <w:r>
              <w:rPr>
                <w:rFonts w:ascii="Arial" w:cs="Arial" w:eastAsia="Arial" w:hAnsi="Arial"/>
                <w:sz w:val="17"/>
                <w:szCs w:val="17"/>
                <w:color w:val="auto"/>
              </w:rPr>
              <w:t>48</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57,966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License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40,153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Services</w:t>
            </w: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46,791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28</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46,553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revenue</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165,934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98"/>
              </w:rPr>
              <w:t>100</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169,802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3"/>
          </w:tcPr>
          <w:p>
            <w:pPr>
              <w:ind w:left="320"/>
              <w:spacing w:after="0"/>
              <w:rPr>
                <w:sz w:val="20"/>
                <w:szCs w:val="20"/>
                <w:color w:val="auto"/>
              </w:rPr>
            </w:pPr>
            <w:r>
              <w:rPr>
                <w:rFonts w:ascii="Arial" w:cs="Arial" w:eastAsia="Arial" w:hAnsi="Arial"/>
                <w:sz w:val="17"/>
                <w:szCs w:val="17"/>
                <w:color w:val="auto"/>
              </w:rPr>
              <w:t>Cost of revenue:</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Subscription and support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50,331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License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2,339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ind w:right="274"/>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50,509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30</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51,024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rPr>
              <w:t>Total cost of revenue</w:t>
            </w:r>
          </w:p>
        </w:tc>
        <w:tc>
          <w:tcPr>
            <w:tcW w:w="4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103,179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61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90,967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3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Gross profit: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2220" w:type="dxa"/>
            <w:vAlign w:val="bottom"/>
            <w:gridSpan w:val="3"/>
          </w:tcPr>
          <w:p>
            <w:pPr>
              <w:ind w:left="140"/>
              <w:spacing w:after="0"/>
              <w:rPr>
                <w:sz w:val="20"/>
                <w:szCs w:val="20"/>
                <w:color w:val="auto"/>
              </w:rPr>
            </w:pPr>
            <w:r>
              <w:rPr>
                <w:rFonts w:ascii="Arial" w:cs="Arial" w:eastAsia="Arial" w:hAnsi="Arial"/>
                <w:sz w:val="17"/>
                <w:szCs w:val="17"/>
                <w:color w:val="auto"/>
              </w:rPr>
              <w:t>Subscription and support</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28,659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ind w:right="274"/>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20,960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License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37,814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Services</w:t>
            </w: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(3,718)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gross profit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62,755</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38</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78,835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gridSpan w:val="3"/>
          </w:tcPr>
          <w:p>
            <w:pPr>
              <w:ind w:left="320"/>
              <w:spacing w:after="0"/>
              <w:rPr>
                <w:sz w:val="20"/>
                <w:szCs w:val="20"/>
                <w:color w:val="auto"/>
              </w:rPr>
            </w:pPr>
            <w:r>
              <w:rPr>
                <w:rFonts w:ascii="Arial" w:cs="Arial" w:eastAsia="Arial" w:hAnsi="Arial"/>
                <w:sz w:val="17"/>
                <w:szCs w:val="17"/>
                <w:color w:val="auto"/>
              </w:rPr>
              <w:t>Operating expenses:</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9"/>
              </w:rPr>
              <w:t>Research and development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7"/>
                <w:szCs w:val="17"/>
                <w:color w:val="auto"/>
              </w:rPr>
              <w:t>Sales and marketing</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43,631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ind w:right="274"/>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36,644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24,575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15</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w w:val="92"/>
              </w:rPr>
              <w:t>Total operating expenses</w:t>
            </w:r>
          </w:p>
        </w:tc>
        <w:tc>
          <w:tcPr>
            <w:tcW w:w="4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128,132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77</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110,439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4"/>
            <w:shd w:val="clear" w:color="auto" w:fill="CCEEFF"/>
          </w:tcPr>
          <w:p>
            <w:pPr>
              <w:ind w:left="320"/>
              <w:spacing w:after="0"/>
              <w:rPr>
                <w:sz w:val="20"/>
                <w:szCs w:val="20"/>
                <w:color w:val="auto"/>
              </w:rPr>
            </w:pPr>
            <w:r>
              <w:rPr>
                <w:rFonts w:ascii="Arial" w:cs="Arial" w:eastAsia="Arial" w:hAnsi="Arial"/>
                <w:sz w:val="17"/>
                <w:szCs w:val="17"/>
                <w:color w:val="auto"/>
              </w:rPr>
              <w:t>Income (loss) from operations</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(65,377)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7"/>
                <w:szCs w:val="17"/>
                <w:color w:val="auto"/>
              </w:rPr>
              <w:t>Interest income</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1"/>
              </w:rPr>
              <w:t>674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w w:val="95"/>
              </w:rPr>
              <w:t>Other income (expense), net</w:t>
            </w:r>
          </w:p>
        </w:tc>
        <w:tc>
          <w:tcPr>
            <w:tcW w:w="4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1,183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gridSpan w:val="7"/>
            <w:shd w:val="clear" w:color="auto" w:fill="CCEEFF"/>
          </w:tcPr>
          <w:p>
            <w:pPr>
              <w:ind w:left="320"/>
              <w:spacing w:after="0"/>
              <w:rPr>
                <w:sz w:val="20"/>
                <w:szCs w:val="20"/>
                <w:color w:val="auto"/>
              </w:rPr>
            </w:pPr>
            <w:r>
              <w:rPr>
                <w:rFonts w:ascii="Arial" w:cs="Arial" w:eastAsia="Arial" w:hAnsi="Arial"/>
                <w:sz w:val="17"/>
                <w:szCs w:val="17"/>
                <w:color w:val="auto"/>
                <w:w w:val="95"/>
              </w:rPr>
              <w:t>Income (loss) before provision for (benefit from) income taxes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(68,314)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5"/>
          </w:tcPr>
          <w:p>
            <w:pPr>
              <w:ind w:left="140"/>
              <w:spacing w:after="0"/>
              <w:rPr>
                <w:sz w:val="20"/>
                <w:szCs w:val="20"/>
                <w:color w:val="auto"/>
              </w:rPr>
            </w:pPr>
            <w:r>
              <w:rPr>
                <w:rFonts w:ascii="Arial" w:cs="Arial" w:eastAsia="Arial" w:hAnsi="Arial"/>
                <w:sz w:val="17"/>
                <w:szCs w:val="17"/>
                <w:color w:val="auto"/>
              </w:rPr>
              <w:t>Provision for (benefit from) income taxes</w:t>
            </w:r>
          </w:p>
        </w:tc>
        <w:tc>
          <w:tcPr>
            <w:tcW w:w="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(17,038)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(10)</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Net income (loss)</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(51,276)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Revenue</w:t>
      </w:r>
    </w:p>
    <w:p>
      <w:pPr>
        <w:spacing w:after="0" w:line="94"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color w:val="auto"/>
        </w:rPr>
        <w:t>We derive our revenue primarily from delivering cloud-based services, licensing our software applications, providing support, and delivering professional services.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Subscription and Support</w:t>
      </w:r>
    </w:p>
    <w:p>
      <w:pPr>
        <w:spacing w:after="0" w:line="14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 growing portion of our revenue consists of fees for our subscription services, which are generally priced based on the amount of DWP that is managed by our subscription services. Subscription revenue is recognized ratably over the term of the arrangement,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0" w:name="page41"/>
    <w:bookmarkEnd w:id="4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w:t>
      </w:r>
    </w:p>
    <w:p>
      <w:pPr>
        <w:spacing w:after="0" w:line="5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w:t>
      </w:r>
    </w:p>
    <w:p>
      <w:pPr>
        <w:spacing w:after="0" w:line="140"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Services</w:t>
      </w:r>
    </w:p>
    <w:p>
      <w:pPr>
        <w:spacing w:after="0" w:line="140" w:lineRule="exact"/>
        <w:rPr>
          <w:sz w:val="20"/>
          <w:szCs w:val="20"/>
          <w:color w:val="auto"/>
        </w:rPr>
      </w:pPr>
    </w:p>
    <w:p>
      <w:pPr>
        <w:jc w:val="both"/>
        <w:ind w:firstLine="309"/>
        <w:spacing w:after="0" w:line="309" w:lineRule="auto"/>
        <w:rPr>
          <w:sz w:val="20"/>
          <w:szCs w:val="20"/>
          <w:color w:val="auto"/>
        </w:rPr>
      </w:pPr>
      <w:r>
        <w:rPr>
          <w:rFonts w:ascii="Arial" w:cs="Arial" w:eastAsia="Arial" w:hAnsi="Arial"/>
          <w:sz w:val="15"/>
          <w:szCs w:val="15"/>
          <w:color w:val="auto"/>
        </w:rPr>
        <w:t>Our services revenue is primarily derived from implementation and migration services performed for our customers, reimbursable travel expenses, and training fees. A substantial majority of our services engagements are billed and revenue is recognized on a time and materials basis upon providing our services.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ind w:left="340"/>
              <w:spacing w:after="0"/>
              <w:rPr>
                <w:sz w:val="20"/>
                <w:szCs w:val="20"/>
                <w:color w:val="auto"/>
              </w:rPr>
            </w:pPr>
            <w:r>
              <w:rPr>
                <w:rFonts w:ascii="Arial" w:cs="Arial" w:eastAsia="Arial" w:hAnsi="Arial"/>
                <w:sz w:val="17"/>
                <w:szCs w:val="17"/>
                <w:b w:val="1"/>
                <w:bCs w:val="1"/>
                <w:color w:val="auto"/>
                <w:w w:val="96"/>
              </w:rPr>
              <w:t>Three Months Ended October 31,</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7"/>
                <w:szCs w:val="17"/>
                <w:b w:val="1"/>
                <w:bCs w:val="1"/>
                <w:color w:val="auto"/>
                <w:w w:val="95"/>
              </w:rPr>
              <w:t>2021</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7"/>
                <w:szCs w:val="17"/>
                <w:b w:val="1"/>
                <w:bCs w:val="1"/>
                <w:color w:val="auto"/>
                <w:w w:val="95"/>
              </w:rPr>
              <w:t>2020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700"/>
              <w:spacing w:after="0"/>
              <w:rPr>
                <w:sz w:val="20"/>
                <w:szCs w:val="20"/>
                <w:color w:val="auto"/>
              </w:rPr>
            </w:pPr>
            <w:r>
              <w:rPr>
                <w:rFonts w:ascii="Arial" w:cs="Arial" w:eastAsia="Arial" w:hAnsi="Arial"/>
                <w:sz w:val="17"/>
                <w:szCs w:val="17"/>
                <w:b w:val="1"/>
                <w:bCs w:val="1"/>
                <w:color w:val="auto"/>
                <w:w w:val="99"/>
              </w:rPr>
              <w:t>Change</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54"/>
              <w:spacing w:after="0" w:line="161" w:lineRule="exact"/>
              <w:rPr>
                <w:sz w:val="20"/>
                <w:szCs w:val="20"/>
                <w:color w:val="auto"/>
              </w:rPr>
            </w:pPr>
            <w:r>
              <w:rPr>
                <w:rFonts w:ascii="Arial" w:cs="Arial" w:eastAsia="Arial" w:hAnsi="Arial"/>
                <w:sz w:val="17"/>
                <w:szCs w:val="17"/>
                <w:b w:val="1"/>
                <w:bCs w:val="1"/>
                <w:color w:val="auto"/>
              </w:rPr>
              <w:t>As a % of</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74"/>
              <w:spacing w:after="0" w:line="161" w:lineRule="exact"/>
              <w:rPr>
                <w:sz w:val="20"/>
                <w:szCs w:val="20"/>
                <w:color w:val="auto"/>
              </w:rPr>
            </w:pPr>
            <w:r>
              <w:rPr>
                <w:rFonts w:ascii="Arial" w:cs="Arial" w:eastAsia="Arial" w:hAnsi="Arial"/>
                <w:sz w:val="17"/>
                <w:szCs w:val="17"/>
                <w:b w:val="1"/>
                <w:bCs w:val="1"/>
                <w:color w:val="auto"/>
              </w:rPr>
              <w:t>As a % of</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w w:val="99"/>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34"/>
              <w:spacing w:after="0" w:line="167" w:lineRule="exact"/>
              <w:rPr>
                <w:sz w:val="20"/>
                <w:szCs w:val="20"/>
                <w:color w:val="auto"/>
              </w:rPr>
            </w:pPr>
            <w:r>
              <w:rPr>
                <w:rFonts w:ascii="Arial" w:cs="Arial" w:eastAsia="Arial" w:hAnsi="Arial"/>
                <w:sz w:val="17"/>
                <w:szCs w:val="17"/>
                <w:b w:val="1"/>
                <w:bCs w:val="1"/>
                <w:color w:val="auto"/>
              </w:rPr>
              <w:t>total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54"/>
              <w:spacing w:after="0" w:line="167" w:lineRule="exact"/>
              <w:rPr>
                <w:sz w:val="20"/>
                <w:szCs w:val="20"/>
                <w:color w:val="auto"/>
              </w:rPr>
            </w:pPr>
            <w:r>
              <w:rPr>
                <w:rFonts w:ascii="Arial" w:cs="Arial" w:eastAsia="Arial" w:hAnsi="Arial"/>
                <w:sz w:val="17"/>
                <w:szCs w:val="17"/>
                <w:b w:val="1"/>
                <w:bCs w:val="1"/>
                <w:color w:val="auto"/>
              </w:rPr>
              <w:t>total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spacing w:after="0"/>
              <w:rPr>
                <w:sz w:val="14"/>
                <w:szCs w:val="14"/>
                <w:color w:val="auto"/>
              </w:rPr>
            </w:pPr>
          </w:p>
        </w:tc>
        <w:tc>
          <w:tcPr>
            <w:tcW w:w="60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6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14"/>
              <w:spacing w:after="0"/>
              <w:rPr>
                <w:sz w:val="20"/>
                <w:szCs w:val="20"/>
                <w:color w:val="auto"/>
              </w:rPr>
            </w:pPr>
            <w:r>
              <w:rPr>
                <w:rFonts w:ascii="Arial" w:cs="Arial" w:eastAsia="Arial" w:hAnsi="Arial"/>
                <w:sz w:val="17"/>
                <w:szCs w:val="17"/>
                <w:b w:val="1"/>
                <w:bCs w:val="1"/>
                <w:color w:val="auto"/>
                <w:w w:val="88"/>
              </w:rPr>
              <w:t>revenue</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revenue</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gridSpan w:val="7"/>
          </w:tcPr>
          <w:p>
            <w:pPr>
              <w:ind w:left="320"/>
              <w:spacing w:after="0"/>
              <w:rPr>
                <w:sz w:val="20"/>
                <w:szCs w:val="20"/>
                <w:color w:val="auto"/>
              </w:rPr>
            </w:pPr>
            <w:r>
              <w:rPr>
                <w:rFonts w:ascii="Arial" w:cs="Arial" w:eastAsia="Arial" w:hAnsi="Arial"/>
                <w:sz w:val="17"/>
                <w:szCs w:val="17"/>
                <w:b w:val="1"/>
                <w:bCs w:val="1"/>
                <w:color w:val="auto"/>
                <w:w w:val="91"/>
              </w:rPr>
              <w:t>(in thousands, except percentages)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80" w:type="dxa"/>
            <w:vAlign w:val="bottom"/>
          </w:tcPr>
          <w:p>
            <w:pPr>
              <w:ind w:left="320"/>
              <w:spacing w:after="0"/>
              <w:rPr>
                <w:sz w:val="20"/>
                <w:szCs w:val="20"/>
                <w:color w:val="auto"/>
              </w:rPr>
            </w:pPr>
            <w:r>
              <w:rPr>
                <w:rFonts w:ascii="Arial" w:cs="Arial" w:eastAsia="Arial" w:hAnsi="Arial"/>
                <w:sz w:val="17"/>
                <w:szCs w:val="17"/>
                <w:color w:val="auto"/>
              </w:rPr>
              <w:t>Revenue:</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Subscription and support: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80" w:type="dxa"/>
            <w:vAlign w:val="bottom"/>
          </w:tcPr>
          <w:p>
            <w:pPr>
              <w:ind w:left="640"/>
              <w:spacing w:after="0"/>
              <w:rPr>
                <w:sz w:val="20"/>
                <w:szCs w:val="20"/>
                <w:color w:val="auto"/>
              </w:rPr>
            </w:pPr>
            <w:r>
              <w:rPr>
                <w:rFonts w:ascii="Arial" w:cs="Arial" w:eastAsia="Arial" w:hAnsi="Arial"/>
                <w:sz w:val="17"/>
                <w:szCs w:val="17"/>
                <w:color w:val="auto"/>
              </w:rPr>
              <w:t>Subscription</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57,129</w:t>
            </w:r>
          </w:p>
        </w:tc>
        <w:tc>
          <w:tcPr>
            <w:tcW w:w="1180" w:type="dxa"/>
            <w:vAlign w:val="bottom"/>
            <w:gridSpan w:val="3"/>
          </w:tcPr>
          <w:p>
            <w:pPr>
              <w:jc w:val="center"/>
              <w:ind w:left="394"/>
              <w:spacing w:after="0"/>
              <w:rPr>
                <w:sz w:val="20"/>
                <w:szCs w:val="20"/>
                <w:color w:val="auto"/>
              </w:rPr>
            </w:pPr>
            <w:r>
              <w:rPr>
                <w:rFonts w:ascii="Arial" w:cs="Arial" w:eastAsia="Arial" w:hAnsi="Arial"/>
                <w:sz w:val="17"/>
                <w:szCs w:val="17"/>
                <w:color w:val="auto"/>
                <w:w w:val="94"/>
              </w:rPr>
              <w:t>34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37,230</w:t>
            </w:r>
          </w:p>
        </w:tc>
        <w:tc>
          <w:tcPr>
            <w:tcW w:w="1200" w:type="dxa"/>
            <w:vAlign w:val="bottom"/>
            <w:gridSpan w:val="3"/>
          </w:tcPr>
          <w:p>
            <w:pPr>
              <w:jc w:val="right"/>
              <w:ind w:right="174"/>
              <w:spacing w:after="0"/>
              <w:rPr>
                <w:sz w:val="20"/>
                <w:szCs w:val="20"/>
                <w:color w:val="auto"/>
              </w:rPr>
            </w:pPr>
            <w:r>
              <w:rPr>
                <w:rFonts w:ascii="Arial" w:cs="Arial" w:eastAsia="Arial" w:hAnsi="Arial"/>
                <w:sz w:val="17"/>
                <w:szCs w:val="17"/>
                <w:color w:val="auto"/>
              </w:rPr>
              <w:t>22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19,899</w:t>
            </w:r>
          </w:p>
        </w:tc>
        <w:tc>
          <w:tcPr>
            <w:tcW w:w="560" w:type="dxa"/>
            <w:vAlign w:val="bottom"/>
          </w:tcPr>
          <w:p>
            <w:pPr>
              <w:spacing w:after="0"/>
              <w:rPr>
                <w:sz w:val="18"/>
                <w:szCs w:val="18"/>
                <w:color w:val="auto"/>
              </w:rPr>
            </w:pPr>
          </w:p>
        </w:tc>
        <w:tc>
          <w:tcPr>
            <w:tcW w:w="600" w:type="dxa"/>
            <w:vAlign w:val="bottom"/>
          </w:tcPr>
          <w:p>
            <w:pPr>
              <w:jc w:val="right"/>
              <w:ind w:right="174"/>
              <w:spacing w:after="0"/>
              <w:rPr>
                <w:sz w:val="20"/>
                <w:szCs w:val="20"/>
                <w:color w:val="auto"/>
              </w:rPr>
            </w:pPr>
            <w:r>
              <w:rPr>
                <w:rFonts w:ascii="Arial" w:cs="Arial" w:eastAsia="Arial" w:hAnsi="Arial"/>
                <w:sz w:val="17"/>
                <w:szCs w:val="17"/>
                <w:color w:val="auto"/>
              </w:rPr>
              <w:t>53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Support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21,861</w:t>
            </w:r>
          </w:p>
        </w:tc>
        <w:tc>
          <w:tcPr>
            <w:tcW w:w="1180" w:type="dxa"/>
            <w:vAlign w:val="bottom"/>
            <w:gridSpan w:val="3"/>
            <w:shd w:val="clear" w:color="auto" w:fill="CCEEFF"/>
          </w:tcPr>
          <w:p>
            <w:pPr>
              <w:jc w:val="center"/>
              <w:ind w:left="394"/>
              <w:spacing w:after="0"/>
              <w:rPr>
                <w:sz w:val="20"/>
                <w:szCs w:val="20"/>
                <w:color w:val="auto"/>
              </w:rPr>
            </w:pPr>
            <w:r>
              <w:rPr>
                <w:rFonts w:ascii="Arial" w:cs="Arial" w:eastAsia="Arial" w:hAnsi="Arial"/>
                <w:sz w:val="17"/>
                <w:szCs w:val="17"/>
                <w:color w:val="auto"/>
                <w:w w:val="94"/>
              </w:rPr>
              <w:t>13</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20,736</w:t>
            </w:r>
          </w:p>
        </w:tc>
        <w:tc>
          <w:tcPr>
            <w:tcW w:w="1200" w:type="dxa"/>
            <w:vAlign w:val="bottom"/>
            <w:gridSpan w:val="3"/>
            <w:shd w:val="clear" w:color="auto" w:fill="CCEEFF"/>
          </w:tcPr>
          <w:p>
            <w:pPr>
              <w:jc w:val="right"/>
              <w:ind w:right="174"/>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680" w:type="dxa"/>
            <w:vAlign w:val="bottom"/>
          </w:tcPr>
          <w:p>
            <w:pPr>
              <w:ind w:left="440"/>
              <w:spacing w:after="0"/>
              <w:rPr>
                <w:sz w:val="20"/>
                <w:szCs w:val="20"/>
                <w:color w:val="auto"/>
              </w:rPr>
            </w:pPr>
            <w:r>
              <w:rPr>
                <w:rFonts w:ascii="Arial" w:cs="Arial" w:eastAsia="Arial" w:hAnsi="Arial"/>
                <w:sz w:val="17"/>
                <w:szCs w:val="17"/>
                <w:color w:val="auto"/>
              </w:rPr>
              <w:t>License:</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Term license</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40,105</w:t>
            </w:r>
          </w:p>
        </w:tc>
        <w:tc>
          <w:tcPr>
            <w:tcW w:w="1180" w:type="dxa"/>
            <w:vAlign w:val="bottom"/>
            <w:gridSpan w:val="3"/>
            <w:shd w:val="clear" w:color="auto" w:fill="CCEEFF"/>
          </w:tcPr>
          <w:p>
            <w:pPr>
              <w:jc w:val="center"/>
              <w:ind w:left="394"/>
              <w:spacing w:after="0"/>
              <w:rPr>
                <w:sz w:val="20"/>
                <w:szCs w:val="20"/>
                <w:color w:val="auto"/>
              </w:rPr>
            </w:pPr>
            <w:r>
              <w:rPr>
                <w:rFonts w:ascii="Arial" w:cs="Arial" w:eastAsia="Arial" w:hAnsi="Arial"/>
                <w:sz w:val="17"/>
                <w:szCs w:val="17"/>
                <w:color w:val="auto"/>
                <w:w w:val="94"/>
              </w:rPr>
              <w:t>24</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65,225</w:t>
            </w:r>
          </w:p>
        </w:tc>
        <w:tc>
          <w:tcPr>
            <w:tcW w:w="1200" w:type="dxa"/>
            <w:vAlign w:val="bottom"/>
            <w:gridSpan w:val="3"/>
            <w:shd w:val="clear" w:color="auto" w:fill="CCEEFF"/>
          </w:tcPr>
          <w:p>
            <w:pPr>
              <w:jc w:val="right"/>
              <w:ind w:right="174"/>
              <w:spacing w:after="0"/>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(25,120)</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680" w:type="dxa"/>
            <w:vAlign w:val="bottom"/>
          </w:tcPr>
          <w:p>
            <w:pPr>
              <w:ind w:left="660"/>
              <w:spacing w:after="0"/>
              <w:rPr>
                <w:sz w:val="20"/>
                <w:szCs w:val="20"/>
                <w:color w:val="auto"/>
              </w:rPr>
            </w:pPr>
            <w:r>
              <w:rPr>
                <w:rFonts w:ascii="Arial" w:cs="Arial" w:eastAsia="Arial" w:hAnsi="Arial"/>
                <w:sz w:val="17"/>
                <w:szCs w:val="17"/>
                <w:color w:val="auto"/>
              </w:rPr>
              <w:t>Perpetual license</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left="25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56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7"/>
                <w:szCs w:val="17"/>
                <w:color w:val="auto"/>
              </w:rPr>
              <w:t>(17)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Services</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54"/>
              <w:spacing w:after="0"/>
              <w:rPr>
                <w:sz w:val="20"/>
                <w:szCs w:val="20"/>
                <w:color w:val="auto"/>
              </w:rPr>
            </w:pPr>
            <w:r>
              <w:rPr>
                <w:rFonts w:ascii="Arial" w:cs="Arial" w:eastAsia="Arial" w:hAnsi="Arial"/>
                <w:sz w:val="17"/>
                <w:szCs w:val="17"/>
                <w:color w:val="auto"/>
                <w:w w:val="94"/>
              </w:rPr>
              <w:t>28</w:t>
            </w: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46,553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28</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680" w:type="dxa"/>
            <w:vAlign w:val="bottom"/>
          </w:tcPr>
          <w:p>
            <w:pPr>
              <w:ind w:left="520"/>
              <w:spacing w:after="0"/>
              <w:rPr>
                <w:sz w:val="20"/>
                <w:szCs w:val="20"/>
                <w:color w:val="auto"/>
              </w:rPr>
            </w:pPr>
            <w:r>
              <w:rPr>
                <w:rFonts w:ascii="Arial" w:cs="Arial" w:eastAsia="Arial" w:hAnsi="Arial"/>
                <w:sz w:val="17"/>
                <w:szCs w:val="17"/>
                <w:color w:val="auto"/>
              </w:rPr>
              <w:t>Total revenue</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165,934</w:t>
            </w:r>
          </w:p>
        </w:tc>
        <w:tc>
          <w:tcPr>
            <w:tcW w:w="1180" w:type="dxa"/>
            <w:vAlign w:val="bottom"/>
            <w:gridSpan w:val="3"/>
          </w:tcPr>
          <w:p>
            <w:pPr>
              <w:jc w:val="center"/>
              <w:ind w:left="394"/>
              <w:spacing w:after="0"/>
              <w:rPr>
                <w:sz w:val="20"/>
                <w:szCs w:val="20"/>
                <w:color w:val="auto"/>
              </w:rPr>
            </w:pPr>
            <w:r>
              <w:rPr>
                <w:rFonts w:ascii="Arial" w:cs="Arial" w:eastAsia="Arial" w:hAnsi="Arial"/>
                <w:sz w:val="17"/>
                <w:szCs w:val="17"/>
                <w:color w:val="auto"/>
                <w:w w:val="94"/>
              </w:rPr>
              <w:t>99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169,802</w:t>
            </w:r>
          </w:p>
        </w:tc>
        <w:tc>
          <w:tcPr>
            <w:tcW w:w="1200" w:type="dxa"/>
            <w:vAlign w:val="bottom"/>
            <w:gridSpan w:val="3"/>
          </w:tcPr>
          <w:p>
            <w:pPr>
              <w:jc w:val="right"/>
              <w:ind w:right="174"/>
              <w:spacing w:after="0"/>
              <w:rPr>
                <w:sz w:val="20"/>
                <w:szCs w:val="20"/>
                <w:color w:val="auto"/>
              </w:rPr>
            </w:pPr>
            <w:r>
              <w:rPr>
                <w:rFonts w:ascii="Arial" w:cs="Arial" w:eastAsia="Arial" w:hAnsi="Arial"/>
                <w:sz w:val="17"/>
                <w:szCs w:val="17"/>
                <w:color w:val="auto"/>
              </w:rPr>
              <w:t>100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(3,868)</w:t>
            </w:r>
          </w:p>
        </w:tc>
        <w:tc>
          <w:tcPr>
            <w:tcW w:w="560" w:type="dxa"/>
            <w:vAlign w:val="bottom"/>
          </w:tcPr>
          <w:p>
            <w:pPr>
              <w:spacing w:after="0"/>
              <w:rPr>
                <w:sz w:val="18"/>
                <w:szCs w:val="18"/>
                <w:color w:val="auto"/>
              </w:rPr>
            </w:pPr>
          </w:p>
        </w:tc>
        <w:tc>
          <w:tcPr>
            <w:tcW w:w="600" w:type="dxa"/>
            <w:vAlign w:val="bottom"/>
          </w:tcPr>
          <w:p>
            <w:pPr>
              <w:jc w:val="right"/>
              <w:ind w:right="134"/>
              <w:spacing w:after="0"/>
              <w:rPr>
                <w:sz w:val="20"/>
                <w:szCs w:val="20"/>
                <w:color w:val="auto"/>
              </w:rPr>
            </w:pPr>
            <w:r>
              <w:rPr>
                <w:rFonts w:ascii="Arial" w:cs="Arial" w:eastAsia="Arial" w:hAnsi="Arial"/>
                <w:sz w:val="17"/>
                <w:szCs w:val="17"/>
                <w:color w:val="auto"/>
              </w:rPr>
              <w:t>(2)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Subscription and Support</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If we complete a higher percentage of subscription arrangements in a given period, our short-term growth rates will be negatively impacted. Due to the seasonal nature of our business, the impact of new subscription orders in the fourth fiscal quarter, our historically largest quarter for new orders, is not reflected in revenues until the following fiscal year.</w:t>
      </w:r>
    </w:p>
    <w:p>
      <w:pPr>
        <w:spacing w:after="0" w:line="52" w:lineRule="exact"/>
        <w:rPr>
          <w:sz w:val="20"/>
          <w:szCs w:val="20"/>
          <w:color w:val="auto"/>
        </w:rPr>
      </w:pPr>
    </w:p>
    <w:p>
      <w:pPr>
        <w:jc w:val="both"/>
        <w:ind w:firstLine="309"/>
        <w:spacing w:after="0" w:line="312" w:lineRule="auto"/>
        <w:rPr>
          <w:sz w:val="20"/>
          <w:szCs w:val="20"/>
          <w:color w:val="auto"/>
        </w:rPr>
      </w:pPr>
      <w:r>
        <w:rPr>
          <w:rFonts w:ascii="Arial" w:cs="Arial" w:eastAsia="Arial" w:hAnsi="Arial"/>
          <w:sz w:val="16"/>
          <w:szCs w:val="16"/>
          <w:color w:val="auto"/>
        </w:rPr>
        <w:t>Subscription revenue increased by $19.9 million during the three months ended October 31, 2021 compared to the same period a year ago, primarily due to the impact of new cloud transition agreements for InsuranceSuite via Guidewire Cloud entered into and provisioned since October 31, 2020.</w:t>
      </w:r>
    </w:p>
    <w:p>
      <w:pPr>
        <w:spacing w:after="0" w:line="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Support revenue increased by $1.1 million during the three months ended October 31, 2021 compared to the same period a year ago, primarily due to an increase in extended support related to certain versions of our self-managed licenses of $0.8 million. Support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1" w:name="page42"/>
    <w:bookmarkEnd w:id="41"/>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License</w:t>
      </w:r>
    </w:p>
    <w:p>
      <w:pPr>
        <w:spacing w:after="0" w:line="15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will be negatively impacted as subscription sales increase as a percentage of total new sales and as customers migrate from term licenses to subscription services instead of renewing their term licenses.</w:t>
      </w:r>
    </w:p>
    <w:p>
      <w:pPr>
        <w:spacing w:after="0" w:line="67" w:lineRule="exact"/>
        <w:rPr>
          <w:sz w:val="20"/>
          <w:szCs w:val="20"/>
          <w:color w:val="auto"/>
        </w:rPr>
      </w:pPr>
    </w:p>
    <w:p>
      <w:pPr>
        <w:jc w:val="both"/>
        <w:ind w:firstLine="309"/>
        <w:spacing w:after="0" w:line="318" w:lineRule="auto"/>
        <w:rPr>
          <w:sz w:val="20"/>
          <w:szCs w:val="20"/>
          <w:color w:val="auto"/>
        </w:rPr>
      </w:pPr>
      <w:r>
        <w:rPr>
          <w:rFonts w:ascii="Arial" w:cs="Arial" w:eastAsia="Arial" w:hAnsi="Arial"/>
          <w:sz w:val="15"/>
          <w:szCs w:val="15"/>
          <w:color w:val="auto"/>
        </w:rPr>
        <w:t>Term license revenue decreased by $25.1 million during the three months ended October 31, 2021 compared to the prior year period, primarily due to a large multi-year term license renewal in the three months ended October 31, 2020. There was no impact of term license contracts with an initial term of greater than two years or a renewal term of greater than one year during the three months ended October 31, 2021 compared with $15.4 million in the prior year period.</w:t>
      </w:r>
    </w:p>
    <w:p>
      <w:pPr>
        <w:spacing w:after="0" w:line="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Perpetual license revenue accounted for less than 1% of total revenue during the three months ended October 31, 2021.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Services</w:t>
      </w:r>
    </w:p>
    <w:p>
      <w:pPr>
        <w:spacing w:after="0" w:line="1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Services revenue increased by $0.2 million during the three months ended October 31, 2021 compared to the same period a year ago. The increase is primarily driven by higher training revenue, but services revenue overall continues to be impacted by contracts with lower average services billing rates and increased investments in customer implementations, including fixed fee or capped arrangements, to accelerate their transition to the cloud. In these arrangements when a project extends longer than originally anticipated, the average billing rate we recognize may decrease which can result in revenue adjustments and lower gross profit.</w:t>
      </w:r>
    </w:p>
    <w:p>
      <w:pPr>
        <w:spacing w:after="0" w:line="5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expect modestly higher levels of variability in our services revenue in future periods. As we successfully leverage our SI partners to lead more implementations, our services revenue could decrease further. We expect challenges related to COVID-19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margins.</w:t>
      </w: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Revenue and Gross Profit</w:t>
      </w:r>
    </w:p>
    <w:p>
      <w:pPr>
        <w:spacing w:after="0" w:line="10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cost of subscription and support revenue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54" w:lineRule="exact"/>
        <w:rPr>
          <w:sz w:val="20"/>
          <w:szCs w:val="20"/>
          <w:color w:val="auto"/>
        </w:rPr>
      </w:pPr>
    </w:p>
    <w:p>
      <w:pPr>
        <w:jc w:val="both"/>
        <w:ind w:firstLine="309"/>
        <w:spacing w:after="0" w:line="312" w:lineRule="auto"/>
        <w:rPr>
          <w:sz w:val="20"/>
          <w:szCs w:val="20"/>
          <w:color w:val="auto"/>
        </w:rPr>
      </w:pPr>
      <w:r>
        <w:rPr>
          <w:rFonts w:ascii="Arial" w:cs="Arial" w:eastAsia="Arial" w:hAnsi="Arial"/>
          <w:sz w:val="16"/>
          <w:szCs w:val="16"/>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2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726"/>
        </w:trPr>
        <w:tc>
          <w:tcPr>
            <w:tcW w:w="320" w:type="dxa"/>
            <w:vAlign w:val="bottom"/>
          </w:tcPr>
          <w:p>
            <w:pPr>
              <w:spacing w:after="0"/>
              <w:rPr>
                <w:sz w:val="24"/>
                <w:szCs w:val="24"/>
                <w:color w:val="auto"/>
              </w:rPr>
            </w:pPr>
          </w:p>
        </w:tc>
        <w:tc>
          <w:tcPr>
            <w:tcW w:w="3640" w:type="dxa"/>
            <w:vAlign w:val="bottom"/>
            <w:gridSpan w:val="2"/>
          </w:tcPr>
          <w:p>
            <w:pPr>
              <w:ind w:left="60"/>
              <w:spacing w:after="0"/>
              <w:rPr>
                <w:sz w:val="20"/>
                <w:szCs w:val="20"/>
                <w:color w:val="auto"/>
              </w:rPr>
            </w:pPr>
            <w:r>
              <w:rPr>
                <w:rFonts w:ascii="Arial" w:cs="Arial" w:eastAsia="Arial" w:hAnsi="Arial"/>
                <w:sz w:val="17"/>
                <w:szCs w:val="17"/>
                <w:b w:val="1"/>
                <w:bCs w:val="1"/>
                <w:i w:val="1"/>
                <w:iCs w:val="1"/>
                <w:color w:val="auto"/>
              </w:rPr>
              <w:t>Cost of Revenue:</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6"/>
        </w:trPr>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7"/>
                <w:szCs w:val="17"/>
                <w:b w:val="1"/>
                <w:bCs w:val="1"/>
                <w:color w:val="auto"/>
                <w:w w:val="95"/>
              </w:rPr>
              <w:t>Three Months Ended October 31,</w:t>
            </w:r>
          </w:p>
        </w:tc>
        <w:tc>
          <w:tcPr>
            <w:tcW w:w="1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213"/>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w w:val="89"/>
              </w:rPr>
              <w:t>Change</w:t>
            </w:r>
          </w:p>
        </w:tc>
        <w:tc>
          <w:tcPr>
            <w:tcW w:w="320" w:type="dxa"/>
            <w:vAlign w:val="bottom"/>
            <w:tcBorders>
              <w:bottom w:val="single" w:sz="8" w:color="auto"/>
            </w:tcBorders>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Amount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Amount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4"/>
          </w:tcPr>
          <w:p>
            <w:pPr>
              <w:jc w:val="right"/>
              <w:ind w:right="294"/>
              <w:spacing w:after="0"/>
              <w:rPr>
                <w:sz w:val="20"/>
                <w:szCs w:val="20"/>
                <w:color w:val="auto"/>
              </w:rPr>
            </w:pPr>
            <w:r>
              <w:rPr>
                <w:rFonts w:ascii="Arial" w:cs="Arial" w:eastAsia="Arial" w:hAnsi="Arial"/>
                <w:sz w:val="17"/>
                <w:szCs w:val="17"/>
                <w:b w:val="1"/>
                <w:bCs w:val="1"/>
                <w:color w:val="auto"/>
                <w:w w:val="89"/>
              </w:rPr>
              <w:t>(in thousands, except percentages)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3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Cost of revenue:</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18"/>
        </w:trPr>
        <w:tc>
          <w:tcPr>
            <w:tcW w:w="3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7"/>
                <w:szCs w:val="17"/>
                <w:color w:val="auto"/>
              </w:rPr>
              <w:t>Subscription and support</w:t>
            </w:r>
          </w:p>
        </w:tc>
        <w:tc>
          <w:tcPr>
            <w:tcW w:w="6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50,331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37,006</w:t>
            </w:r>
          </w:p>
        </w:tc>
        <w:tc>
          <w:tcPr>
            <w:tcW w:w="10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13,325</w:t>
            </w:r>
          </w:p>
        </w:tc>
        <w:tc>
          <w:tcPr>
            <w:tcW w:w="1500" w:type="dxa"/>
            <w:vAlign w:val="bottom"/>
          </w:tcPr>
          <w:p>
            <w:pPr>
              <w:jc w:val="right"/>
              <w:ind w:right="194"/>
              <w:spacing w:after="0"/>
              <w:rPr>
                <w:sz w:val="20"/>
                <w:szCs w:val="20"/>
                <w:color w:val="auto"/>
              </w:rPr>
            </w:pPr>
            <w:r>
              <w:rPr>
                <w:rFonts w:ascii="Arial" w:cs="Arial" w:eastAsia="Arial" w:hAnsi="Arial"/>
                <w:sz w:val="17"/>
                <w:szCs w:val="17"/>
                <w:color w:val="auto"/>
              </w:rPr>
              <w:t>36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License</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w:t>
            </w:r>
          </w:p>
        </w:tc>
        <w:tc>
          <w:tcPr>
            <w:tcW w:w="320" w:type="dxa"/>
            <w:vAlign w:val="bottom"/>
            <w:shd w:val="clear" w:color="auto" w:fill="CCEEFF"/>
          </w:tcPr>
          <w:p>
            <w:pPr>
              <w:spacing w:after="0"/>
              <w:rPr>
                <w:sz w:val="19"/>
                <w:szCs w:val="19"/>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Services</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50,509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51,024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1500" w:type="dxa"/>
            <w:vAlign w:val="bottom"/>
            <w:tcBorders>
              <w:bottom w:val="single" w:sz="8" w:color="CCEEFF"/>
            </w:tcBorders>
          </w:tcPr>
          <w:p>
            <w:pPr>
              <w:jc w:val="right"/>
              <w:ind w:right="134"/>
              <w:spacing w:after="0"/>
              <w:rPr>
                <w:sz w:val="20"/>
                <w:szCs w:val="20"/>
                <w:color w:val="auto"/>
              </w:rPr>
            </w:pPr>
            <w:r>
              <w:rPr>
                <w:rFonts w:ascii="Arial" w:cs="Arial" w:eastAsia="Arial" w:hAnsi="Arial"/>
                <w:sz w:val="17"/>
                <w:szCs w:val="17"/>
                <w:color w:val="auto"/>
              </w:rPr>
              <w:t>(1)</w:t>
            </w:r>
          </w:p>
        </w:tc>
        <w:tc>
          <w:tcPr>
            <w:tcW w:w="320" w:type="dxa"/>
            <w:vAlign w:val="bottom"/>
            <w:tcBorders>
              <w:bottom w:val="single" w:sz="8" w:color="CCEEFF"/>
            </w:tcBorders>
          </w:tcPr>
          <w:p>
            <w:pPr>
              <w:spacing w:after="0"/>
              <w:rPr>
                <w:sz w:val="18"/>
                <w:szCs w:val="18"/>
                <w:color w:val="auto"/>
              </w:rPr>
            </w:pPr>
          </w:p>
        </w:tc>
      </w:tr>
      <w:tr>
        <w:trPr>
          <w:trHeight w:val="238"/>
        </w:trPr>
        <w:tc>
          <w:tcPr>
            <w:tcW w:w="3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cost of revenue</w:t>
            </w:r>
          </w:p>
        </w:tc>
        <w:tc>
          <w:tcPr>
            <w:tcW w:w="6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103,179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90,967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12,212</w:t>
            </w:r>
          </w:p>
        </w:tc>
        <w:tc>
          <w:tcPr>
            <w:tcW w:w="15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13</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r>
        <w:trPr>
          <w:trHeight w:val="49"/>
        </w:trPr>
        <w:tc>
          <w:tcPr>
            <w:tcW w:w="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19"/>
        </w:trPr>
        <w:tc>
          <w:tcPr>
            <w:tcW w:w="3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Includes stock-based compensation of:</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18"/>
        </w:trPr>
        <w:tc>
          <w:tcPr>
            <w:tcW w:w="320" w:type="dxa"/>
            <w:vAlign w:val="bottom"/>
          </w:tcPr>
          <w:p>
            <w:pPr>
              <w:spacing w:after="0"/>
              <w:rPr>
                <w:sz w:val="18"/>
                <w:szCs w:val="18"/>
                <w:color w:val="auto"/>
              </w:rPr>
            </w:pPr>
          </w:p>
        </w:tc>
        <w:tc>
          <w:tcPr>
            <w:tcW w:w="3640" w:type="dxa"/>
            <w:vAlign w:val="bottom"/>
            <w:gridSpan w:val="2"/>
          </w:tcPr>
          <w:p>
            <w:pPr>
              <w:ind w:left="440"/>
              <w:spacing w:after="0"/>
              <w:rPr>
                <w:sz w:val="20"/>
                <w:szCs w:val="20"/>
                <w:color w:val="auto"/>
              </w:rPr>
            </w:pPr>
            <w:r>
              <w:rPr>
                <w:rFonts w:ascii="Arial" w:cs="Arial" w:eastAsia="Arial" w:hAnsi="Arial"/>
                <w:sz w:val="17"/>
                <w:szCs w:val="17"/>
                <w:color w:val="auto"/>
              </w:rPr>
              <w:t>Cost of subscription and support revenue</w:t>
            </w:r>
          </w:p>
        </w:tc>
        <w:tc>
          <w:tcPr>
            <w:tcW w:w="6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3,348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2,602</w:t>
            </w:r>
          </w:p>
        </w:tc>
        <w:tc>
          <w:tcPr>
            <w:tcW w:w="10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746</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3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Cost of license revenue</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440"/>
              <w:spacing w:after="0"/>
              <w:rPr>
                <w:sz w:val="20"/>
                <w:szCs w:val="20"/>
                <w:color w:val="auto"/>
              </w:rPr>
            </w:pPr>
            <w:r>
              <w:rPr>
                <w:rFonts w:ascii="Arial" w:cs="Arial" w:eastAsia="Arial" w:hAnsi="Arial"/>
                <w:sz w:val="17"/>
                <w:szCs w:val="17"/>
                <w:color w:val="auto"/>
              </w:rPr>
              <w:t>Cost of services revenue</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5,543</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5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r>
      <w:tr>
        <w:trPr>
          <w:trHeight w:val="238"/>
        </w:trPr>
        <w:tc>
          <w:tcPr>
            <w:tcW w:w="3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Total</w:t>
            </w:r>
          </w:p>
        </w:tc>
        <w:tc>
          <w:tcPr>
            <w:tcW w:w="6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15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Cost of subscription and support revenue during the three months ended October 31, 2021 increased by $13.3 million compared to the same period a year ago. The increase is primarily due to increases in personnel costs of $8.2 million due to our continued investment in our cloud operations to increase operational efficiency and scale, cloud infrastructure expense of $6.5 million for our growing cloud customer base, higher amortization of previously capitalized software development costs of $0.5 million, and professional services expense of $0.4 million, partially offset by a net decrease in amortization of acquired intangibles of $2.3 million due to certain acquired intangible assets being fully amortized.</w:t>
      </w:r>
    </w:p>
    <w:p>
      <w:pPr>
        <w:spacing w:after="0" w:line="67" w:lineRule="exact"/>
        <w:rPr>
          <w:sz w:val="20"/>
          <w:szCs w:val="20"/>
          <w:color w:val="auto"/>
        </w:rPr>
      </w:pPr>
    </w:p>
    <w:p>
      <w:pPr>
        <w:jc w:val="both"/>
        <w:ind w:firstLine="309"/>
        <w:spacing w:after="0" w:line="276" w:lineRule="auto"/>
        <w:rPr>
          <w:sz w:val="20"/>
          <w:szCs w:val="20"/>
          <w:color w:val="auto"/>
        </w:rPr>
      </w:pPr>
      <w:r>
        <w:rPr>
          <w:rFonts w:ascii="Arial" w:cs="Arial" w:eastAsia="Arial" w:hAnsi="Arial"/>
          <w:sz w:val="16"/>
          <w:szCs w:val="16"/>
          <w:color w:val="auto"/>
        </w:rPr>
        <w:t>Due to our continued investment in cloud-based operations, increase in new cloud-based customers, and increased usage from existing cloud-based customers, the costs to provide our subscription services has increased. We expect our cost of subscription revenue to increase as we continue to invest in our cloud operations and incur higher cloud infrastructure costs to support our growing cloud customer base, to improve efficiencies, and to continuously improve and maintain secure environments. However, we believe that the cost of subscription revenue will grow at a slower rate than subscription revenue in future years as we achieve economies of scale and other efficiencies. Cost of support revenue is expected to remain flat or slightly decrease over time as term license customers transition to the cloud. The short-term impact of these trends along with mix within subscription and support revenue may result in a decline in subscription and support gross margin even though subscription and support gross profit increases in absolute dollars.</w:t>
      </w:r>
    </w:p>
    <w:p>
      <w:pPr>
        <w:spacing w:after="0" w:line="53"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cost of license revenue decreased by $0.6 million during the three months ended October 31, 2021 compared to the same period a year ago primarily due to decreases in amortization of acquired intangible assets due to certain acquired intangible assets being fully amortized and lower costs associated with the development of online training curriculum included with the latest releases of InsuranceSuite. We continue to anticipate lower cost of license revenue over time as our term license customers transition to cloud subscription agreements.</w:t>
      </w:r>
    </w:p>
    <w:p>
      <w:pPr>
        <w:spacing w:after="0" w:line="4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$0.5 million decrease in cost of services revenue during the three months ended October 31, 2021 compared to the same period a year ago was primarily attributable to a decrease of $1.6 million in personnel costs, partially offset by increases of $0.7 million in subcontractor expenses for InsuranceSuite implementation resources, $0.2 million in software subscription expenses, and $0.1 million in web hosting expenses.</w:t>
      </w:r>
    </w:p>
    <w:p>
      <w:pPr>
        <w:spacing w:after="0" w:line="5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had 634 cloud operations and technical support employees and 659 professional services employees at October 31, 2021, compared to 475 cloud operations and technical support employees and 699 professional services employees at October 31, 2020.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6"/>
        </w:trPr>
        <w:tc>
          <w:tcPr>
            <w:tcW w:w="32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Arial" w:cs="Arial" w:eastAsia="Arial" w:hAnsi="Arial"/>
                <w:sz w:val="17"/>
                <w:szCs w:val="17"/>
                <w:b w:val="1"/>
                <w:bCs w:val="1"/>
                <w:i w:val="1"/>
                <w:iCs w:val="1"/>
                <w:color w:val="auto"/>
              </w:rPr>
              <w:t>Gross Profit:</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w w:val="96"/>
              </w:rPr>
              <w:t>Three Months Ended October 31,</w:t>
            </w:r>
          </w:p>
        </w:tc>
        <w:tc>
          <w:tcPr>
            <w:tcW w:w="6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74"/>
              <w:spacing w:after="0"/>
              <w:rPr>
                <w:sz w:val="20"/>
                <w:szCs w:val="20"/>
                <w:color w:val="auto"/>
              </w:rPr>
            </w:pPr>
            <w:r>
              <w:rPr>
                <w:rFonts w:ascii="Arial" w:cs="Arial" w:eastAsia="Arial" w:hAnsi="Arial"/>
                <w:sz w:val="17"/>
                <w:szCs w:val="17"/>
                <w:b w:val="1"/>
                <w:bCs w:val="1"/>
                <w:color w:val="auto"/>
                <w:w w:val="89"/>
              </w:rPr>
              <w:t>2021</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7"/>
                <w:szCs w:val="17"/>
                <w:b w:val="1"/>
                <w:bCs w:val="1"/>
                <w:color w:val="auto"/>
                <w:w w:val="95"/>
              </w:rPr>
              <w:t>2020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780"/>
              <w:spacing w:after="0"/>
              <w:rPr>
                <w:sz w:val="20"/>
                <w:szCs w:val="20"/>
                <w:color w:val="auto"/>
              </w:rPr>
            </w:pPr>
            <w:r>
              <w:rPr>
                <w:rFonts w:ascii="Arial" w:cs="Arial" w:eastAsia="Arial" w:hAnsi="Arial"/>
                <w:sz w:val="17"/>
                <w:szCs w:val="17"/>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500"/>
              <w:spacing w:after="0"/>
              <w:rPr>
                <w:sz w:val="20"/>
                <w:szCs w:val="20"/>
                <w:color w:val="auto"/>
              </w:rPr>
            </w:pPr>
            <w:r>
              <w:rPr>
                <w:rFonts w:ascii="Arial" w:cs="Arial" w:eastAsia="Arial" w:hAnsi="Arial"/>
                <w:sz w:val="17"/>
                <w:szCs w:val="17"/>
                <w:b w:val="1"/>
                <w:bCs w:val="1"/>
                <w:color w:val="auto"/>
              </w:rPr>
              <w:t>Margin %</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b w:val="1"/>
                <w:bCs w:val="1"/>
                <w:color w:val="auto"/>
              </w:rPr>
              <w:t>Margin %</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7"/>
                <w:szCs w:val="17"/>
                <w:b w:val="1"/>
                <w:bCs w:val="1"/>
                <w:color w:val="auto"/>
                <w:w w:val="91"/>
              </w:rPr>
              <w:t>(in thousands, except percentages)</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Gross profit: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700" w:type="dxa"/>
            <w:vAlign w:val="bottom"/>
            <w:gridSpan w:val="2"/>
          </w:tcPr>
          <w:p>
            <w:pPr>
              <w:ind w:left="200"/>
              <w:spacing w:after="0" w:line="168" w:lineRule="exact"/>
              <w:rPr>
                <w:sz w:val="20"/>
                <w:szCs w:val="20"/>
                <w:color w:val="auto"/>
              </w:rPr>
            </w:pPr>
            <w:r>
              <w:rPr>
                <w:rFonts w:ascii="Arial" w:cs="Arial" w:eastAsia="Arial" w:hAnsi="Arial"/>
                <w:sz w:val="17"/>
                <w:szCs w:val="17"/>
                <w:color w:val="auto"/>
              </w:rPr>
              <w:t>Subscription and</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auto"/>
                <w:w w:val="99"/>
              </w:rPr>
              <w:t>28,659</w:t>
            </w:r>
          </w:p>
        </w:tc>
        <w:tc>
          <w:tcPr>
            <w:tcW w:w="1120" w:type="dxa"/>
            <w:vAlign w:val="bottom"/>
            <w:gridSpan w:val="2"/>
            <w:vMerge w:val="restart"/>
          </w:tcPr>
          <w:p>
            <w:pPr>
              <w:ind w:left="720"/>
              <w:spacing w:after="0"/>
              <w:rPr>
                <w:sz w:val="20"/>
                <w:szCs w:val="20"/>
                <w:color w:val="auto"/>
              </w:rPr>
            </w:pPr>
            <w:r>
              <w:rPr>
                <w:rFonts w:ascii="Arial" w:cs="Arial" w:eastAsia="Arial" w:hAnsi="Arial"/>
                <w:sz w:val="17"/>
                <w:szCs w:val="17"/>
                <w:color w:val="auto"/>
              </w:rPr>
              <w:t>36</w:t>
            </w:r>
          </w:p>
        </w:tc>
        <w:tc>
          <w:tcPr>
            <w:tcW w:w="3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ind w:left="460"/>
              <w:spacing w:after="0"/>
              <w:rPr>
                <w:sz w:val="20"/>
                <w:szCs w:val="20"/>
                <w:color w:val="auto"/>
              </w:rPr>
            </w:pPr>
            <w:r>
              <w:rPr>
                <w:rFonts w:ascii="Arial" w:cs="Arial" w:eastAsia="Arial" w:hAnsi="Arial"/>
                <w:sz w:val="17"/>
                <w:szCs w:val="17"/>
                <w:color w:val="auto"/>
                <w:w w:val="99"/>
              </w:rPr>
              <w:t>20,960</w:t>
            </w:r>
          </w:p>
        </w:tc>
        <w:tc>
          <w:tcPr>
            <w:tcW w:w="1160" w:type="dxa"/>
            <w:vAlign w:val="bottom"/>
            <w:gridSpan w:val="2"/>
            <w:vMerge w:val="restart"/>
          </w:tcPr>
          <w:p>
            <w:pPr>
              <w:jc w:val="center"/>
              <w:ind w:left="434"/>
              <w:spacing w:after="0"/>
              <w:rPr>
                <w:sz w:val="20"/>
                <w:szCs w:val="20"/>
                <w:color w:val="auto"/>
              </w:rPr>
            </w:pPr>
            <w:r>
              <w:rPr>
                <w:rFonts w:ascii="Arial" w:cs="Arial" w:eastAsia="Arial" w:hAnsi="Arial"/>
                <w:sz w:val="17"/>
                <w:szCs w:val="17"/>
                <w:color w:val="auto"/>
                <w:w w:val="84"/>
              </w:rPr>
              <w:t>36</w:t>
            </w:r>
          </w:p>
        </w:tc>
        <w:tc>
          <w:tcPr>
            <w:tcW w:w="3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7,699</w:t>
            </w:r>
          </w:p>
        </w:tc>
        <w:tc>
          <w:tcPr>
            <w:tcW w:w="580" w:type="dxa"/>
            <w:vAlign w:val="bottom"/>
          </w:tcPr>
          <w:p>
            <w:pPr>
              <w:spacing w:after="0"/>
              <w:rPr>
                <w:sz w:val="14"/>
                <w:szCs w:val="14"/>
                <w:color w:val="auto"/>
              </w:rPr>
            </w:pPr>
          </w:p>
        </w:tc>
        <w:tc>
          <w:tcPr>
            <w:tcW w:w="680" w:type="dxa"/>
            <w:vAlign w:val="bottom"/>
            <w:vMerge w:val="restart"/>
          </w:tcPr>
          <w:p>
            <w:pPr>
              <w:jc w:val="center"/>
              <w:ind w:right="74"/>
              <w:spacing w:after="0"/>
              <w:rPr>
                <w:sz w:val="20"/>
                <w:szCs w:val="20"/>
                <w:color w:val="auto"/>
              </w:rPr>
            </w:pPr>
            <w:r>
              <w:rPr>
                <w:rFonts w:ascii="Arial" w:cs="Arial" w:eastAsia="Arial" w:hAnsi="Arial"/>
                <w:sz w:val="17"/>
                <w:szCs w:val="17"/>
                <w:color w:val="auto"/>
                <w:w w:val="84"/>
              </w:rPr>
              <w:t>37</w:t>
            </w: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20" w:type="dxa"/>
            <w:vAlign w:val="bottom"/>
            <w:gridSpan w:val="3"/>
          </w:tcPr>
          <w:p>
            <w:pPr>
              <w:ind w:left="140"/>
              <w:spacing w:after="0"/>
              <w:rPr>
                <w:sz w:val="20"/>
                <w:szCs w:val="20"/>
                <w:color w:val="auto"/>
              </w:rPr>
            </w:pPr>
            <w:r>
              <w:rPr>
                <w:rFonts w:ascii="Arial" w:cs="Arial" w:eastAsia="Arial" w:hAnsi="Arial"/>
                <w:sz w:val="17"/>
                <w:szCs w:val="17"/>
                <w:color w:val="auto"/>
              </w:rPr>
              <w:t>support</w:t>
            </w:r>
          </w:p>
        </w:tc>
        <w:tc>
          <w:tcPr>
            <w:tcW w:w="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License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9"/>
              </w:rPr>
              <w:t>37,814</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94</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9"/>
              </w:rPr>
              <w:t>62,346</w:t>
            </w:r>
          </w:p>
        </w:tc>
        <w:tc>
          <w:tcPr>
            <w:tcW w:w="116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color w:val="auto"/>
                <w:w w:val="84"/>
              </w:rPr>
              <w:t>96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(24,532)</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94"/>
              <w:spacing w:after="0"/>
              <w:rPr>
                <w:sz w:val="20"/>
                <w:szCs w:val="20"/>
                <w:color w:val="auto"/>
              </w:rPr>
            </w:pPr>
            <w:r>
              <w:rPr>
                <w:rFonts w:ascii="Arial" w:cs="Arial" w:eastAsia="Arial" w:hAnsi="Arial"/>
                <w:sz w:val="17"/>
                <w:szCs w:val="17"/>
                <w:color w:val="auto"/>
                <w:w w:val="99"/>
              </w:rPr>
              <w:t>(39)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Services</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w w:val="92"/>
              </w:rPr>
              <w:t>(3,718)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(8)</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2"/>
              </w:rPr>
              <w:t>(4,471)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314"/>
              <w:spacing w:after="0"/>
              <w:rPr>
                <w:sz w:val="20"/>
                <w:szCs w:val="20"/>
                <w:color w:val="auto"/>
              </w:rPr>
            </w:pPr>
            <w:r>
              <w:rPr>
                <w:rFonts w:ascii="Arial" w:cs="Arial" w:eastAsia="Arial" w:hAnsi="Arial"/>
                <w:sz w:val="17"/>
                <w:szCs w:val="17"/>
                <w:color w:val="auto"/>
                <w:w w:val="99"/>
              </w:rPr>
              <w:t>(10)</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w:t>
            </w:r>
          </w:p>
        </w:tc>
        <w:tc>
          <w:tcPr>
            <w:tcW w:w="5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center"/>
              <w:ind w:right="74"/>
              <w:spacing w:after="0"/>
              <w:rPr>
                <w:sz w:val="20"/>
                <w:szCs w:val="20"/>
                <w:color w:val="auto"/>
              </w:rPr>
            </w:pPr>
            <w:r>
              <w:rPr>
                <w:rFonts w:ascii="Arial" w:cs="Arial" w:eastAsia="Arial" w:hAnsi="Arial"/>
                <w:sz w:val="17"/>
                <w:szCs w:val="17"/>
                <w:color w:val="auto"/>
                <w:w w:val="84"/>
              </w:rPr>
              <w:t>17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Total 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9"/>
              </w:rPr>
              <w:t>62,755</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38</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9"/>
              </w:rPr>
              <w:t>78,835</w:t>
            </w:r>
          </w:p>
        </w:tc>
        <w:tc>
          <w:tcPr>
            <w:tcW w:w="116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color w:val="auto"/>
                <w:w w:val="84"/>
              </w:rPr>
              <w:t>46</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(16,080)</w:t>
            </w:r>
          </w:p>
        </w:tc>
        <w:tc>
          <w:tcPr>
            <w:tcW w:w="58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right="94"/>
              <w:spacing w:after="0"/>
              <w:rPr>
                <w:sz w:val="20"/>
                <w:szCs w:val="20"/>
                <w:color w:val="auto"/>
              </w:rPr>
            </w:pPr>
            <w:r>
              <w:rPr>
                <w:rFonts w:ascii="Arial" w:cs="Arial" w:eastAsia="Arial" w:hAnsi="Arial"/>
                <w:sz w:val="17"/>
                <w:szCs w:val="17"/>
                <w:color w:val="auto"/>
                <w:w w:val="99"/>
              </w:rPr>
              <w:t>(20)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gross profit decreased $16.1 million during the three months ended October 31, 2021 compared to the same period a year ago. Gross profit was impacted by the decrease in term license revenue due to the impact of multi-year term license arrangements entered into in the first quarter of fiscal year 2022 being significantly lower than the impact of multi-year term license arrangements in the same period a year ago.</w:t>
      </w:r>
    </w:p>
    <w:p>
      <w:pPr>
        <w:spacing w:after="0" w:line="59"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Our gross margin decreased to 38% during the three months ended October 31, 2021 from 46% during the same period a year ago. Gross margin was primarily impacted by the increased percentage of subscription and support revenue to total revenue as subscription and support revenue has lower gross margin</w:t>
      </w:r>
    </w:p>
    <w:p>
      <w:pPr>
        <w:spacing w:after="0" w:line="1" w:lineRule="exact"/>
        <w:rPr>
          <w:sz w:val="20"/>
          <w:szCs w:val="20"/>
          <w:color w:val="auto"/>
        </w:rPr>
      </w:pPr>
    </w:p>
    <w:p>
      <w:pPr>
        <w:spacing w:after="0"/>
        <w:tabs>
          <w:tab w:leader="none" w:pos="3780" w:val="left"/>
          <w:tab w:leader="none" w:pos="7040" w:val="left"/>
          <w:tab w:leader="none" w:pos="10640" w:val="left"/>
        </w:tabs>
        <w:rPr>
          <w:sz w:val="20"/>
          <w:szCs w:val="20"/>
          <w:color w:val="auto"/>
        </w:rPr>
      </w:pPr>
      <w:r>
        <w:rPr>
          <w:rFonts w:ascii="Arial" w:cs="Arial" w:eastAsia="Arial" w:hAnsi="Arial"/>
          <w:sz w:val="17"/>
          <w:szCs w:val="17"/>
          <w:color w:val="auto"/>
        </w:rPr>
        <w:t>compared</w:t>
      </w:r>
      <w:r>
        <w:rPr>
          <w:sz w:val="20"/>
          <w:szCs w:val="20"/>
          <w:color w:val="auto"/>
        </w:rPr>
        <w:tab/>
      </w: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license</w:t>
      </w:r>
      <w:r>
        <w:rPr>
          <w:sz w:val="20"/>
          <w:szCs w:val="20"/>
          <w:color w:val="auto"/>
        </w:rPr>
        <w:tab/>
      </w:r>
      <w:r>
        <w:rPr>
          <w:rFonts w:ascii="Arial" w:cs="Arial" w:eastAsia="Arial" w:hAnsi="Arial"/>
          <w:sz w:val="14"/>
          <w:szCs w:val="14"/>
          <w:color w:val="auto"/>
        </w:rPr>
        <w:t>revenue.</w:t>
      </w:r>
    </w:p>
    <w:p>
      <w:pPr>
        <w:spacing w:after="0" w:line="309"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We expect subscription and support gross margins will fluctuate as our subscription revenue increases and we continue to invest in our cloud operations. However, as we gain efficiencies and increase the number of cloud customers, we expect subscription gross margins to improve over time. In addition to the impact of our investment in customer migrations and implementations, challenges related to COVID-19 may negatively impact services gross margin for at least the remainder of this fiscal year. We expect license gross margin will fluctuate based on changes in revenue due to the timing of delivery of new multi-year term licenses and the execution of multi-year term license renewals, as cost of license revenue is expected to be relatively consistent from period to period in the future. Overall, we expect gross margins to decline in the short-term primarily due to the mix between license revenue and subscription and support revenue.</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8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5"/>
          <w:szCs w:val="15"/>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support, information security, facilities, and other administrative costs to all functional departments based on headcount. As a result, general overhead expenses are reflected in cost of revenue and each functional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spacing w:after="0"/>
              <w:rPr>
                <w:sz w:val="20"/>
                <w:szCs w:val="20"/>
                <w:color w:val="auto"/>
              </w:rPr>
            </w:pPr>
            <w:r>
              <w:rPr>
                <w:rFonts w:ascii="Arial" w:cs="Arial" w:eastAsia="Arial" w:hAnsi="Arial"/>
                <w:sz w:val="17"/>
                <w:szCs w:val="17"/>
                <w:color w:val="auto"/>
              </w:rPr>
              <w:t>operating</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expense.</w:t>
            </w:r>
          </w:p>
        </w:tc>
        <w:tc>
          <w:tcPr>
            <w:tcW w:w="0" w:type="dxa"/>
            <w:vAlign w:val="bottom"/>
          </w:tcPr>
          <w:p>
            <w:pPr>
              <w:spacing w:after="0"/>
              <w:rPr>
                <w:sz w:val="1"/>
                <w:szCs w:val="1"/>
                <w:color w:val="auto"/>
              </w:rPr>
            </w:pPr>
          </w:p>
        </w:tc>
      </w:tr>
      <w:tr>
        <w:trPr>
          <w:trHeight w:val="235"/>
        </w:trPr>
        <w:tc>
          <w:tcPr>
            <w:tcW w:w="3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7"/>
                <w:szCs w:val="17"/>
                <w:b w:val="1"/>
                <w:bCs w:val="1"/>
                <w:color w:val="auto"/>
                <w:w w:val="92"/>
              </w:rPr>
              <w:t>Three Months Ended October 31,</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2021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834"/>
              <w:spacing w:after="0"/>
              <w:rPr>
                <w:sz w:val="20"/>
                <w:szCs w:val="20"/>
                <w:color w:val="auto"/>
              </w:rPr>
            </w:pPr>
            <w:r>
              <w:rPr>
                <w:rFonts w:ascii="Arial" w:cs="Arial" w:eastAsia="Arial" w:hAnsi="Arial"/>
                <w:sz w:val="17"/>
                <w:szCs w:val="17"/>
                <w:b w:val="1"/>
                <w:bCs w:val="1"/>
                <w:color w:val="auto"/>
                <w:w w:val="84"/>
              </w:rPr>
              <w:t>2020</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7"/>
                <w:szCs w:val="17"/>
                <w:b w:val="1"/>
                <w:bCs w:val="1"/>
                <w:color w:val="auto"/>
                <w:w w:val="89"/>
              </w:rPr>
              <w:t>Change</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240"/>
              <w:spacing w:after="0" w:line="161" w:lineRule="exact"/>
              <w:rPr>
                <w:sz w:val="20"/>
                <w:szCs w:val="20"/>
                <w:color w:val="auto"/>
              </w:rPr>
            </w:pPr>
            <w:r>
              <w:rPr>
                <w:rFonts w:ascii="Arial" w:cs="Arial" w:eastAsia="Arial" w:hAnsi="Arial"/>
                <w:sz w:val="17"/>
                <w:szCs w:val="17"/>
                <w:b w:val="1"/>
                <w:bCs w:val="1"/>
                <w:color w:val="auto"/>
              </w:rPr>
              <w:t>As a %</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vMerge w:val="restart"/>
          </w:tcPr>
          <w:p>
            <w:pPr>
              <w:ind w:left="460"/>
              <w:spacing w:after="0"/>
              <w:rPr>
                <w:sz w:val="20"/>
                <w:szCs w:val="20"/>
                <w:color w:val="auto"/>
              </w:rPr>
            </w:pPr>
            <w:r>
              <w:rPr>
                <w:rFonts w:ascii="Arial" w:cs="Arial" w:eastAsia="Arial" w:hAnsi="Arial"/>
                <w:sz w:val="17"/>
                <w:szCs w:val="17"/>
                <w:b w:val="1"/>
                <w:bCs w:val="1"/>
                <w:color w:val="auto"/>
              </w:rPr>
              <w:t>As a % of</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3"/>
            <w:vMerge w:val="restart"/>
          </w:tcPr>
          <w:p>
            <w:pPr>
              <w:jc w:val="right"/>
              <w:ind w:right="420"/>
              <w:spacing w:after="0"/>
              <w:rPr>
                <w:sz w:val="20"/>
                <w:szCs w:val="20"/>
                <w:color w:val="auto"/>
              </w:rPr>
            </w:pPr>
            <w:r>
              <w:rPr>
                <w:rFonts w:ascii="Arial" w:cs="Arial" w:eastAsia="Arial" w:hAnsi="Arial"/>
                <w:sz w:val="17"/>
                <w:szCs w:val="17"/>
                <w:b w:val="1"/>
                <w:bCs w:val="1"/>
                <w:color w:val="auto"/>
              </w:rPr>
              <w:t>Amount</w:t>
            </w:r>
          </w:p>
        </w:tc>
        <w:tc>
          <w:tcPr>
            <w:tcW w:w="920" w:type="dxa"/>
            <w:vAlign w:val="bottom"/>
            <w:gridSpan w:val="2"/>
          </w:tcPr>
          <w:p>
            <w:pPr>
              <w:jc w:val="center"/>
              <w:ind w:right="200"/>
              <w:spacing w:after="0" w:line="167" w:lineRule="exact"/>
              <w:rPr>
                <w:sz w:val="20"/>
                <w:szCs w:val="20"/>
                <w:color w:val="auto"/>
              </w:rPr>
            </w:pPr>
            <w:r>
              <w:rPr>
                <w:rFonts w:ascii="Arial" w:cs="Arial" w:eastAsia="Arial" w:hAnsi="Arial"/>
                <w:sz w:val="17"/>
                <w:szCs w:val="17"/>
                <w:b w:val="1"/>
                <w:bCs w:val="1"/>
                <w:color w:val="auto"/>
                <w:w w:val="91"/>
              </w:rPr>
              <w:t>of total</w:t>
            </w:r>
          </w:p>
        </w:tc>
        <w:tc>
          <w:tcPr>
            <w:tcW w:w="420" w:type="dxa"/>
            <w:vAlign w:val="bottom"/>
          </w:tcPr>
          <w:p>
            <w:pPr>
              <w:spacing w:after="0"/>
              <w:rPr>
                <w:sz w:val="14"/>
                <w:szCs w:val="14"/>
                <w:color w:val="auto"/>
              </w:rPr>
            </w:pPr>
          </w:p>
        </w:tc>
        <w:tc>
          <w:tcPr>
            <w:tcW w:w="9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w:t>
            </w:r>
          </w:p>
        </w:tc>
        <w:tc>
          <w:tcPr>
            <w:tcW w:w="120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8"/>
              </w:rPr>
              <w:t>revenue</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revenue</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80" w:type="dxa"/>
            <w:vAlign w:val="bottom"/>
            <w:gridSpan w:val="6"/>
          </w:tcPr>
          <w:p>
            <w:pPr>
              <w:jc w:val="center"/>
              <w:ind w:right="140"/>
              <w:spacing w:after="0"/>
              <w:rPr>
                <w:sz w:val="20"/>
                <w:szCs w:val="20"/>
                <w:color w:val="auto"/>
              </w:rPr>
            </w:pPr>
            <w:r>
              <w:rPr>
                <w:rFonts w:ascii="Arial" w:cs="Arial" w:eastAsia="Arial" w:hAnsi="Arial"/>
                <w:sz w:val="17"/>
                <w:szCs w:val="17"/>
                <w:b w:val="1"/>
                <w:bCs w:val="1"/>
                <w:color w:val="auto"/>
                <w:w w:val="87"/>
              </w:rPr>
              <w:t>(in thousands, except percentages)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320"/>
              <w:spacing w:after="0"/>
              <w:rPr>
                <w:sz w:val="20"/>
                <w:szCs w:val="20"/>
                <w:color w:val="auto"/>
              </w:rPr>
            </w:pPr>
            <w:r>
              <w:rPr>
                <w:rFonts w:ascii="Arial" w:cs="Arial" w:eastAsia="Arial" w:hAnsi="Arial"/>
                <w:sz w:val="17"/>
                <w:szCs w:val="17"/>
                <w:color w:val="auto"/>
              </w:rPr>
              <w:t>Operating expenses: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88"/>
              </w:rPr>
              <w:t>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52,615</w:t>
            </w:r>
          </w:p>
        </w:tc>
        <w:tc>
          <w:tcPr>
            <w:tcW w:w="126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7,311</w:t>
            </w:r>
          </w:p>
        </w:tc>
        <w:tc>
          <w:tcPr>
            <w:tcW w:w="120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140" w:type="dxa"/>
            <w:vAlign w:val="bottom"/>
          </w:tcPr>
          <w:p>
            <w:pPr>
              <w:ind w:left="440"/>
              <w:spacing w:after="0"/>
              <w:rPr>
                <w:sz w:val="20"/>
                <w:szCs w:val="20"/>
                <w:color w:val="auto"/>
              </w:rPr>
            </w:pPr>
            <w:r>
              <w:rPr>
                <w:rFonts w:ascii="Arial" w:cs="Arial" w:eastAsia="Arial" w:hAnsi="Arial"/>
                <w:sz w:val="17"/>
                <w:szCs w:val="17"/>
                <w:color w:val="auto"/>
              </w:rPr>
              <w:t>Sales and marketing</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114"/>
              <w:spacing w:after="0"/>
              <w:rPr>
                <w:sz w:val="20"/>
                <w:szCs w:val="20"/>
                <w:color w:val="auto"/>
              </w:rPr>
            </w:pPr>
            <w:r>
              <w:rPr>
                <w:rFonts w:ascii="Arial" w:cs="Arial" w:eastAsia="Arial" w:hAnsi="Arial"/>
                <w:sz w:val="17"/>
                <w:szCs w:val="17"/>
                <w:color w:val="auto"/>
                <w:w w:val="94"/>
              </w:rPr>
              <w:t>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36,644</w:t>
            </w:r>
          </w:p>
        </w:tc>
        <w:tc>
          <w:tcPr>
            <w:tcW w:w="1260" w:type="dxa"/>
            <w:vAlign w:val="bottom"/>
            <w:gridSpan w:val="2"/>
          </w:tcPr>
          <w:p>
            <w:pPr>
              <w:jc w:val="right"/>
              <w:ind w:right="274"/>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6,987</w:t>
            </w:r>
          </w:p>
        </w:tc>
        <w:tc>
          <w:tcPr>
            <w:tcW w:w="1200" w:type="dxa"/>
            <w:vAlign w:val="bottom"/>
            <w:gridSpan w:val="2"/>
          </w:tcPr>
          <w:p>
            <w:pPr>
              <w:jc w:val="right"/>
              <w:ind w:right="194"/>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24,575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7"/>
                <w:szCs w:val="17"/>
                <w:color w:val="auto"/>
                <w:w w:val="94"/>
              </w:rPr>
              <w:t>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3,395</w:t>
            </w:r>
          </w:p>
        </w:tc>
        <w:tc>
          <w:tcPr>
            <w:tcW w:w="6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520"/>
              <w:spacing w:after="0"/>
              <w:rPr>
                <w:sz w:val="20"/>
                <w:szCs w:val="20"/>
                <w:color w:val="auto"/>
              </w:rPr>
            </w:pPr>
            <w:r>
              <w:rPr>
                <w:rFonts w:ascii="Arial" w:cs="Arial" w:eastAsia="Arial" w:hAnsi="Arial"/>
                <w:sz w:val="17"/>
                <w:szCs w:val="17"/>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128,132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114"/>
              <w:spacing w:after="0"/>
              <w:rPr>
                <w:sz w:val="20"/>
                <w:szCs w:val="20"/>
                <w:color w:val="auto"/>
              </w:rPr>
            </w:pPr>
            <w:r>
              <w:rPr>
                <w:rFonts w:ascii="Arial" w:cs="Arial" w:eastAsia="Arial" w:hAnsi="Arial"/>
                <w:sz w:val="17"/>
                <w:szCs w:val="17"/>
                <w:color w:val="auto"/>
                <w:w w:val="94"/>
              </w:rPr>
              <w:t>77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110,439</w:t>
            </w:r>
          </w:p>
        </w:tc>
        <w:tc>
          <w:tcPr>
            <w:tcW w:w="1260" w:type="dxa"/>
            <w:vAlign w:val="bottom"/>
            <w:gridSpan w:val="2"/>
          </w:tcPr>
          <w:p>
            <w:pPr>
              <w:jc w:val="right"/>
              <w:ind w:right="274"/>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17,693</w:t>
            </w:r>
          </w:p>
        </w:tc>
        <w:tc>
          <w:tcPr>
            <w:tcW w:w="1200" w:type="dxa"/>
            <w:vAlign w:val="bottom"/>
            <w:gridSpan w:val="2"/>
          </w:tcPr>
          <w:p>
            <w:pPr>
              <w:jc w:val="right"/>
              <w:ind w:right="194"/>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320"/>
              <w:spacing w:after="0"/>
              <w:rPr>
                <w:sz w:val="20"/>
                <w:szCs w:val="20"/>
                <w:color w:val="auto"/>
              </w:rPr>
            </w:pPr>
            <w:r>
              <w:rPr>
                <w:rFonts w:ascii="Arial" w:cs="Arial" w:eastAsia="Arial" w:hAnsi="Arial"/>
                <w:sz w:val="17"/>
                <w:szCs w:val="17"/>
                <w:color w:val="auto"/>
                <w:w w:val="95"/>
              </w:rPr>
              <w:t>Includes stock-based compensation of:</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480"/>
              <w:spacing w:after="0"/>
              <w:rPr>
                <w:sz w:val="20"/>
                <w:szCs w:val="20"/>
                <w:color w:val="auto"/>
              </w:rPr>
            </w:pPr>
            <w:r>
              <w:rPr>
                <w:rFonts w:ascii="Arial" w:cs="Arial" w:eastAsia="Arial" w:hAnsi="Arial"/>
                <w:sz w:val="17"/>
                <w:szCs w:val="17"/>
                <w:color w:val="auto"/>
              </w:rPr>
              <w:t>Sales and marketing</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5,977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1,512</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6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5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19,688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3,385</w:t>
            </w:r>
          </w:p>
        </w:tc>
        <w:tc>
          <w:tcPr>
            <w:tcW w:w="6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4" w:name="page45"/>
    <w:bookmarkEnd w:id="44"/>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Research and Development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research and development expenses primarily consist of personnel costs for our technical staff and consultants providing professional services.</w:t>
      </w:r>
    </w:p>
    <w:p>
      <w:pPr>
        <w:spacing w:after="0" w:line="10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$7.3 million increase in research and development expenses during the three months ended October 31, 2021 compared to the same period a year ago, was primarily due to increases of $4.6 million in personnel costs associated with higher headcount, inclusive of $0.7 million in acquisition consideration holdback costs relating to the Hazard Hub acquisition, and $2.0 million of cloud infrastructure costs for our development environments.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research and development headcount was 871 at October 31, 2021 compared with 810 at October 31, 2020.</w:t>
      </w:r>
    </w:p>
    <w:p>
      <w:pPr>
        <w:spacing w:after="0" w:line="10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expect our research and development expenses to increase in absolute dollars as we continue to hire and dedicate internal resources to develop, improve, and expand the functionality of our solutions and migrate our solutions to the cloud. Research and development expenses may also increase if we pursue additional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88"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includes travel expenses, professional services for marketing activities, and amortization of certain acquired intangibles.</w:t>
      </w:r>
    </w:p>
    <w:p>
      <w:pPr>
        <w:spacing w:after="0" w:line="62"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$7.0 million increase in sales and marketing expenses during the three months ended October 31, 2021 compared to the same period a year ago was primarily attributable to increases of $7.2 million in personnel costs due to higher headcount to sell and market our services and products, including an increase of $0.9 million related to the net effect of the capitalization and amortization of contract acquisition costs (primarily commissions). These increases were partially offset by a decrease of $0.4 million in marketing and advertising expense due to costs associated with Connections Reimagined, our virtual annual sales conference in the first quarter of fiscal year 2021. Our annual sales conference in fiscal year 2022 was primarily an in-person event, supplemented with virtual content, held in November 2021, the second quarter of fiscal year 2022.</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sales and marketing headcount was 457 at October 31, 2021 compared with 416 at October 31, 2020.</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expect our sales and marketing expenses to continue to increase in absolute dollars as we continue to invest in sales and marketing activities to support our business growth and objectives.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general and administrative expenses include executive, finance, human resources, legal, and corporate development and strategy functions, and primarily consist of personnel costs, as well as professional services.</w:t>
      </w:r>
    </w:p>
    <w:p>
      <w:pPr>
        <w:spacing w:after="0" w:line="3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$3.4 million increase during the three months ended October 31, 2021 compared to the same period a year ago was primarily due to increases of $1.9 million in software and professional services to support our growth and $1.4 million in personnel costs due to higher headcount.</w:t>
      </w:r>
    </w:p>
    <w:p>
      <w:pPr>
        <w:spacing w:after="0" w:line="48"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7"/>
          <w:szCs w:val="17"/>
          <w:color w:val="auto"/>
        </w:rPr>
        <w:t>Our general and administrative headcount was 410 at October 31, 2021 compared with 359 at October 31, 2020. General and administrative headcount includes personnel in information technology support, information security, facilities, and recruiting whose expenses are allocated across all functional departments.</w:t>
      </w:r>
    </w:p>
    <w:p>
      <w:pPr>
        <w:spacing w:after="0" w:line="6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2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791"/>
        </w:trPr>
        <w:tc>
          <w:tcPr>
            <w:tcW w:w="320" w:type="dxa"/>
            <w:vAlign w:val="bottom"/>
          </w:tcPr>
          <w:p>
            <w:pPr>
              <w:spacing w:after="0"/>
              <w:rPr>
                <w:sz w:val="24"/>
                <w:szCs w:val="24"/>
                <w:color w:val="auto"/>
              </w:rPr>
            </w:pPr>
          </w:p>
        </w:tc>
        <w:tc>
          <w:tcPr>
            <w:tcW w:w="3640" w:type="dxa"/>
            <w:vAlign w:val="bottom"/>
            <w:gridSpan w:val="2"/>
          </w:tcPr>
          <w:p>
            <w:pPr>
              <w:ind w:left="60"/>
              <w:spacing w:after="0"/>
              <w:rPr>
                <w:sz w:val="20"/>
                <w:szCs w:val="20"/>
                <w:color w:val="auto"/>
              </w:rPr>
            </w:pPr>
            <w:r>
              <w:rPr>
                <w:rFonts w:ascii="Arial" w:cs="Arial" w:eastAsia="Arial" w:hAnsi="Arial"/>
                <w:sz w:val="17"/>
                <w:szCs w:val="17"/>
                <w:b w:val="1"/>
                <w:bCs w:val="1"/>
                <w:i w:val="1"/>
                <w:iCs w:val="1"/>
                <w:color w:val="auto"/>
              </w:rPr>
              <w:t>Other Income (Expense)</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6"/>
        </w:trPr>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7"/>
                <w:szCs w:val="17"/>
                <w:b w:val="1"/>
                <w:bCs w:val="1"/>
                <w:color w:val="auto"/>
                <w:w w:val="95"/>
              </w:rPr>
              <w:t>Three Months Ended October 31,</w:t>
            </w:r>
          </w:p>
        </w:tc>
        <w:tc>
          <w:tcPr>
            <w:tcW w:w="1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213"/>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w w:val="89"/>
              </w:rPr>
              <w:t>Change</w:t>
            </w:r>
          </w:p>
        </w:tc>
        <w:tc>
          <w:tcPr>
            <w:tcW w:w="320" w:type="dxa"/>
            <w:vAlign w:val="bottom"/>
            <w:tcBorders>
              <w:bottom w:val="single" w:sz="8" w:color="auto"/>
            </w:tcBorders>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Amount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60" w:type="dxa"/>
            <w:vAlign w:val="bottom"/>
            <w:gridSpan w:val="4"/>
          </w:tcPr>
          <w:p>
            <w:pPr>
              <w:jc w:val="right"/>
              <w:ind w:right="294"/>
              <w:spacing w:after="0"/>
              <w:rPr>
                <w:sz w:val="20"/>
                <w:szCs w:val="20"/>
                <w:color w:val="auto"/>
              </w:rPr>
            </w:pPr>
            <w:r>
              <w:rPr>
                <w:rFonts w:ascii="Arial" w:cs="Arial" w:eastAsia="Arial" w:hAnsi="Arial"/>
                <w:sz w:val="17"/>
                <w:szCs w:val="17"/>
                <w:b w:val="1"/>
                <w:bCs w:val="1"/>
                <w:color w:val="auto"/>
                <w:w w:val="89"/>
              </w:rPr>
              <w:t>(in thousands, except percentages)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3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Interest income</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center"/>
              <w:ind w:left="594"/>
              <w:spacing w:after="0"/>
              <w:rPr>
                <w:sz w:val="20"/>
                <w:szCs w:val="20"/>
                <w:color w:val="auto"/>
              </w:rPr>
            </w:pPr>
            <w:r>
              <w:rPr>
                <w:rFonts w:ascii="Arial" w:cs="Arial" w:eastAsia="Arial" w:hAnsi="Arial"/>
                <w:sz w:val="17"/>
                <w:szCs w:val="17"/>
                <w:color w:val="auto"/>
                <w:w w:val="89"/>
              </w:rPr>
              <w:t>2,789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(76)</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20" w:type="dxa"/>
            <w:vAlign w:val="bottom"/>
          </w:tcPr>
          <w:p>
            <w:pPr>
              <w:spacing w:after="0"/>
              <w:rPr>
                <w:sz w:val="18"/>
                <w:szCs w:val="18"/>
                <w:color w:val="auto"/>
              </w:rPr>
            </w:pPr>
          </w:p>
        </w:tc>
        <w:tc>
          <w:tcPr>
            <w:tcW w:w="3640" w:type="dxa"/>
            <w:vAlign w:val="bottom"/>
            <w:gridSpan w:val="2"/>
          </w:tcPr>
          <w:p>
            <w:pPr>
              <w:ind w:left="80"/>
              <w:spacing w:after="0"/>
              <w:rPr>
                <w:sz w:val="20"/>
                <w:szCs w:val="20"/>
                <w:color w:val="auto"/>
              </w:rPr>
            </w:pPr>
            <w:r>
              <w:rPr>
                <w:rFonts w:ascii="Arial" w:cs="Arial" w:eastAsia="Arial" w:hAnsi="Arial"/>
                <w:sz w:val="17"/>
                <w:szCs w:val="17"/>
                <w:color w:val="auto"/>
              </w:rPr>
              <w:t>Interest expense</w:t>
            </w:r>
          </w:p>
        </w:tc>
        <w:tc>
          <w:tcPr>
            <w:tcW w:w="6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(4,794)</w:t>
            </w: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Pr>
          <w:p>
            <w:pPr>
              <w:jc w:val="center"/>
              <w:ind w:left="554"/>
              <w:spacing w:after="0"/>
              <w:rPr>
                <w:sz w:val="20"/>
                <w:szCs w:val="20"/>
                <w:color w:val="auto"/>
              </w:rPr>
            </w:pPr>
            <w:r>
              <w:rPr>
                <w:rFonts w:ascii="Arial" w:cs="Arial" w:eastAsia="Arial" w:hAnsi="Arial"/>
                <w:sz w:val="17"/>
                <w:szCs w:val="17"/>
                <w:color w:val="auto"/>
                <w:w w:val="92"/>
              </w:rPr>
              <w:t>(4,620)</w:t>
            </w:r>
          </w:p>
        </w:tc>
        <w:tc>
          <w:tcPr>
            <w:tcW w:w="10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(174)</w:t>
            </w:r>
          </w:p>
        </w:tc>
        <w:tc>
          <w:tcPr>
            <w:tcW w:w="1500" w:type="dxa"/>
            <w:vAlign w:val="bottom"/>
          </w:tcPr>
          <w:p>
            <w:pPr>
              <w:jc w:val="right"/>
              <w:ind w:right="194"/>
              <w:spacing w:after="0"/>
              <w:rPr>
                <w:sz w:val="20"/>
                <w:szCs w:val="20"/>
                <w:color w:val="auto"/>
              </w:rPr>
            </w:pPr>
            <w:r>
              <w:rPr>
                <w:rFonts w:ascii="Arial" w:cs="Arial" w:eastAsia="Arial" w:hAnsi="Arial"/>
                <w:sz w:val="17"/>
                <w:szCs w:val="17"/>
                <w:color w:val="auto"/>
              </w:rPr>
              <w:t>4</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Other income (expense), net</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center"/>
              <w:ind w:left="594"/>
              <w:spacing w:after="0"/>
              <w:rPr>
                <w:sz w:val="20"/>
                <w:szCs w:val="20"/>
                <w:color w:val="auto"/>
              </w:rPr>
            </w:pPr>
            <w:r>
              <w:rPr>
                <w:rFonts w:ascii="Arial" w:cs="Arial" w:eastAsia="Arial" w:hAnsi="Arial"/>
                <w:sz w:val="17"/>
                <w:szCs w:val="17"/>
                <w:color w:val="auto"/>
                <w:w w:val="89"/>
              </w:rPr>
              <w:t>2,568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w:t>
            </w: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(54)</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*Not meaningful</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income represents interest earned on our cash, cash equivalents, and investments.</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Interest income decreased $2.1 million during the three months ended October 31, 2021 compared to the same period a year ago, primarily due to lower yields on invested funds.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33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Interest expense includes both stated interest and the amortization of debt discount and issuance costs associated with the $400.0 million aggregate principal amount of our Convertible Senior Notes. The amortization of debt discount and issuance costs are recognized on an effective interest basis. Stated interest expense is consistent in the comparative periods as the outstanding principal and stated interest rate have not changed.</w:t>
      </w:r>
    </w:p>
    <w:p>
      <w:pPr>
        <w:spacing w:after="0" w:line="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Interest expense for the three months ended October 31, 2021 and 2020 consists of non-cash interest expense related to the amortization of debt discount and issuance costs of $3.5 million and $3.3 million, respectively, and stated interest of $1.3 million in both periods.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10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We currently have entities with a functional currency of the Argentine Peso, Australian Dollar, Brazilian Real, British Pound, Canadian Dollar, Chinese Yuan, Danish Krone, Euro, Hong Kong Dollar, Indian Rupee, Japanese Yen, Malaysian Ringgit, Mexican Peso, New Zealand Dollar, Polish Zloty, Russian Ruble, South African Rand, and Swiss Franc.</w:t>
      </w:r>
    </w:p>
    <w:p>
      <w:pPr>
        <w:spacing w:after="0" w:line="5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Other income (expense), net during the three months ended October 31, 2021 was income of $1.2 million compared to $2.6 million during the same period a year ago. Due to fluctuations in exchange rates, the three months ended October 31, 2021 included realized and unrealized foreign currency gains of $1.2 million, while the three months ended October 31, 2020 included realized and unrealized foreign currency gains of $2.3 million.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subject to taxes in the United States as well as other tax jurisdictions and countries in which we conduct business. Earnings from our non-U.S.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7"/>
                <w:szCs w:val="17"/>
                <w:color w:val="auto"/>
              </w:rPr>
              <w:t>activities</w:t>
            </w:r>
          </w:p>
        </w:tc>
        <w:tc>
          <w:tcPr>
            <w:tcW w:w="720" w:type="dxa"/>
            <w:vAlign w:val="bottom"/>
          </w:tcPr>
          <w:p>
            <w:pPr>
              <w:ind w:left="180"/>
              <w:spacing w:after="0"/>
              <w:rPr>
                <w:sz w:val="20"/>
                <w:szCs w:val="20"/>
                <w:color w:val="auto"/>
              </w:rPr>
            </w:pPr>
            <w:r>
              <w:rPr>
                <w:rFonts w:ascii="Arial" w:cs="Arial" w:eastAsia="Arial" w:hAnsi="Arial"/>
                <w:sz w:val="17"/>
                <w:szCs w:val="17"/>
                <w:color w:val="auto"/>
              </w:rPr>
              <w:t>are</w:t>
            </w:r>
          </w:p>
        </w:tc>
        <w:tc>
          <w:tcPr>
            <w:tcW w:w="660" w:type="dxa"/>
            <w:vAlign w:val="bottom"/>
          </w:tcPr>
          <w:p>
            <w:pPr>
              <w:spacing w:after="0"/>
              <w:rPr>
                <w:sz w:val="20"/>
                <w:szCs w:val="20"/>
                <w:color w:val="auto"/>
              </w:rPr>
            </w:pPr>
            <w:r>
              <w:rPr>
                <w:rFonts w:ascii="Arial" w:cs="Arial" w:eastAsia="Arial" w:hAnsi="Arial"/>
                <w:sz w:val="17"/>
                <w:szCs w:val="17"/>
                <w:color w:val="auto"/>
              </w:rPr>
              <w:t>subject</w:t>
            </w:r>
          </w:p>
        </w:tc>
        <w:tc>
          <w:tcPr>
            <w:tcW w:w="480" w:type="dxa"/>
            <w:vAlign w:val="bottom"/>
          </w:tcPr>
          <w:p>
            <w:pPr>
              <w:ind w:left="180"/>
              <w:spacing w:after="0"/>
              <w:rPr>
                <w:sz w:val="20"/>
                <w:szCs w:val="20"/>
                <w:color w:val="auto"/>
              </w:rPr>
            </w:pPr>
            <w:r>
              <w:rPr>
                <w:rFonts w:ascii="Arial" w:cs="Arial" w:eastAsia="Arial" w:hAnsi="Arial"/>
                <w:sz w:val="17"/>
                <w:szCs w:val="17"/>
                <w:color w:val="auto"/>
              </w:rPr>
              <w:t>to</w:t>
            </w:r>
          </w:p>
        </w:tc>
        <w:tc>
          <w:tcPr>
            <w:tcW w:w="820" w:type="dxa"/>
            <w:vAlign w:val="bottom"/>
          </w:tcPr>
          <w:p>
            <w:pPr>
              <w:ind w:left="180"/>
              <w:spacing w:after="0"/>
              <w:rPr>
                <w:sz w:val="20"/>
                <w:szCs w:val="20"/>
                <w:color w:val="auto"/>
              </w:rPr>
            </w:pPr>
            <w:r>
              <w:rPr>
                <w:rFonts w:ascii="Arial" w:cs="Arial" w:eastAsia="Arial" w:hAnsi="Arial"/>
                <w:sz w:val="17"/>
                <w:szCs w:val="17"/>
                <w:color w:val="auto"/>
              </w:rPr>
              <w:t>local</w:t>
            </w:r>
          </w:p>
        </w:tc>
        <w:tc>
          <w:tcPr>
            <w:tcW w:w="740" w:type="dxa"/>
            <w:vAlign w:val="bottom"/>
          </w:tcPr>
          <w:p>
            <w:pPr>
              <w:jc w:val="right"/>
              <w:ind w:right="94"/>
              <w:spacing w:after="0"/>
              <w:rPr>
                <w:sz w:val="20"/>
                <w:szCs w:val="20"/>
                <w:color w:val="auto"/>
              </w:rPr>
            </w:pPr>
            <w:r>
              <w:rPr>
                <w:rFonts w:ascii="Arial" w:cs="Arial" w:eastAsia="Arial" w:hAnsi="Arial"/>
                <w:sz w:val="17"/>
                <w:szCs w:val="17"/>
                <w:color w:val="auto"/>
                <w:w w:val="96"/>
              </w:rPr>
              <w:t>country</w:t>
            </w:r>
          </w:p>
        </w:tc>
        <w:tc>
          <w:tcPr>
            <w:tcW w:w="1000" w:type="dxa"/>
            <w:vAlign w:val="bottom"/>
          </w:tcPr>
          <w:p>
            <w:pPr>
              <w:jc w:val="right"/>
              <w:ind w:right="234"/>
              <w:spacing w:after="0"/>
              <w:rPr>
                <w:sz w:val="20"/>
                <w:szCs w:val="20"/>
                <w:color w:val="auto"/>
              </w:rPr>
            </w:pPr>
            <w:r>
              <w:rPr>
                <w:rFonts w:ascii="Arial" w:cs="Arial" w:eastAsia="Arial" w:hAnsi="Arial"/>
                <w:sz w:val="17"/>
                <w:szCs w:val="17"/>
                <w:color w:val="auto"/>
              </w:rPr>
              <w:t>income</w:t>
            </w:r>
          </w:p>
        </w:tc>
        <w:tc>
          <w:tcPr>
            <w:tcW w:w="440" w:type="dxa"/>
            <w:vAlign w:val="bottom"/>
          </w:tcPr>
          <w:p>
            <w:pPr>
              <w:jc w:val="right"/>
              <w:ind w:right="114"/>
              <w:spacing w:after="0"/>
              <w:rPr>
                <w:sz w:val="20"/>
                <w:szCs w:val="20"/>
                <w:color w:val="auto"/>
              </w:rPr>
            </w:pPr>
            <w:r>
              <w:rPr>
                <w:rFonts w:ascii="Arial" w:cs="Arial" w:eastAsia="Arial" w:hAnsi="Arial"/>
                <w:sz w:val="17"/>
                <w:szCs w:val="17"/>
                <w:color w:val="auto"/>
                <w:w w:val="96"/>
              </w:rPr>
              <w:t>tax</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and</w:t>
            </w:r>
          </w:p>
        </w:tc>
        <w:tc>
          <w:tcPr>
            <w:tcW w:w="500" w:type="dxa"/>
            <w:vAlign w:val="bottom"/>
          </w:tcPr>
          <w:p>
            <w:pPr>
              <w:ind w:left="160"/>
              <w:spacing w:after="0"/>
              <w:rPr>
                <w:sz w:val="20"/>
                <w:szCs w:val="20"/>
                <w:color w:val="auto"/>
              </w:rPr>
            </w:pPr>
            <w:r>
              <w:rPr>
                <w:rFonts w:ascii="Arial" w:cs="Arial" w:eastAsia="Arial" w:hAnsi="Arial"/>
                <w:sz w:val="17"/>
                <w:szCs w:val="17"/>
                <w:color w:val="auto"/>
                <w:w w:val="99"/>
              </w:rPr>
              <w:t>may</w:t>
            </w: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also</w:t>
            </w:r>
          </w:p>
        </w:tc>
        <w:tc>
          <w:tcPr>
            <w:tcW w:w="240" w:type="dxa"/>
            <w:vAlign w:val="bottom"/>
          </w:tcPr>
          <w:p>
            <w:pPr>
              <w:ind w:left="80"/>
              <w:spacing w:after="0"/>
              <w:rPr>
                <w:sz w:val="20"/>
                <w:szCs w:val="20"/>
                <w:color w:val="auto"/>
              </w:rPr>
            </w:pPr>
            <w:r>
              <w:rPr>
                <w:rFonts w:ascii="Arial" w:cs="Arial" w:eastAsia="Arial" w:hAnsi="Arial"/>
                <w:sz w:val="17"/>
                <w:szCs w:val="17"/>
                <w:color w:val="auto"/>
                <w:w w:val="73"/>
              </w:rPr>
              <w:t>be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7"/>
                <w:szCs w:val="17"/>
                <w:color w:val="auto"/>
              </w:rPr>
              <w:t>subject</w:t>
            </w:r>
          </w:p>
        </w:tc>
        <w:tc>
          <w:tcPr>
            <w:tcW w:w="480" w:type="dxa"/>
            <w:vAlign w:val="bottom"/>
          </w:tcPr>
          <w:p>
            <w:pPr>
              <w:jc w:val="right"/>
              <w:ind w:right="94"/>
              <w:spacing w:after="0"/>
              <w:rPr>
                <w:sz w:val="20"/>
                <w:szCs w:val="20"/>
                <w:color w:val="auto"/>
              </w:rPr>
            </w:pPr>
            <w:r>
              <w:rPr>
                <w:rFonts w:ascii="Arial" w:cs="Arial" w:eastAsia="Arial" w:hAnsi="Arial"/>
                <w:sz w:val="17"/>
                <w:szCs w:val="17"/>
                <w:color w:val="auto"/>
              </w:rPr>
              <w:t>to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U.S.</w:t>
            </w:r>
          </w:p>
        </w:tc>
        <w:tc>
          <w:tcPr>
            <w:tcW w:w="760" w:type="dxa"/>
            <w:vAlign w:val="bottom"/>
          </w:tcPr>
          <w:p>
            <w:pPr>
              <w:spacing w:after="0"/>
              <w:rPr>
                <w:sz w:val="20"/>
                <w:szCs w:val="20"/>
                <w:color w:val="auto"/>
              </w:rPr>
            </w:pPr>
            <w:r>
              <w:rPr>
                <w:rFonts w:ascii="Arial" w:cs="Arial" w:eastAsia="Arial" w:hAnsi="Arial"/>
                <w:sz w:val="17"/>
                <w:szCs w:val="17"/>
                <w:color w:val="auto"/>
              </w:rPr>
              <w:t>income</w:t>
            </w:r>
          </w:p>
        </w:tc>
        <w:tc>
          <w:tcPr>
            <w:tcW w:w="340" w:type="dxa"/>
            <w:vAlign w:val="bottom"/>
          </w:tcPr>
          <w:p>
            <w:pPr>
              <w:jc w:val="right"/>
              <w:spacing w:after="0"/>
              <w:rPr>
                <w:sz w:val="20"/>
                <w:szCs w:val="20"/>
                <w:color w:val="auto"/>
              </w:rPr>
            </w:pPr>
            <w:r>
              <w:rPr>
                <w:rFonts w:ascii="Arial" w:cs="Arial" w:eastAsia="Arial" w:hAnsi="Arial"/>
                <w:sz w:val="17"/>
                <w:szCs w:val="17"/>
                <w:color w:val="auto"/>
              </w:rPr>
              <w:t>tax.</w:t>
            </w:r>
          </w:p>
        </w:tc>
      </w:tr>
      <w:tr>
        <w:trPr>
          <w:trHeight w:val="235"/>
        </w:trPr>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5"/>
              </w:rPr>
              <w:t>Three Months Ended October 31,</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r>
        <w:trPr>
          <w:trHeight w:val="213"/>
        </w:trPr>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Change</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2"/>
        </w:trPr>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Amount</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3"/>
              </w:rPr>
              <w:t>Amount</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18"/>
                <w:szCs w:val="18"/>
                <w:color w:val="auto"/>
              </w:rPr>
            </w:pPr>
          </w:p>
        </w:tc>
      </w:tr>
      <w:tr>
        <w:trPr>
          <w:trHeight w:val="212"/>
        </w:trPr>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7"/>
                <w:szCs w:val="17"/>
                <w:b w:val="1"/>
                <w:bCs w:val="1"/>
                <w:color w:val="auto"/>
                <w:w w:val="89"/>
              </w:rPr>
              <w:t>(in thousands, except percentages)</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9"/>
        </w:trPr>
        <w:tc>
          <w:tcPr>
            <w:tcW w:w="348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Provision for (benefit from) income taxes</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(17,038)</w:t>
            </w:r>
          </w:p>
        </w:tc>
        <w:tc>
          <w:tcPr>
            <w:tcW w:w="4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(10,677)</w:t>
            </w: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514"/>
              <w:spacing w:after="0"/>
              <w:rPr>
                <w:sz w:val="20"/>
                <w:szCs w:val="20"/>
                <w:color w:val="auto"/>
              </w:rPr>
            </w:pPr>
            <w:r>
              <w:rPr>
                <w:rFonts w:ascii="Arial" w:cs="Arial" w:eastAsia="Arial" w:hAnsi="Arial"/>
                <w:sz w:val="17"/>
                <w:szCs w:val="17"/>
                <w:color w:val="auto"/>
              </w:rPr>
              <w:t>(6,361)</w:t>
            </w: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520" w:type="dxa"/>
            <w:vAlign w:val="bottom"/>
            <w:gridSpan w:val="2"/>
          </w:tcPr>
          <w:p>
            <w:pPr>
              <w:ind w:left="320"/>
              <w:spacing w:after="0"/>
              <w:rPr>
                <w:sz w:val="20"/>
                <w:szCs w:val="20"/>
                <w:color w:val="auto"/>
              </w:rPr>
            </w:pPr>
            <w:r>
              <w:rPr>
                <w:rFonts w:ascii="Arial" w:cs="Arial" w:eastAsia="Arial" w:hAnsi="Arial"/>
                <w:sz w:val="17"/>
                <w:szCs w:val="17"/>
                <w:color w:val="auto"/>
                <w:w w:val="93"/>
              </w:rPr>
              <w:t>Effective tax rate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6" w:name="page47"/>
    <w:bookmarkEnd w:id="46"/>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We recognized an income tax benefit of $17.0 million and $10.7 million for the three months ended October 31, 2021 and 2020, respectively. The change in the amount of income taxes recorded for the three months ended October 31, 2021 compared to the same period a year ago was primarily due to the increase in the loss before taxes and research and development credits, offset by a tax status change of certain foreign subsidiaries for U.S. tax purposes and certain non-deductible expenses.</w:t>
      </w:r>
    </w:p>
    <w:p>
      <w:pPr>
        <w:spacing w:after="0" w:line="12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effective tax rate of 25% for the three months ended October 31, 2021 differs from the statutory U.S. federal income tax rate of 21% due to permanent differences for stock-based compensation including excess tax benefits, research and development credits, and certain non-deductible expenses including executive compensation.</w:t>
      </w:r>
    </w:p>
    <w:p>
      <w:pPr>
        <w:spacing w:after="0" w:line="12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During the three months ended October 31, 2021, unrecognized tax benefits increased by $0.4 million. As of October 31, 2021, we had unrecognized tax benefits of $11.1 million that, if recognized, would affect our effective tax rate.</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23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reconciles the specific items excluded from GAAP in the calculation of non-GAAP financial measures for the periods indicated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98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7"/>
                <w:szCs w:val="17"/>
                <w:b w:val="1"/>
                <w:bCs w:val="1"/>
                <w:color w:val="auto"/>
              </w:rPr>
              <w:t>Three Months Ended October 31,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vMerge w:val="restart"/>
          </w:tcPr>
          <w:p>
            <w:pPr>
              <w:ind w:left="320"/>
              <w:spacing w:after="0"/>
              <w:rPr>
                <w:sz w:val="20"/>
                <w:szCs w:val="20"/>
                <w:color w:val="auto"/>
              </w:rPr>
            </w:pPr>
            <w:r>
              <w:rPr>
                <w:rFonts w:ascii="Arial" w:cs="Arial" w:eastAsia="Arial" w:hAnsi="Arial"/>
                <w:sz w:val="17"/>
                <w:szCs w:val="17"/>
                <w:b w:val="1"/>
                <w:bCs w:val="1"/>
                <w:color w:val="auto"/>
              </w:rPr>
              <w:t>Gross profit reconciliation:</w:t>
            </w:r>
          </w:p>
        </w:tc>
        <w:tc>
          <w:tcPr>
            <w:tcW w:w="1960" w:type="dxa"/>
            <w:vAlign w:val="bottom"/>
          </w:tcPr>
          <w:p>
            <w:pPr>
              <w:spacing w:after="0"/>
              <w:rPr>
                <w:sz w:val="18"/>
                <w:szCs w:val="18"/>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GAAP gross profit</w:t>
            </w:r>
          </w:p>
        </w:tc>
        <w:tc>
          <w:tcPr>
            <w:tcW w:w="3540" w:type="dxa"/>
            <w:vAlign w:val="bottom"/>
            <w:gridSpan w:val="2"/>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62,755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78,835</w:t>
            </w:r>
          </w:p>
        </w:tc>
        <w:tc>
          <w:tcPr>
            <w:tcW w:w="0" w:type="dxa"/>
            <w:vAlign w:val="bottom"/>
          </w:tcPr>
          <w:p>
            <w:pPr>
              <w:spacing w:after="0"/>
              <w:rPr>
                <w:sz w:val="1"/>
                <w:szCs w:val="1"/>
                <w:color w:val="auto"/>
              </w:rPr>
            </w:pPr>
          </w:p>
        </w:tc>
      </w:tr>
      <w:tr>
        <w:trPr>
          <w:trHeight w:val="218"/>
        </w:trPr>
        <w:tc>
          <w:tcPr>
            <w:tcW w:w="4580" w:type="dxa"/>
            <w:vAlign w:val="bottom"/>
          </w:tcPr>
          <w:p>
            <w:pPr>
              <w:ind w:left="320"/>
              <w:spacing w:after="0"/>
              <w:rPr>
                <w:sz w:val="20"/>
                <w:szCs w:val="20"/>
                <w:color w:val="auto"/>
              </w:rPr>
            </w:pPr>
            <w:r>
              <w:rPr>
                <w:rFonts w:ascii="Arial" w:cs="Arial" w:eastAsia="Arial" w:hAnsi="Arial"/>
                <w:sz w:val="17"/>
                <w:szCs w:val="17"/>
                <w:color w:val="auto"/>
              </w:rPr>
              <w:t>Non-GAAP adjustments:</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Stock-based compensation</w:t>
            </w:r>
          </w:p>
        </w:tc>
        <w:tc>
          <w:tcPr>
            <w:tcW w:w="19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8,396</w:t>
            </w: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Amortization of intangibles</w:t>
            </w:r>
          </w:p>
        </w:tc>
        <w:tc>
          <w:tcPr>
            <w:tcW w:w="19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4,526</w:t>
            </w: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Non-GAAP gross profit</w:t>
            </w:r>
          </w:p>
        </w:tc>
        <w:tc>
          <w:tcPr>
            <w:tcW w:w="3540" w:type="dxa"/>
            <w:vAlign w:val="bottom"/>
            <w:gridSpan w:val="2"/>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73,866</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91,757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Income (loss) from operations reconciliation:</w:t>
            </w:r>
          </w:p>
        </w:tc>
        <w:tc>
          <w:tcPr>
            <w:tcW w:w="19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320"/>
              <w:spacing w:after="0"/>
              <w:rPr>
                <w:sz w:val="20"/>
                <w:szCs w:val="20"/>
                <w:color w:val="auto"/>
              </w:rPr>
            </w:pPr>
            <w:r>
              <w:rPr>
                <w:rFonts w:ascii="Arial" w:cs="Arial" w:eastAsia="Arial" w:hAnsi="Arial"/>
                <w:sz w:val="17"/>
                <w:szCs w:val="17"/>
                <w:color w:val="auto"/>
              </w:rPr>
              <w:t>GAAP income (loss) from operations</w:t>
            </w:r>
          </w:p>
        </w:tc>
        <w:tc>
          <w:tcPr>
            <w:tcW w:w="3540" w:type="dxa"/>
            <w:vAlign w:val="bottom"/>
            <w:gridSpan w:val="2"/>
          </w:tcPr>
          <w:p>
            <w:pPr>
              <w:jc w:val="right"/>
              <w:ind w:right="107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(65,377)</w:t>
            </w:r>
          </w:p>
        </w:tc>
        <w:tc>
          <w:tcPr>
            <w:tcW w:w="100" w:type="dxa"/>
            <w:vAlign w:val="bottom"/>
          </w:tcPr>
          <w:p>
            <w:pPr>
              <w:spacing w:after="0"/>
              <w:rPr>
                <w:sz w:val="18"/>
                <w:szCs w:val="18"/>
                <w:color w:val="auto"/>
              </w:rPr>
            </w:pPr>
          </w:p>
        </w:tc>
        <w:tc>
          <w:tcPr>
            <w:tcW w:w="158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(31,604)</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Non-GAAP adjustments:</w:t>
            </w:r>
          </w:p>
        </w:tc>
        <w:tc>
          <w:tcPr>
            <w:tcW w:w="19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440"/>
              <w:spacing w:after="0"/>
              <w:rPr>
                <w:sz w:val="20"/>
                <w:szCs w:val="20"/>
                <w:color w:val="auto"/>
              </w:rPr>
            </w:pPr>
            <w:r>
              <w:rPr>
                <w:rFonts w:ascii="Arial" w:cs="Arial" w:eastAsia="Arial" w:hAnsi="Arial"/>
                <w:sz w:val="17"/>
                <w:szCs w:val="17"/>
                <w:color w:val="auto"/>
              </w:rPr>
              <w:t>Stock-based compensation</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32,240</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28,084</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Amortization of intangibles</w:t>
            </w:r>
          </w:p>
        </w:tc>
        <w:tc>
          <w:tcPr>
            <w:tcW w:w="19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6,323</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CCEEFF"/>
            </w:tcBorders>
          </w:tcPr>
          <w:p>
            <w:pPr>
              <w:ind w:left="440"/>
              <w:spacing w:after="0" w:line="219" w:lineRule="exact"/>
              <w:rPr>
                <w:sz w:val="20"/>
                <w:szCs w:val="20"/>
                <w:color w:val="auto"/>
              </w:rPr>
            </w:pPr>
            <w:r>
              <w:rPr>
                <w:rFonts w:ascii="Arial" w:cs="Arial" w:eastAsia="Arial" w:hAnsi="Arial"/>
                <w:sz w:val="17"/>
                <w:szCs w:val="17"/>
                <w:color w:val="auto"/>
              </w:rPr>
              <w:t>Acquisition consideration holdback</w:t>
            </w:r>
            <w:r>
              <w:rPr>
                <w:rFonts w:ascii="Arial" w:cs="Arial" w:eastAsia="Arial" w:hAnsi="Arial"/>
                <w:sz w:val="22"/>
                <w:szCs w:val="22"/>
                <w:color w:val="auto"/>
                <w:vertAlign w:val="superscript"/>
              </w:rPr>
              <w:t>(1)</w:t>
            </w:r>
          </w:p>
        </w:tc>
        <w:tc>
          <w:tcPr>
            <w:tcW w:w="19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Non-GAAP income (loss) from operations</w:t>
            </w:r>
          </w:p>
        </w:tc>
        <w:tc>
          <w:tcPr>
            <w:tcW w:w="3540" w:type="dxa"/>
            <w:vAlign w:val="bottom"/>
            <w:gridSpan w:val="2"/>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(28,710)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Net income (loss) reconciliation:</w:t>
            </w:r>
          </w:p>
        </w:tc>
        <w:tc>
          <w:tcPr>
            <w:tcW w:w="19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320"/>
              <w:spacing w:after="0"/>
              <w:rPr>
                <w:sz w:val="20"/>
                <w:szCs w:val="20"/>
                <w:color w:val="auto"/>
              </w:rPr>
            </w:pPr>
            <w:r>
              <w:rPr>
                <w:rFonts w:ascii="Arial" w:cs="Arial" w:eastAsia="Arial" w:hAnsi="Arial"/>
                <w:sz w:val="17"/>
                <w:szCs w:val="17"/>
                <w:color w:val="auto"/>
              </w:rPr>
              <w:t>GAAP net income (loss)</w:t>
            </w:r>
          </w:p>
        </w:tc>
        <w:tc>
          <w:tcPr>
            <w:tcW w:w="3540" w:type="dxa"/>
            <w:vAlign w:val="bottom"/>
            <w:gridSpan w:val="2"/>
          </w:tcPr>
          <w:p>
            <w:pPr>
              <w:jc w:val="right"/>
              <w:ind w:right="107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(51,276)</w:t>
            </w:r>
          </w:p>
        </w:tc>
        <w:tc>
          <w:tcPr>
            <w:tcW w:w="100" w:type="dxa"/>
            <w:vAlign w:val="bottom"/>
          </w:tcPr>
          <w:p>
            <w:pPr>
              <w:spacing w:after="0"/>
              <w:rPr>
                <w:sz w:val="18"/>
                <w:szCs w:val="18"/>
                <w:color w:val="auto"/>
              </w:rPr>
            </w:pPr>
          </w:p>
        </w:tc>
        <w:tc>
          <w:tcPr>
            <w:tcW w:w="158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(20,190)</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Non-GAAP adjustments:</w:t>
            </w:r>
          </w:p>
        </w:tc>
        <w:tc>
          <w:tcPr>
            <w:tcW w:w="19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440"/>
              <w:spacing w:after="0"/>
              <w:rPr>
                <w:sz w:val="20"/>
                <w:szCs w:val="20"/>
                <w:color w:val="auto"/>
              </w:rPr>
            </w:pPr>
            <w:r>
              <w:rPr>
                <w:rFonts w:ascii="Arial" w:cs="Arial" w:eastAsia="Arial" w:hAnsi="Arial"/>
                <w:sz w:val="17"/>
                <w:szCs w:val="17"/>
                <w:color w:val="auto"/>
              </w:rPr>
              <w:t>Stock-based compensation</w:t>
            </w:r>
          </w:p>
        </w:tc>
        <w:tc>
          <w:tcPr>
            <w:tcW w:w="1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32,240</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28,084</w:t>
            </w:r>
          </w:p>
        </w:tc>
        <w:tc>
          <w:tcPr>
            <w:tcW w:w="0" w:type="dxa"/>
            <w:vAlign w:val="bottom"/>
          </w:tcPr>
          <w:p>
            <w:pPr>
              <w:spacing w:after="0"/>
              <w:rPr>
                <w:sz w:val="1"/>
                <w:szCs w:val="1"/>
                <w:color w:val="auto"/>
              </w:rPr>
            </w:pPr>
          </w:p>
        </w:tc>
      </w:tr>
      <w:tr>
        <w:trPr>
          <w:trHeight w:val="696"/>
        </w:trPr>
        <w:tc>
          <w:tcPr>
            <w:tcW w:w="4580" w:type="dxa"/>
            <w:vAlign w:val="bottom"/>
          </w:tcPr>
          <w:p>
            <w:pPr>
              <w:spacing w:after="0"/>
              <w:rPr>
                <w:sz w:val="24"/>
                <w:szCs w:val="24"/>
                <w:color w:val="auto"/>
              </w:rPr>
            </w:pPr>
          </w:p>
        </w:tc>
        <w:tc>
          <w:tcPr>
            <w:tcW w:w="1960" w:type="dxa"/>
            <w:vAlign w:val="bottom"/>
          </w:tcPr>
          <w:p>
            <w:pPr>
              <w:jc w:val="right"/>
              <w:ind w:right="754"/>
              <w:spacing w:after="0"/>
              <w:rPr>
                <w:sz w:val="20"/>
                <w:szCs w:val="20"/>
                <w:color w:val="auto"/>
              </w:rPr>
            </w:pPr>
            <w:r>
              <w:rPr>
                <w:rFonts w:ascii="Arial" w:cs="Arial" w:eastAsia="Arial" w:hAnsi="Arial"/>
                <w:sz w:val="17"/>
                <w:szCs w:val="17"/>
                <w:color w:val="auto"/>
              </w:rPr>
              <w:t>35</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7" w:name="page48"/>
    <w:bookmarkEnd w:id="47"/>
    <w:tbl>
      <w:tblPr>
        <w:tblLayout w:type="fixed"/>
        <w:tblInd w:w="320" w:type="dxa"/>
        <w:tblCellMar>
          <w:top w:w="0" w:type="dxa"/>
          <w:left w:w="0" w:type="dxa"/>
          <w:bottom w:w="0" w:type="dxa"/>
          <w:right w:w="0" w:type="dxa"/>
        </w:tblCellMar>
      </w:tblPr>
      <w:tr>
        <w:trPr>
          <w:trHeight w:val="195"/>
        </w:trPr>
        <w:tc>
          <w:tcPr>
            <w:tcW w:w="1220" w:type="dxa"/>
            <w:vAlign w:val="bottom"/>
            <w:tcBorders>
              <w:bottom w:val="single" w:sz="8" w:color="0000FF"/>
            </w:tcBorders>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5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5"/>
        </w:trPr>
        <w:tc>
          <w:tcPr>
            <w:tcW w:w="65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Amortization of intangibles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8"/>
        </w:trPr>
        <w:tc>
          <w:tcPr>
            <w:tcW w:w="6520" w:type="dxa"/>
            <w:vAlign w:val="bottom"/>
            <w:gridSpan w:val="2"/>
          </w:tcPr>
          <w:p>
            <w:pPr>
              <w:ind w:left="440"/>
              <w:spacing w:after="0"/>
              <w:rPr>
                <w:sz w:val="20"/>
                <w:szCs w:val="20"/>
                <w:color w:val="auto"/>
              </w:rPr>
            </w:pPr>
            <w:r>
              <w:rPr>
                <w:rFonts w:ascii="Arial" w:cs="Arial" w:eastAsia="Arial" w:hAnsi="Arial"/>
                <w:sz w:val="17"/>
                <w:szCs w:val="17"/>
                <w:color w:val="auto"/>
              </w:rPr>
              <w:t>Amortization of debt discount and issuance costs</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3,524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440"/>
              <w:spacing w:after="0" w:line="220" w:lineRule="exact"/>
              <w:rPr>
                <w:sz w:val="20"/>
                <w:szCs w:val="20"/>
                <w:color w:val="auto"/>
              </w:rPr>
            </w:pPr>
            <w:r>
              <w:rPr>
                <w:rFonts w:ascii="Arial" w:cs="Arial" w:eastAsia="Arial" w:hAnsi="Arial"/>
                <w:sz w:val="17"/>
                <w:szCs w:val="17"/>
                <w:color w:val="auto"/>
              </w:rPr>
              <w:t>Acquisition consideration holdback</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20" w:type="dxa"/>
            <w:vAlign w:val="bottom"/>
            <w:tcBorders>
              <w:bottom w:val="single" w:sz="8" w:color="CCEEFF"/>
            </w:tcBorders>
            <w:gridSpan w:val="2"/>
          </w:tcPr>
          <w:p>
            <w:pPr>
              <w:ind w:left="440"/>
              <w:spacing w:after="0" w:line="219" w:lineRule="exact"/>
              <w:rPr>
                <w:sz w:val="20"/>
                <w:szCs w:val="20"/>
                <w:color w:val="auto"/>
              </w:rPr>
            </w:pPr>
            <w:r>
              <w:rPr>
                <w:rFonts w:ascii="Arial" w:cs="Arial" w:eastAsia="Arial" w:hAnsi="Arial"/>
                <w:sz w:val="17"/>
                <w:szCs w:val="17"/>
                <w:color w:val="auto"/>
              </w:rPr>
              <w:t>Tax impact of non-GAAP adjustments</w:t>
            </w:r>
            <w:r>
              <w:rPr>
                <w:rFonts w:ascii="Arial" w:cs="Arial" w:eastAsia="Arial" w:hAnsi="Arial"/>
                <w:sz w:val="22"/>
                <w:szCs w:val="22"/>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(6,966)</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Non-GAAP net income (loss)</w:t>
            </w:r>
          </w:p>
        </w:tc>
        <w:tc>
          <w:tcPr>
            <w:tcW w:w="9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(18,051)</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Tax provision (benefit) reconciliation:</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20" w:type="dxa"/>
            <w:vAlign w:val="bottom"/>
            <w:gridSpan w:val="2"/>
          </w:tcPr>
          <w:p>
            <w:pPr>
              <w:ind w:left="320"/>
              <w:spacing w:after="0"/>
              <w:rPr>
                <w:sz w:val="20"/>
                <w:szCs w:val="20"/>
                <w:color w:val="auto"/>
              </w:rPr>
            </w:pPr>
            <w:r>
              <w:rPr>
                <w:rFonts w:ascii="Arial" w:cs="Arial" w:eastAsia="Arial" w:hAnsi="Arial"/>
                <w:sz w:val="17"/>
                <w:szCs w:val="17"/>
                <w:color w:val="auto"/>
              </w:rPr>
              <w:t>GAAP tax provision (benefit)</w:t>
            </w:r>
          </w:p>
        </w:tc>
        <w:tc>
          <w:tcPr>
            <w:tcW w:w="94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(17,038)</w:t>
            </w:r>
          </w:p>
        </w:tc>
        <w:tc>
          <w:tcPr>
            <w:tcW w:w="80" w:type="dxa"/>
            <w:vAlign w:val="bottom"/>
          </w:tcPr>
          <w:p>
            <w:pPr>
              <w:spacing w:after="0"/>
              <w:rPr>
                <w:sz w:val="18"/>
                <w:szCs w:val="18"/>
                <w:color w:val="auto"/>
              </w:rPr>
            </w:pPr>
          </w:p>
        </w:tc>
        <w:tc>
          <w:tcPr>
            <w:tcW w:w="94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Non-GAAP adjustments: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20" w:type="dxa"/>
            <w:vAlign w:val="bottom"/>
            <w:gridSpan w:val="2"/>
          </w:tcPr>
          <w:p>
            <w:pPr>
              <w:ind w:left="52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11,548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Amortization of intangibles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8"/>
        </w:trPr>
        <w:tc>
          <w:tcPr>
            <w:tcW w:w="6520" w:type="dxa"/>
            <w:vAlign w:val="bottom"/>
            <w:gridSpan w:val="2"/>
          </w:tcPr>
          <w:p>
            <w:pPr>
              <w:ind w:left="520"/>
              <w:spacing w:after="0"/>
              <w:rPr>
                <w:sz w:val="20"/>
                <w:szCs w:val="20"/>
                <w:color w:val="auto"/>
              </w:rPr>
            </w:pPr>
            <w:r>
              <w:rPr>
                <w:rFonts w:ascii="Arial" w:cs="Arial" w:eastAsia="Arial" w:hAnsi="Arial"/>
                <w:sz w:val="17"/>
                <w:szCs w:val="17"/>
                <w:color w:val="auto"/>
              </w:rPr>
              <w:t>Amortization of debt discount and issuance costs</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1,262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520"/>
              <w:spacing w:after="0" w:line="220" w:lineRule="exact"/>
              <w:rPr>
                <w:sz w:val="20"/>
                <w:szCs w:val="20"/>
                <w:color w:val="auto"/>
              </w:rPr>
            </w:pPr>
            <w:r>
              <w:rPr>
                <w:rFonts w:ascii="Arial" w:cs="Arial" w:eastAsia="Arial" w:hAnsi="Arial"/>
                <w:sz w:val="17"/>
                <w:szCs w:val="17"/>
                <w:color w:val="auto"/>
              </w:rPr>
              <w:t>Acquisition consideration holdback</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20" w:type="dxa"/>
            <w:vAlign w:val="bottom"/>
            <w:tcBorders>
              <w:bottom w:val="single" w:sz="8" w:color="CCEEFF"/>
            </w:tcBorders>
            <w:gridSpan w:val="2"/>
          </w:tcPr>
          <w:p>
            <w:pPr>
              <w:ind w:left="520"/>
              <w:spacing w:after="0" w:line="219" w:lineRule="exact"/>
              <w:rPr>
                <w:sz w:val="20"/>
                <w:szCs w:val="20"/>
                <w:color w:val="auto"/>
              </w:rPr>
            </w:pPr>
            <w:r>
              <w:rPr>
                <w:rFonts w:ascii="Arial" w:cs="Arial" w:eastAsia="Arial" w:hAnsi="Arial"/>
                <w:sz w:val="17"/>
                <w:szCs w:val="17"/>
                <w:color w:val="auto"/>
              </w:rPr>
              <w:t>Tax impact of non-GAAP adjustments</w:t>
            </w:r>
            <w:r>
              <w:rPr>
                <w:rFonts w:ascii="Arial" w:cs="Arial" w:eastAsia="Arial" w:hAnsi="Arial"/>
                <w:sz w:val="22"/>
                <w:szCs w:val="22"/>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(7,430)</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Non-GAAP tax provision (benefit)</w:t>
            </w:r>
          </w:p>
        </w:tc>
        <w:tc>
          <w:tcPr>
            <w:tcW w:w="9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(10,072)</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2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Net income (loss) per share reconciliation:</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20" w:type="dxa"/>
            <w:vAlign w:val="bottom"/>
            <w:gridSpan w:val="2"/>
          </w:tcPr>
          <w:p>
            <w:pPr>
              <w:ind w:left="320"/>
              <w:spacing w:after="0"/>
              <w:rPr>
                <w:sz w:val="20"/>
                <w:szCs w:val="20"/>
                <w:color w:val="auto"/>
              </w:rPr>
            </w:pPr>
            <w:r>
              <w:rPr>
                <w:rFonts w:ascii="Arial" w:cs="Arial" w:eastAsia="Arial" w:hAnsi="Arial"/>
                <w:sz w:val="17"/>
                <w:szCs w:val="17"/>
                <w:color w:val="auto"/>
              </w:rPr>
              <w:t>GAAP net income (loss) per share — diluted</w:t>
            </w:r>
          </w:p>
        </w:tc>
        <w:tc>
          <w:tcPr>
            <w:tcW w:w="94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(0.62)</w:t>
            </w:r>
          </w:p>
        </w:tc>
        <w:tc>
          <w:tcPr>
            <w:tcW w:w="80" w:type="dxa"/>
            <w:vAlign w:val="bottom"/>
          </w:tcPr>
          <w:p>
            <w:pPr>
              <w:spacing w:after="0"/>
              <w:rPr>
                <w:sz w:val="18"/>
                <w:szCs w:val="18"/>
                <w:color w:val="auto"/>
              </w:rPr>
            </w:pPr>
          </w:p>
        </w:tc>
        <w:tc>
          <w:tcPr>
            <w:tcW w:w="94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Non-GAAP adjustments: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20" w:type="dxa"/>
            <w:vAlign w:val="bottom"/>
            <w:gridSpan w:val="2"/>
          </w:tcPr>
          <w:p>
            <w:pPr>
              <w:ind w:left="52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0.39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Amortization of intangibles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8"/>
        </w:trPr>
        <w:tc>
          <w:tcPr>
            <w:tcW w:w="6520" w:type="dxa"/>
            <w:vAlign w:val="bottom"/>
            <w:gridSpan w:val="2"/>
          </w:tcPr>
          <w:p>
            <w:pPr>
              <w:ind w:left="520"/>
              <w:spacing w:after="0"/>
              <w:rPr>
                <w:sz w:val="20"/>
                <w:szCs w:val="20"/>
                <w:color w:val="auto"/>
              </w:rPr>
            </w:pPr>
            <w:r>
              <w:rPr>
                <w:rFonts w:ascii="Arial" w:cs="Arial" w:eastAsia="Arial" w:hAnsi="Arial"/>
                <w:sz w:val="17"/>
                <w:szCs w:val="17"/>
                <w:color w:val="auto"/>
              </w:rPr>
              <w:t>Amortization of debt discount and issuance costs</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0.04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520"/>
              <w:spacing w:after="0" w:line="220" w:lineRule="exact"/>
              <w:rPr>
                <w:sz w:val="20"/>
                <w:szCs w:val="20"/>
                <w:color w:val="auto"/>
              </w:rPr>
            </w:pPr>
            <w:r>
              <w:rPr>
                <w:rFonts w:ascii="Arial" w:cs="Arial" w:eastAsia="Arial" w:hAnsi="Arial"/>
                <w:sz w:val="17"/>
                <w:szCs w:val="17"/>
                <w:color w:val="auto"/>
              </w:rPr>
              <w:t>Acquisition consideration holdback</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20" w:type="dxa"/>
            <w:vAlign w:val="bottom"/>
            <w:gridSpan w:val="2"/>
          </w:tcPr>
          <w:p>
            <w:pPr>
              <w:ind w:left="520"/>
              <w:spacing w:after="0" w:line="219" w:lineRule="exact"/>
              <w:rPr>
                <w:sz w:val="20"/>
                <w:szCs w:val="20"/>
                <w:color w:val="auto"/>
              </w:rPr>
            </w:pPr>
            <w:r>
              <w:rPr>
                <w:rFonts w:ascii="Arial" w:cs="Arial" w:eastAsia="Arial" w:hAnsi="Arial"/>
                <w:sz w:val="17"/>
                <w:szCs w:val="17"/>
                <w:color w:val="auto"/>
              </w:rPr>
              <w:t>Tax impact of non-GAAP adjustments</w:t>
            </w:r>
            <w:r>
              <w:rPr>
                <w:rFonts w:ascii="Arial" w:cs="Arial" w:eastAsia="Arial" w:hAnsi="Arial"/>
                <w:sz w:val="22"/>
                <w:szCs w:val="22"/>
                <w:color w:val="auto"/>
                <w:vertAlign w:val="superscript"/>
              </w:rPr>
              <w:t>(2)</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(0.08)</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68"/>
        </w:trPr>
        <w:tc>
          <w:tcPr>
            <w:tcW w:w="6520" w:type="dxa"/>
            <w:vAlign w:val="bottom"/>
            <w:gridSpan w:val="2"/>
            <w:shd w:val="clear" w:color="auto" w:fill="CCEEFF"/>
          </w:tcPr>
          <w:p>
            <w:pPr>
              <w:ind w:left="520"/>
              <w:spacing w:after="0" w:line="167" w:lineRule="exact"/>
              <w:rPr>
                <w:sz w:val="20"/>
                <w:szCs w:val="20"/>
                <w:color w:val="auto"/>
              </w:rPr>
            </w:pPr>
            <w:r>
              <w:rPr>
                <w:rFonts w:ascii="Arial" w:cs="Arial" w:eastAsia="Arial" w:hAnsi="Arial"/>
                <w:sz w:val="17"/>
                <w:szCs w:val="17"/>
                <w:color w:val="auto"/>
              </w:rPr>
              <w:t>Non-GAAP dilutive shares excluded from GAAP net income (loss) per share</w:t>
            </w:r>
          </w:p>
        </w:tc>
        <w:tc>
          <w:tcPr>
            <w:tcW w:w="9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7"/>
                <w:szCs w:val="17"/>
                <w:color w:val="auto"/>
              </w:rPr>
              <w:t>calculation</w:t>
            </w:r>
            <w:r>
              <w:rPr>
                <w:rFonts w:ascii="Arial" w:cs="Arial" w:eastAsia="Arial" w:hAnsi="Arial"/>
                <w:sz w:val="22"/>
                <w:szCs w:val="22"/>
                <w:color w:val="auto"/>
                <w:vertAlign w:val="superscript"/>
              </w:rPr>
              <w:t>(3)</w:t>
            </w:r>
          </w:p>
        </w:tc>
        <w:tc>
          <w:tcPr>
            <w:tcW w:w="9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ind w:left="320"/>
              <w:spacing w:after="0"/>
              <w:rPr>
                <w:sz w:val="20"/>
                <w:szCs w:val="20"/>
                <w:color w:val="auto"/>
              </w:rPr>
            </w:pPr>
            <w:r>
              <w:rPr>
                <w:rFonts w:ascii="Arial" w:cs="Arial" w:eastAsia="Arial" w:hAnsi="Arial"/>
                <w:sz w:val="17"/>
                <w:szCs w:val="17"/>
                <w:color w:val="auto"/>
              </w:rPr>
              <w:t>Non-GAAP net income (loss) per share — diluted</w:t>
            </w: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(0.21)</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Shares used in computing Non-GAAP income (loss) per share amounts:</w:t>
            </w: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5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5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GAAP weighted average shares — diluted</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83,225,743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83,613,2</w:t>
            </w:r>
          </w:p>
        </w:tc>
        <w:tc>
          <w:tcPr>
            <w:tcW w:w="0" w:type="dxa"/>
            <w:vAlign w:val="bottom"/>
          </w:tcPr>
          <w:p>
            <w:pPr>
              <w:spacing w:after="0"/>
              <w:rPr>
                <w:sz w:val="1"/>
                <w:szCs w:val="1"/>
                <w:color w:val="auto"/>
              </w:rPr>
            </w:pPr>
          </w:p>
        </w:tc>
      </w:tr>
      <w:tr>
        <w:trPr>
          <w:trHeight w:val="219"/>
        </w:trPr>
        <w:tc>
          <w:tcPr>
            <w:tcW w:w="6520" w:type="dxa"/>
            <w:vAlign w:val="bottom"/>
            <w:gridSpan w:val="2"/>
          </w:tcPr>
          <w:p>
            <w:pPr>
              <w:ind w:left="440"/>
              <w:spacing w:after="0" w:line="219" w:lineRule="exact"/>
              <w:rPr>
                <w:sz w:val="20"/>
                <w:szCs w:val="20"/>
                <w:color w:val="auto"/>
              </w:rPr>
            </w:pPr>
            <w:r>
              <w:rPr>
                <w:rFonts w:ascii="Arial" w:cs="Arial" w:eastAsia="Arial" w:hAnsi="Arial"/>
                <w:sz w:val="17"/>
                <w:szCs w:val="17"/>
                <w:color w:val="auto"/>
                <w:w w:val="93"/>
              </w:rPr>
              <w:t>Non-GAAP dilutive shares excluded from GAAP income (loss) per share calculation</w:t>
            </w:r>
            <w:r>
              <w:rPr>
                <w:rFonts w:ascii="Arial" w:cs="Arial" w:eastAsia="Arial" w:hAnsi="Arial"/>
                <w:sz w:val="22"/>
                <w:szCs w:val="22"/>
                <w:color w:val="auto"/>
                <w:w w:val="93"/>
                <w:vertAlign w:val="superscript"/>
              </w:rPr>
              <w:t>(3)</w:t>
            </w:r>
          </w:p>
        </w:tc>
        <w:tc>
          <w:tcPr>
            <w:tcW w:w="9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586,2</w:t>
            </w:r>
          </w:p>
        </w:tc>
        <w:tc>
          <w:tcPr>
            <w:tcW w:w="0" w:type="dxa"/>
            <w:vAlign w:val="bottom"/>
          </w:tcPr>
          <w:p>
            <w:pPr>
              <w:spacing w:after="0"/>
              <w:rPr>
                <w:sz w:val="1"/>
                <w:szCs w:val="1"/>
                <w:color w:val="auto"/>
              </w:rPr>
            </w:pPr>
          </w:p>
        </w:tc>
      </w:tr>
      <w:tr>
        <w:trPr>
          <w:trHeight w:val="237"/>
        </w:trPr>
        <w:tc>
          <w:tcPr>
            <w:tcW w:w="65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Pro forma weighted average shares — diluted</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83,225,743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84,199,5</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100" w:firstLine="3"/>
        <w:spacing w:after="0" w:line="239" w:lineRule="auto"/>
        <w:tabs>
          <w:tab w:leader="none" w:pos="21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the first quarter of fiscal year 2022, the acquisition consideration holdback that is earned and recognized as expense over a post-acquisition service period is excluded from non-GAAP measures. Prior to the first quarter of fiscal year 2022, there was no acquisition consideration holdback in any periods presented.</w:t>
      </w:r>
    </w:p>
    <w:p>
      <w:pPr>
        <w:ind w:left="200" w:hanging="197"/>
        <w:spacing w:after="0" w:line="230" w:lineRule="auto"/>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Adjustments reflect the impact on the tax benefit (provision) from all non-GAAP adjustments.</w:t>
      </w:r>
    </w:p>
    <w:p>
      <w:pPr>
        <w:ind w:right="100" w:firstLine="3"/>
        <w:spacing w:after="0" w:line="269" w:lineRule="auto"/>
        <w:tabs>
          <w:tab w:leader="none" w:pos="197" w:val="left"/>
        </w:tabs>
        <w:numPr>
          <w:ilvl w:val="0"/>
          <w:numId w:val="15"/>
        </w:numPr>
        <w:rPr>
          <w:rFonts w:ascii="Arial" w:cs="Arial" w:eastAsia="Arial" w:hAnsi="Arial"/>
          <w:sz w:val="13"/>
          <w:szCs w:val="13"/>
          <w:color w:val="auto"/>
        </w:rPr>
      </w:pPr>
      <w:r>
        <w:rPr>
          <w:rFonts w:ascii="Arial" w:cs="Arial" w:eastAsia="Arial" w:hAnsi="Arial"/>
          <w:sz w:val="13"/>
          <w:szCs w:val="13"/>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20"/>
                <w:szCs w:val="20"/>
                <w:color w:val="auto"/>
              </w:rPr>
            </w:pPr>
            <w:r>
              <w:rPr>
                <w:rFonts w:ascii="Arial" w:cs="Arial" w:eastAsia="Arial" w:hAnsi="Arial"/>
                <w:sz w:val="17"/>
                <w:szCs w:val="17"/>
                <w:b w:val="1"/>
                <w:bCs w:val="1"/>
                <w:color w:val="auto"/>
              </w:rPr>
              <w:t>Liquidity and Capital Resources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61"/>
        </w:trPr>
        <w:tc>
          <w:tcPr>
            <w:tcW w:w="6520" w:type="dxa"/>
            <w:vAlign w:val="bottom"/>
          </w:tcPr>
          <w:p>
            <w:pPr>
              <w:ind w:left="320"/>
              <w:spacing w:after="0"/>
              <w:rPr>
                <w:sz w:val="20"/>
                <w:szCs w:val="20"/>
                <w:color w:val="auto"/>
              </w:rPr>
            </w:pPr>
            <w:r>
              <w:rPr>
                <w:rFonts w:ascii="Arial" w:cs="Arial" w:eastAsia="Arial" w:hAnsi="Arial"/>
                <w:sz w:val="17"/>
                <w:szCs w:val="17"/>
                <w:color w:val="auto"/>
              </w:rPr>
              <w:t>Our principal sources of liquidity are as follows (in thousands):</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5"/>
        </w:trPr>
        <w:tc>
          <w:tcPr>
            <w:tcW w:w="6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October 31, 2021</w:t>
            </w:r>
          </w:p>
        </w:tc>
        <w:tc>
          <w:tcPr>
            <w:tcW w:w="620" w:type="dxa"/>
            <w:vAlign w:val="bottom"/>
          </w:tcPr>
          <w:p>
            <w:pPr>
              <w:spacing w:after="0"/>
              <w:rPr>
                <w:sz w:val="21"/>
                <w:szCs w:val="21"/>
                <w:color w:val="auto"/>
              </w:rPr>
            </w:pPr>
          </w:p>
        </w:tc>
        <w:tc>
          <w:tcPr>
            <w:tcW w:w="1700" w:type="dxa"/>
            <w:vAlign w:val="bottom"/>
          </w:tcPr>
          <w:p>
            <w:pPr>
              <w:jc w:val="right"/>
              <w:ind w:right="434"/>
              <w:spacing w:after="0"/>
              <w:rPr>
                <w:sz w:val="20"/>
                <w:szCs w:val="20"/>
                <w:color w:val="auto"/>
              </w:rPr>
            </w:pPr>
            <w:r>
              <w:rPr>
                <w:rFonts w:ascii="Arial" w:cs="Arial" w:eastAsia="Arial" w:hAnsi="Arial"/>
                <w:sz w:val="17"/>
                <w:szCs w:val="17"/>
                <w:b w:val="1"/>
                <w:bCs w:val="1"/>
                <w:color w:val="auto"/>
              </w:rPr>
              <w:t>July 31, 2021</w:t>
            </w:r>
          </w:p>
        </w:tc>
      </w:tr>
      <w:tr>
        <w:trPr>
          <w:trHeight w:val="213"/>
        </w:trPr>
        <w:tc>
          <w:tcPr>
            <w:tcW w:w="6520" w:type="dxa"/>
            <w:vAlign w:val="bottom"/>
          </w:tcPr>
          <w:p>
            <w:pPr>
              <w:ind w:left="320"/>
              <w:spacing w:after="0"/>
              <w:rPr>
                <w:sz w:val="20"/>
                <w:szCs w:val="20"/>
                <w:color w:val="auto"/>
              </w:rPr>
            </w:pPr>
            <w:r>
              <w:rPr>
                <w:rFonts w:ascii="Arial" w:cs="Arial" w:eastAsia="Arial" w:hAnsi="Arial"/>
                <w:sz w:val="17"/>
                <w:szCs w:val="17"/>
                <w:color w:val="auto"/>
              </w:rPr>
              <w:t>Cash, cash equivalents, and investments</w:t>
            </w:r>
          </w:p>
        </w:tc>
        <w:tc>
          <w:tcPr>
            <w:tcW w:w="5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1,139,623</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1,346,591</w:t>
            </w:r>
          </w:p>
        </w:tc>
      </w:tr>
      <w:tr>
        <w:trPr>
          <w:trHeight w:val="220"/>
        </w:trPr>
        <w:tc>
          <w:tcPr>
            <w:tcW w:w="6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Working capital</w:t>
            </w: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876,498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1,054,971</w:t>
            </w: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Cash Equivalents, and Investments</w:t>
      </w:r>
    </w:p>
    <w:p>
      <w:pPr>
        <w:spacing w:after="0" w:line="243" w:lineRule="exact"/>
        <w:rPr>
          <w:sz w:val="20"/>
          <w:szCs w:val="20"/>
          <w:color w:val="auto"/>
        </w:rPr>
      </w:pPr>
    </w:p>
    <w:p>
      <w:pPr>
        <w:jc w:val="both"/>
        <w:ind w:right="100" w:firstLine="309"/>
        <w:spacing w:after="0" w:line="279" w:lineRule="auto"/>
        <w:rPr>
          <w:sz w:val="20"/>
          <w:szCs w:val="20"/>
          <w:color w:val="auto"/>
        </w:rPr>
      </w:pPr>
      <w:r>
        <w:rPr>
          <w:rFonts w:ascii="Arial" w:cs="Arial" w:eastAsia="Arial" w:hAnsi="Arial"/>
          <w:sz w:val="17"/>
          <w:szCs w:val="17"/>
          <w:color w:val="auto"/>
        </w:rPr>
        <w:t>Our cash and cash equivalents are comprised of cash and liquid investments with remaining maturities of 90 days or less from the date of purchase, primarily commercial paper and money market funds. Our investments primarily consist of corporate debt</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66" w:right="239" w:bottom="1440" w:gutter="0" w:footer="0" w:header="0"/>
        </w:sectPr>
      </w:pPr>
    </w:p>
    <w:bookmarkStart w:id="48" w:name="page49"/>
    <w:bookmarkEnd w:id="48"/>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securities, U.S. government and agency debt securities, commercial paper, asset-backed securities, and non-U.S. government securities, which include state, municipal and foreign government securities.</w:t>
      </w:r>
    </w:p>
    <w:p>
      <w:pPr>
        <w:spacing w:after="0" w:line="10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October 31, 2021, approximately $37.2 million of our cash and cash equivalents were domiciled in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8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October 2020, our board of directors authorized and approved a stock repurchase program of up to $200.0 million of our outstanding common stock. During the three months ended October 31, 2021, we repurchased 226,172 shares of common stock at an average price of $116.12 per share, for an aggregate purchase price of $26.3 million. As of October 31, 2021, $11.2 million remained available for future share repurchases.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3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and operating costs, and expansion into other markets. We also may invest in or acquire complementary businesses, applications or technologies, or may expand our board-authorized stock repurchase program, which may require the use of significant cash resources and/or additional financing.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10960" w:type="dxa"/>
            <w:vAlign w:val="bottom"/>
            <w:gridSpan w:val="9"/>
          </w:tcPr>
          <w:p>
            <w:pPr>
              <w:ind w:left="40"/>
              <w:spacing w:after="0"/>
              <w:rPr>
                <w:sz w:val="20"/>
                <w:szCs w:val="20"/>
                <w:color w:val="auto"/>
              </w:rPr>
            </w:pPr>
            <w:r>
              <w:rPr>
                <w:rFonts w:ascii="Arial" w:cs="Arial" w:eastAsia="Arial" w:hAnsi="Arial"/>
                <w:sz w:val="17"/>
                <w:szCs w:val="17"/>
                <w:color w:val="auto"/>
                <w:w w:val="92"/>
              </w:rPr>
              <w:t>The following summary of cash flows for the periods indicated has been derived from our condensed consolidated financial statements included elsewhere in</w:t>
            </w:r>
          </w:p>
        </w:tc>
      </w:tr>
      <w:tr>
        <w:trPr>
          <w:trHeight w:val="217"/>
        </w:trPr>
        <w:tc>
          <w:tcPr>
            <w:tcW w:w="280" w:type="dxa"/>
            <w:vAlign w:val="bottom"/>
          </w:tcPr>
          <w:p>
            <w:pPr>
              <w:spacing w:after="0"/>
              <w:rPr>
                <w:sz w:val="20"/>
                <w:szCs w:val="20"/>
                <w:color w:val="auto"/>
              </w:rPr>
            </w:pPr>
            <w:r>
              <w:rPr>
                <w:rFonts w:ascii="Arial" w:cs="Arial" w:eastAsia="Arial" w:hAnsi="Arial"/>
                <w:sz w:val="17"/>
                <w:szCs w:val="17"/>
                <w:color w:val="auto"/>
                <w:w w:val="98"/>
              </w:rPr>
              <w:t>this</w:t>
            </w:r>
          </w:p>
        </w:tc>
        <w:tc>
          <w:tcPr>
            <w:tcW w:w="2340" w:type="dxa"/>
            <w:vAlign w:val="bottom"/>
          </w:tcPr>
          <w:p>
            <w:pPr>
              <w:ind w:left="1120"/>
              <w:spacing w:after="0"/>
              <w:rPr>
                <w:sz w:val="20"/>
                <w:szCs w:val="20"/>
                <w:color w:val="auto"/>
              </w:rPr>
            </w:pPr>
            <w:r>
              <w:rPr>
                <w:rFonts w:ascii="Arial" w:cs="Arial" w:eastAsia="Arial" w:hAnsi="Arial"/>
                <w:sz w:val="17"/>
                <w:szCs w:val="17"/>
                <w:color w:val="auto"/>
              </w:rPr>
              <w:t>Quarterly</w:t>
            </w:r>
          </w:p>
        </w:tc>
        <w:tc>
          <w:tcPr>
            <w:tcW w:w="1680" w:type="dxa"/>
            <w:vAlign w:val="bottom"/>
          </w:tcPr>
          <w:p>
            <w:pPr>
              <w:ind w:left="580"/>
              <w:spacing w:after="0"/>
              <w:rPr>
                <w:sz w:val="20"/>
                <w:szCs w:val="20"/>
                <w:color w:val="auto"/>
              </w:rPr>
            </w:pPr>
            <w:r>
              <w:rPr>
                <w:rFonts w:ascii="Arial" w:cs="Arial" w:eastAsia="Arial" w:hAnsi="Arial"/>
                <w:sz w:val="17"/>
                <w:szCs w:val="17"/>
                <w:color w:val="auto"/>
              </w:rPr>
              <w:t>Report</w:t>
            </w:r>
          </w:p>
        </w:tc>
        <w:tc>
          <w:tcPr>
            <w:tcW w:w="1240" w:type="dxa"/>
            <w:vAlign w:val="bottom"/>
          </w:tcPr>
          <w:p>
            <w:pPr>
              <w:ind w:left="500"/>
              <w:spacing w:after="0"/>
              <w:rPr>
                <w:sz w:val="20"/>
                <w:szCs w:val="20"/>
                <w:color w:val="auto"/>
              </w:rPr>
            </w:pPr>
            <w:r>
              <w:rPr>
                <w:rFonts w:ascii="Arial" w:cs="Arial" w:eastAsia="Arial" w:hAnsi="Arial"/>
                <w:sz w:val="17"/>
                <w:szCs w:val="17"/>
                <w:color w:val="auto"/>
              </w:rPr>
              <w:t>on</w:t>
            </w:r>
          </w:p>
        </w:tc>
        <w:tc>
          <w:tcPr>
            <w:tcW w:w="1920" w:type="dxa"/>
            <w:vAlign w:val="bottom"/>
          </w:tcPr>
          <w:p>
            <w:pPr>
              <w:ind w:left="580"/>
              <w:spacing w:after="0"/>
              <w:rPr>
                <w:sz w:val="20"/>
                <w:szCs w:val="20"/>
                <w:color w:val="auto"/>
              </w:rPr>
            </w:pPr>
            <w:r>
              <w:rPr>
                <w:rFonts w:ascii="Arial" w:cs="Arial" w:eastAsia="Arial" w:hAnsi="Arial"/>
                <w:sz w:val="17"/>
                <w:szCs w:val="17"/>
                <w:color w:val="auto"/>
              </w:rPr>
              <w:t>Form</w:t>
            </w: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10-Q</w:t>
            </w:r>
          </w:p>
        </w:tc>
        <w:tc>
          <w:tcPr>
            <w:tcW w:w="1300" w:type="dxa"/>
            <w:vAlign w:val="bottom"/>
            <w:gridSpan w:val="2"/>
          </w:tcPr>
          <w:p>
            <w:pPr>
              <w:ind w:left="1000"/>
              <w:spacing w:after="0"/>
              <w:rPr>
                <w:sz w:val="20"/>
                <w:szCs w:val="20"/>
                <w:color w:val="auto"/>
              </w:rPr>
            </w:pPr>
            <w:r>
              <w:rPr>
                <w:rFonts w:ascii="Arial" w:cs="Arial" w:eastAsia="Arial" w:hAnsi="Arial"/>
                <w:sz w:val="17"/>
                <w:szCs w:val="17"/>
                <w:color w:val="auto"/>
              </w:rPr>
              <w:t>(in</w:t>
            </w: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thousands):</w:t>
            </w:r>
          </w:p>
        </w:tc>
      </w:tr>
      <w:tr>
        <w:trPr>
          <w:trHeight w:val="246"/>
        </w:trPr>
        <w:tc>
          <w:tcPr>
            <w:tcW w:w="2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7"/>
                <w:szCs w:val="17"/>
                <w:b w:val="1"/>
                <w:bCs w:val="1"/>
                <w:color w:val="auto"/>
                <w:w w:val="97"/>
              </w:rPr>
              <w:t>Three Months Ended October 31,</w:t>
            </w:r>
          </w:p>
        </w:tc>
      </w:tr>
      <w:tr>
        <w:trPr>
          <w:trHeight w:val="213"/>
        </w:trPr>
        <w:tc>
          <w:tcPr>
            <w:tcW w:w="28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r>
      <w:tr>
        <w:trPr>
          <w:trHeight w:val="212"/>
        </w:trPr>
        <w:tc>
          <w:tcPr>
            <w:tcW w:w="28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1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(15,707)</w:t>
            </w:r>
          </w:p>
        </w:tc>
      </w:tr>
      <w:tr>
        <w:trPr>
          <w:trHeight w:val="218"/>
        </w:trPr>
        <w:tc>
          <w:tcPr>
            <w:tcW w:w="2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Arial" w:cs="Arial" w:eastAsia="Arial" w:hAnsi="Arial"/>
                <w:sz w:val="17"/>
                <w:szCs w:val="17"/>
                <w:color w:val="auto"/>
              </w:rPr>
              <w:t>Net cash provided by (used in) investing activities</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8,081</w:t>
            </w:r>
          </w:p>
        </w:tc>
        <w:tc>
          <w:tcPr>
            <w:tcW w:w="10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(53,399)</w:t>
            </w:r>
          </w:p>
        </w:tc>
      </w:tr>
      <w:tr>
        <w:trPr>
          <w:trHeight w:val="220"/>
        </w:trPr>
        <w:tc>
          <w:tcPr>
            <w:tcW w:w="28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1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w:t>
            </w:r>
          </w:p>
        </w:tc>
      </w:tr>
    </w:tbl>
    <w:p>
      <w:pPr>
        <w:spacing w:after="0" w:line="3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8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Net cash used in operating activities was $107.0 million for the three months ended October 31, 2021 compared to net cash used in operating activities of $15.7 million during the three months ended October 31, 2020. This $91.3 million increase in operating cash used was primarily attributable to $69.1 million from the payout of our fiscal year 2021 corporate bonus and accrued vacation balances in countries in which we adopted a non-accrual vacation policy, offset by $11.1 million in cash provided by other working capital activities, and a $33.3 million increase in net loss after excluding the impact of non-cash charges such as deferred taxes, stock-based compensation expense, depreciation and amortization expense, and other non-cash items.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0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Net cash provided by investing activities was $8.1 million for the three months ended October 31, 2021 compared to net cash used in investing activities of $53.4 million for the three months ended October 31, 2020. The $61.5 million increase in cash provided by investing activities was primarily due to a $105.9 million decrease in net purchases of available-for-sale securities and a $2.0 million decrease in strategic investments, partially offset by $43.8 million paid as purchase consideration for the acquisition of HazardHub and a $2.6 million decrease in capital expenditures and capitalized software development costs.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Net cash used in financing activities for the three months ended October 31, 2021 was $26.2 million compared to $3.3 million net cash used in financing activities for the three months ended October 31, 2020. This $23.0 million increase in cash used was primarily because we repurchased $21.3 million more of our common stock under our share repurchase program and, to a lesser extent, a decrease in proceeds from option exercises of $1.7 million.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9" w:name="page50"/>
    <w:bookmarkEnd w:id="49"/>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Contractual Obligations</w:t>
      </w:r>
    </w:p>
    <w:p>
      <w:pPr>
        <w:spacing w:after="0" w:line="9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estimated future obligations consist of leases, royalties, purchase obligations, debt, and unrecognized tax benefits as of October 31, 2021. Refer to Note 7 "Convertible Senior Notes," Note 8 "Leases," Note 9 “Commitments and Contingencies,” and Note 11 “Income Taxes” to our condensed consolidated financial statements included in this Quarterly Report on Form 10-Q.</w:t>
      </w:r>
    </w:p>
    <w:p>
      <w:pPr>
        <w:spacing w:after="0" w:line="5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There has been no material change in our contractual obligations and commitments other than in the ordinary course of business since our fiscal year ended July 31, 2021. See the Annual Report on Form 10-K for the fiscal year ended July 31, 2021 for additional information regarding the Company’s contractual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9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Through October 31,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0" w:lineRule="exact"/>
        <w:rPr>
          <w:sz w:val="20"/>
          <w:szCs w:val="20"/>
          <w:color w:val="auto"/>
        </w:rPr>
      </w:pPr>
    </w:p>
    <w:p>
      <w:pPr>
        <w:spacing w:after="0" w:line="21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243" w:lineRule="exact"/>
        <w:rPr>
          <w:sz w:val="20"/>
          <w:szCs w:val="20"/>
          <w:color w:val="auto"/>
        </w:rPr>
      </w:pPr>
    </w:p>
    <w:p>
      <w:pPr>
        <w:jc w:val="both"/>
        <w:ind w:firstLine="309"/>
        <w:spacing w:after="0" w:line="276" w:lineRule="auto"/>
        <w:rPr>
          <w:sz w:val="20"/>
          <w:szCs w:val="20"/>
          <w:color w:val="auto"/>
        </w:rPr>
      </w:pPr>
      <w:r>
        <w:rPr>
          <w:rFonts w:ascii="Arial" w:cs="Arial" w:eastAsia="Arial" w:hAnsi="Arial"/>
          <w:sz w:val="16"/>
          <w:szCs w:val="16"/>
          <w:color w:val="auto"/>
        </w:rPr>
        <w:t>Our exposure to market risk for changes in interest rates relates primarily to our cash, cash equivalents, and investments. Our cash, cash equivalents, and investments as of October 31, 2021 and July 31, 2021 were $1,139.6 million and $1,346.6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$6.1 million and $5.2 million in the market value of our available-for-sale securities as of October 31, 2021 and July 31, 2021, respectively. Any realized gains or losses resulting from such interest rate changes would only occur if we sold the investments prior to maturity.</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88"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and intercompany receivables and payables. For the three months ended October 31, 2021 and 2020, we recorded foreign currency gains of $1.2 million and $2.6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is estimated to be approximately $18.6 million. As our international operations grow, we will continue to assess our approach to managing our risk relating to fluctuations in currency rates.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0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do not have material exposure to market risk with respect to investments in financial instruments, as our investments primarily consist of high 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0" w:name="page51"/>
    <w:bookmarkEnd w:id="5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Our strategic investments in privately held securities are in various classes of equity and convertible debt.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31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01"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Inherent Limitations of Internal Controls</w:t>
      </w:r>
    </w:p>
    <w:p>
      <w:pPr>
        <w:spacing w:after="0" w:line="243"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33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There were no changes in our internal control over financial reporting during the quarter ended October 31, 2021 identified in management’s evaluation pursuant to Rules 13a-15(d) or 15d-15(d) of the Exchange Act that materially affected, or are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1" w:name="page52"/>
    <w:bookmarkEnd w:id="51"/>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6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described in Note 9 "Commitments and Contingencies," of the notes to our condensed consolidated financial statements included elsewhere in this Quarterly Report on Form 10-Q, which are incorporated by reference herein, we are not party to any material pending legal proceedings.</w:t>
      </w:r>
    </w:p>
    <w:p>
      <w:pPr>
        <w:spacing w:after="0" w:line="200" w:lineRule="exact"/>
        <w:rPr>
          <w:sz w:val="20"/>
          <w:szCs w:val="20"/>
          <w:color w:val="auto"/>
        </w:rPr>
      </w:pPr>
    </w:p>
    <w:p>
      <w:pPr>
        <w:spacing w:after="0" w:line="30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4"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i w:val="1"/>
          <w:iCs w:val="1"/>
          <w:color w:val="auto"/>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5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i w:val="1"/>
          <w:iCs w:val="1"/>
          <w:color w:val="auto"/>
        </w:rPr>
        <w:t>The global COVID-19 pandemic, has adversely affected, and may continue to adversely affect, our business, results of operations, and financial condition.</w:t>
      </w:r>
    </w:p>
    <w:p>
      <w:pPr>
        <w:spacing w:after="0" w:line="264"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6"/>
          <w:szCs w:val="16"/>
          <w:color w:val="auto"/>
        </w:rPr>
        <w:t>The COVID-19 pandemic and related adverse public health developments, including orders to shelter-in-place, have adversely affected and are continuing to adversely affect workforces, organizations, economies, and financial markets globally, leading to economic downturns and increased market volatility. Our business and financial results during fiscal year 2021, including our ARR growth rates, services revenue, and margins, were adversely impacted due to the disruptions resulting from the COVID-19 pandemic. The pandemic, as well as measures undertaken to contain the spread of COVID-19, have affected and could further affect our ability to travel to customers and prospects, resulting in delays in services delivery, delays in implementations, and interruptions or modifications in our sales and marketing activities, including Connections, our annual user conference, which has adversely affected, and may continue to adversely affect, our business, results of operations, and financial condition, particularly if there are periods of increases in the number of COVID-19 cases or future variants of the virus in areas in which we operate. The pandemic has also disrupted the normal operations of our customers’ businesses and our SI partners’ businesses. The related impacts of the pandemic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in difficulty accurately forecasting our financial results. Additionally, our customers may be unable to pay outstanding invoices or may request amended payment terms due to the economic impacts from COVID-19. As a result of these containment measures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and higher employee attrition. Despite the increased availability of vaccines, due to the continuing and evolving nature of the COVID-19 pandemic and the potential for periods of increases in case numbers and emergence and spread of virus variants in markets and communities in which we, our customers, and our SI partners operate, it is not possible for us to accurately predict the duration or magnitude of the adverse impacts of the pandemic and its effects on our business, results of operations, or financial condition. Further, to the extent the COVID-19 pandemic adversely affects our business, results of operations, or financial condition, it may also have the effect of heightening many of the other risks described in this “Risk Factors” section.</w:t>
      </w:r>
    </w:p>
    <w:p>
      <w:pPr>
        <w:spacing w:after="0" w:line="192" w:lineRule="exact"/>
        <w:rPr>
          <w:sz w:val="20"/>
          <w:szCs w:val="20"/>
          <w:color w:val="auto"/>
        </w:rPr>
      </w:pPr>
    </w:p>
    <w:p>
      <w:pPr>
        <w:jc w:val="both"/>
        <w:ind w:firstLine="387"/>
        <w:spacing w:after="0" w:line="236" w:lineRule="auto"/>
        <w:rPr>
          <w:sz w:val="20"/>
          <w:szCs w:val="20"/>
          <w:color w:val="auto"/>
        </w:rPr>
      </w:pPr>
      <w:r>
        <w:rPr>
          <w:rFonts w:ascii="Arial" w:cs="Arial" w:eastAsia="Arial" w:hAnsi="Arial"/>
          <w:sz w:val="17"/>
          <w:szCs w:val="17"/>
          <w:b w:val="1"/>
          <w:bCs w:val="1"/>
          <w:i w:val="1"/>
          <w:iCs w:val="1"/>
          <w:color w:val="auto"/>
        </w:rPr>
        <w:t>We are in the process of transitioning to a hybrid in-person and remote workforce, which will subject us to certain operational challenges and risks and potential harm to our business.</w:t>
      </w:r>
    </w:p>
    <w:p>
      <w:pPr>
        <w:spacing w:after="0" w:line="19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response to the COVID-19 pandemic, our workforce shifted from in-person to remote work. We have announced our intention to transition to a hybrid work environment in which a significant portion of our workforce will work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2" w:name="page53"/>
    <w:bookmarkEnd w:id="52"/>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access company data and systems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experience significant quarterly and annual fluctuations in our results of operations due to a number of factors.</w:t>
      </w:r>
    </w:p>
    <w:p>
      <w:pPr>
        <w:spacing w:after="0" w:line="140"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Factors that may affect our results of operations include:</w:t>
      </w:r>
    </w:p>
    <w:p>
      <w:pPr>
        <w:spacing w:after="0" w:line="88" w:lineRule="exact"/>
        <w:rPr>
          <w:sz w:val="20"/>
          <w:szCs w:val="20"/>
          <w:color w:val="auto"/>
        </w:rPr>
      </w:pPr>
    </w:p>
    <w:p>
      <w:pPr>
        <w:ind w:left="940" w:hanging="473"/>
        <w:spacing w:after="0" w:line="279"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economic downturns and related market volatility caused by the COVID-19 pandemic or other national and worldwide events on our business and the businesses of our customers, partners, and vendors;</w:t>
      </w:r>
    </w:p>
    <w:p>
      <w:pPr>
        <w:spacing w:after="0" w:line="48"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attract new domestic and international customers and renew existing customers;</w:t>
      </w:r>
    </w:p>
    <w:p>
      <w:pPr>
        <w:spacing w:after="0" w:line="21"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seasonal buying patterns of our potential customers and our ability to sell additional software and services to existing customers;</w:t>
      </w:r>
    </w:p>
    <w:p>
      <w:pPr>
        <w:spacing w:after="0" w:line="10" w:lineRule="exact"/>
        <w:rPr>
          <w:rFonts w:ascii="Arial" w:cs="Arial" w:eastAsia="Arial" w:hAnsi="Arial"/>
          <w:sz w:val="17"/>
          <w:szCs w:val="17"/>
          <w:color w:val="auto"/>
        </w:rPr>
      </w:pPr>
    </w:p>
    <w:p>
      <w:pPr>
        <w:ind w:left="940" w:hanging="473"/>
        <w:spacing w:after="0" w:line="253"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proportion and timing of subscription sales as opposed to term or perpetual software licenses, and the variations in revenue recognition between these contract types;</w:t>
      </w: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contract durations of term software licenses and renewals;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increases in costs related to cloud operations, product development, and services;</w:t>
      </w:r>
    </w:p>
    <w:p>
      <w:pPr>
        <w:spacing w:after="0" w:line="10" w:lineRule="exact"/>
        <w:rPr>
          <w:rFonts w:ascii="Arial" w:cs="Arial" w:eastAsia="Arial" w:hAnsi="Arial"/>
          <w:sz w:val="17"/>
          <w:szCs w:val="17"/>
          <w:color w:val="auto"/>
        </w:rPr>
      </w:pPr>
    </w:p>
    <w:p>
      <w:pPr>
        <w:ind w:left="940" w:hanging="473"/>
        <w:spacing w:after="0" w:line="253"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develop and achieve market adoption of cloud-based services, including the impact of our customers transitioning from term software licenses to subscription services;</w:t>
      </w:r>
    </w:p>
    <w:p>
      <w:pPr>
        <w:ind w:left="940" w:hanging="473"/>
        <w:spacing w:after="0" w:line="253"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erosion in services margins or significant fluctuations in services revenue caused by changing customer demand, negotiated professional services billing rates, or fixed fee contracts;</w:t>
      </w:r>
    </w:p>
    <w:p>
      <w:pPr>
        <w:ind w:left="940" w:hanging="473"/>
        <w:spacing w:after="0" w:line="253"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ind w:left="940" w:hanging="473"/>
        <w:spacing w:after="0" w:line="253"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incurrence of penalties for failing to meet certain contractual obligations, including service levels, product development cycles and functionality, and implementation times and objectives;</w:t>
      </w:r>
    </w:p>
    <w:p>
      <w:pPr>
        <w:ind w:left="940" w:hanging="473"/>
        <w:spacing w:after="0" w:line="253"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and privacy concerns related to company data, customer data and systems that are accessed or otherwise used by our hybrid workforce and customers;</w:t>
      </w: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future accounting pronouncements or changes in accounting rules and our related accounting policies, interpretations, and controls;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realize expected benefits from our acquisitions and other strategic business transactions;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reductions in our customers’ budgets for information technology purchases and delays in their purchasing decisions;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employee retention and the timing of hiring personnel and employee related expenses;</w:t>
      </w:r>
    </w:p>
    <w:p>
      <w:pPr>
        <w:spacing w:after="0" w:line="10" w:lineRule="exact"/>
        <w:rPr>
          <w:rFonts w:ascii="Arial" w:cs="Arial" w:eastAsia="Arial" w:hAnsi="Arial"/>
          <w:sz w:val="17"/>
          <w:szCs w:val="17"/>
          <w:color w:val="auto"/>
        </w:rPr>
      </w:pPr>
    </w:p>
    <w:p>
      <w:pPr>
        <w:jc w:val="both"/>
        <w:ind w:left="940" w:hanging="473"/>
        <w:spacing w:after="0" w:line="256"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a recession or any other adverse global economic condition on our business, including pandemics, trade tariffs, trade agreements, and other uncertainties that may cause a delay in entering into or a failure to enter into significant customer agreements or the fulfillment of professional service arrangements;</w:t>
      </w:r>
    </w:p>
    <w:p>
      <w:pPr>
        <w:ind w:left="920" w:hanging="453"/>
        <w:spacing w:after="0"/>
        <w:tabs>
          <w:tab w:leader="none" w:pos="9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adverse litigation judgments, dispute-related settlement payments, or litigation-related costs;</w:t>
      </w:r>
    </w:p>
    <w:p>
      <w:pPr>
        <w:spacing w:after="0" w:line="3" w:lineRule="exact"/>
        <w:rPr>
          <w:rFonts w:ascii="Arial" w:cs="Arial" w:eastAsia="Arial" w:hAnsi="Arial"/>
          <w:sz w:val="21"/>
          <w:szCs w:val="21"/>
          <w:color w:val="auto"/>
        </w:rPr>
      </w:pPr>
    </w:p>
    <w:p>
      <w:pPr>
        <w:ind w:left="920" w:hanging="45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foreign currency exchange rates; and</w:t>
      </w:r>
    </w:p>
    <w:p>
      <w:pPr>
        <w:spacing w:after="0" w:line="7" w:lineRule="exact"/>
        <w:rPr>
          <w:rFonts w:ascii="Arial" w:cs="Arial" w:eastAsia="Arial" w:hAnsi="Arial"/>
          <w:sz w:val="17"/>
          <w:szCs w:val="17"/>
          <w:color w:val="auto"/>
        </w:rPr>
      </w:pPr>
    </w:p>
    <w:p>
      <w:pPr>
        <w:ind w:left="940" w:hanging="473"/>
        <w:spacing w:after="0" w:line="266"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effects of inflation or deflation in the economies in which we operate and its impact on our revenues given the multi-year term of most customer agreements.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3" w:name="page54"/>
    <w:bookmarkEnd w:id="53"/>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w:t>
      </w:r>
    </w:p>
    <w:p>
      <w:pPr>
        <w:spacing w:after="0" w:line="107"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8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13" w:lineRule="exact"/>
        <w:rPr>
          <w:sz w:val="20"/>
          <w:szCs w:val="20"/>
          <w:color w:val="auto"/>
        </w:rPr>
      </w:pPr>
    </w:p>
    <w:p>
      <w:pPr>
        <w:jc w:val="both"/>
        <w:ind w:firstLine="425"/>
        <w:spacing w:after="0" w:line="276" w:lineRule="auto"/>
        <w:rPr>
          <w:sz w:val="20"/>
          <w:szCs w:val="20"/>
          <w:color w:val="auto"/>
        </w:rPr>
      </w:pPr>
      <w:r>
        <w:rPr>
          <w:rFonts w:ascii="Arial" w:cs="Arial" w:eastAsia="Arial" w:hAnsi="Arial"/>
          <w:sz w:val="16"/>
          <w:szCs w:val="16"/>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18" w:lineRule="exact"/>
        <w:rPr>
          <w:sz w:val="20"/>
          <w:szCs w:val="20"/>
          <w:color w:val="auto"/>
        </w:rPr>
      </w:pPr>
    </w:p>
    <w:p>
      <w:pPr>
        <w:jc w:val="both"/>
        <w:ind w:firstLine="425"/>
        <w:spacing w:after="0" w:line="299" w:lineRule="auto"/>
        <w:rPr>
          <w:sz w:val="20"/>
          <w:szCs w:val="20"/>
          <w:color w:val="auto"/>
        </w:rPr>
      </w:pPr>
      <w:r>
        <w:rPr>
          <w:rFonts w:ascii="Arial" w:cs="Arial" w:eastAsia="Arial" w:hAnsi="Arial"/>
          <w:sz w:val="15"/>
          <w:szCs w:val="15"/>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 over 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spacing w:after="0" w:line="39"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Our quarterly growth in revenue or ARR also may not coincide with new orders or cash flows in a given quarter, which could mask the impact of seasonal variations. This mismatch is primarily due to the following reasons:</w:t>
      </w:r>
    </w:p>
    <w:p>
      <w:pPr>
        <w:spacing w:after="0" w:line="35" w:lineRule="exact"/>
        <w:rPr>
          <w:sz w:val="20"/>
          <w:szCs w:val="20"/>
          <w:color w:val="auto"/>
        </w:rPr>
      </w:pPr>
    </w:p>
    <w:p>
      <w:pPr>
        <w:ind w:left="940" w:hanging="473"/>
        <w:spacing w:after="0" w:line="259"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subscription arrangements are recognized ratably and only a portion of the revenue from an order is recognized in the same fiscal period of the order;</w:t>
      </w:r>
    </w:p>
    <w:p>
      <w:pPr>
        <w:spacing w:after="0" w:line="1" w:lineRule="exact"/>
        <w:rPr>
          <w:rFonts w:ascii="Arial" w:cs="Arial" w:eastAsia="Arial" w:hAnsi="Arial"/>
          <w:sz w:val="17"/>
          <w:szCs w:val="17"/>
          <w:color w:val="auto"/>
        </w:rPr>
      </w:pPr>
    </w:p>
    <w:p>
      <w:pPr>
        <w:ind w:left="940" w:hanging="473"/>
        <w:spacing w:after="0" w:line="253"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subscription arrangements generally have ramped invoicing schedules over the initial term, which affects ARR, but revenue is recognized ratably over the initial term;</w:t>
      </w:r>
    </w:p>
    <w:p>
      <w:pPr>
        <w:ind w:left="940" w:hanging="473"/>
        <w:spacing w:after="0" w:line="253"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term license agreements and multi-year term license renewals generally have annual billing arrangements even though revenue is recognized upfront for the entire committed term;</w:t>
      </w:r>
    </w:p>
    <w:p>
      <w:pPr>
        <w:jc w:val="both"/>
        <w:ind w:left="940" w:hanging="473"/>
        <w:spacing w:after="0" w:line="253"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ind w:left="940" w:hanging="473"/>
        <w:spacing w:after="0" w:line="253"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enter into license agreements with future product delivery requirements, specified terms for product upgrades or functionality, acceptance terms, or unconditional return rights, which may require us to delay revenue recognition for a period of time; and</w:t>
      </w:r>
    </w:p>
    <w:p>
      <w:pPr>
        <w:ind w:left="940" w:hanging="473"/>
        <w:spacing w:after="0" w:line="266"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recognition may not occur in the period when the order is placed due to certain revenue recognition criteria not being met, such as delivery of the software or providing access to the subscription services.</w:t>
      </w:r>
    </w:p>
    <w:p>
      <w:pPr>
        <w:spacing w:after="0" w:line="123"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five-year renewal of a single license agreement, which resulted in the first quarter of fiscal year 2021 lacking comparability to the prior year and creating a challenging comparable for the first quarter of fiscal year 2022.</w:t>
      </w:r>
    </w:p>
    <w:p>
      <w:pPr>
        <w:spacing w:after="0" w:line="126"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21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4" w:name="page55"/>
    <w:bookmarkEnd w:id="54"/>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firstLine="387"/>
        <w:spacing w:after="0" w:line="272" w:lineRule="auto"/>
        <w:rPr>
          <w:sz w:val="20"/>
          <w:szCs w:val="20"/>
          <w:color w:val="auto"/>
        </w:rPr>
      </w:pPr>
      <w:r>
        <w:rPr>
          <w:rFonts w:ascii="Arial" w:cs="Arial" w:eastAsia="Arial" w:hAnsi="Arial"/>
          <w:sz w:val="16"/>
          <w:szCs w:val="16"/>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refusal to pay its contractually-obligated subscription or service fees.</w:t>
      </w:r>
    </w:p>
    <w:p>
      <w:pPr>
        <w:spacing w:after="0" w:line="4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67" w:lineRule="exact"/>
        <w:rPr>
          <w:sz w:val="20"/>
          <w:szCs w:val="20"/>
          <w:color w:val="auto"/>
        </w:rPr>
      </w:pPr>
    </w:p>
    <w:p>
      <w:pPr>
        <w:jc w:val="both"/>
        <w:ind w:firstLine="425"/>
        <w:spacing w:after="0" w:line="275" w:lineRule="auto"/>
        <w:rPr>
          <w:sz w:val="20"/>
          <w:szCs w:val="20"/>
          <w:color w:val="auto"/>
        </w:rPr>
      </w:pPr>
      <w:r>
        <w:rPr>
          <w:rFonts w:ascii="Arial" w:cs="Arial" w:eastAsia="Arial" w:hAnsi="Arial"/>
          <w:sz w:val="16"/>
          <w:szCs w:val="16"/>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54"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31"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66" w:lineRule="exact"/>
        <w:rPr>
          <w:sz w:val="20"/>
          <w:szCs w:val="20"/>
          <w:color w:val="auto"/>
        </w:rPr>
      </w:pPr>
    </w:p>
    <w:p>
      <w:pPr>
        <w:jc w:val="both"/>
        <w:ind w:firstLine="425"/>
        <w:spacing w:after="0" w:line="273" w:lineRule="auto"/>
        <w:rPr>
          <w:sz w:val="20"/>
          <w:szCs w:val="20"/>
          <w:color w:val="auto"/>
        </w:rPr>
      </w:pPr>
      <w:r>
        <w:rPr>
          <w:rFonts w:ascii="Arial" w:cs="Arial" w:eastAsia="Arial" w:hAnsi="Arial"/>
          <w:sz w:val="16"/>
          <w:szCs w:val="16"/>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 2019, our ten largest customers accounted for 31% of our revenue, in fiscal year 2020 they accounted for 27%, and in fiscal year 2021 they accounted for 28%. Additionally, our ten largest customers based on ARR accounted for 27% of total ARR at July 31, 2021.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5" w:name="page56"/>
    <w:bookmarkEnd w:id="55"/>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20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Failure of any of our established services or products to satisfy customer demands or to maintain market acceptance could harm our business, results of operations, financial condition, and growth prospects.</w:t>
      </w:r>
    </w:p>
    <w:p>
      <w:pPr>
        <w:spacing w:after="0" w:line="113" w:lineRule="exact"/>
        <w:rPr>
          <w:sz w:val="20"/>
          <w:szCs w:val="20"/>
          <w:color w:val="auto"/>
        </w:rPr>
      </w:pPr>
    </w:p>
    <w:p>
      <w:pPr>
        <w:jc w:val="both"/>
        <w:ind w:firstLine="425"/>
        <w:spacing w:after="0" w:line="273" w:lineRule="auto"/>
        <w:rPr>
          <w:sz w:val="20"/>
          <w:szCs w:val="20"/>
          <w:color w:val="auto"/>
        </w:rPr>
      </w:pPr>
      <w:r>
        <w:rPr>
          <w:rFonts w:ascii="Arial" w:cs="Arial" w:eastAsia="Arial" w:hAnsi="Arial"/>
          <w:sz w:val="16"/>
          <w:szCs w:val="16"/>
          <w:color w:val="auto"/>
        </w:rPr>
        <w:t>We derive a significant majority of our revenue and cash flows from our established product offerings, including Guidewire InsuranceSuite via Guidewire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spacing w:after="0" w:line="202" w:lineRule="exact"/>
        <w:rPr>
          <w:sz w:val="20"/>
          <w:szCs w:val="20"/>
          <w:color w:val="auto"/>
        </w:rPr>
      </w:pPr>
    </w:p>
    <w:p>
      <w:pPr>
        <w:ind w:right="380" w:firstLine="387"/>
        <w:spacing w:after="0" w:line="279" w:lineRule="auto"/>
        <w:rPr>
          <w:sz w:val="20"/>
          <w:szCs w:val="20"/>
          <w:color w:val="auto"/>
        </w:rPr>
      </w:pPr>
      <w:r>
        <w:rPr>
          <w:rFonts w:ascii="Arial" w:cs="Arial" w:eastAsia="Arial" w:hAnsi="Arial"/>
          <w:sz w:val="17"/>
          <w:szCs w:val="17"/>
          <w:b w:val="1"/>
          <w:bCs w:val="1"/>
          <w:i w:val="1"/>
          <w:iCs w:val="1"/>
          <w:color w:val="auto"/>
        </w:rPr>
        <w:t>We face intense competition in our market, which could negatively impact our business, results of operations, and financial condition and cause our market share to decline.</w:t>
      </w:r>
    </w:p>
    <w:p>
      <w:pPr>
        <w:spacing w:after="0" w:line="113" w:lineRule="exact"/>
        <w:rPr>
          <w:sz w:val="20"/>
          <w:szCs w:val="20"/>
          <w:color w:val="auto"/>
        </w:rPr>
      </w:pPr>
    </w:p>
    <w:p>
      <w:pPr>
        <w:jc w:val="both"/>
        <w:ind w:firstLine="425"/>
        <w:spacing w:after="0" w:line="257" w:lineRule="auto"/>
        <w:rPr>
          <w:sz w:val="20"/>
          <w:szCs w:val="20"/>
          <w:color w:val="auto"/>
        </w:rPr>
      </w:pPr>
      <w:r>
        <w:rPr>
          <w:rFonts w:ascii="Arial" w:cs="Arial" w:eastAsia="Arial" w:hAnsi="Arial"/>
          <w:sz w:val="17"/>
          <w:szCs w:val="17"/>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69" w:lineRule="exact"/>
        <w:rPr>
          <w:sz w:val="20"/>
          <w:szCs w:val="20"/>
          <w:color w:val="auto"/>
        </w:rPr>
      </w:pPr>
    </w:p>
    <w:p>
      <w:pPr>
        <w:jc w:val="both"/>
        <w:ind w:firstLine="425"/>
        <w:spacing w:after="0" w:line="277" w:lineRule="auto"/>
        <w:rPr>
          <w:sz w:val="20"/>
          <w:szCs w:val="20"/>
          <w:color w:val="auto"/>
        </w:rPr>
      </w:pPr>
      <w:r>
        <w:rPr>
          <w:rFonts w:ascii="Arial" w:cs="Arial" w:eastAsia="Arial" w:hAnsi="Arial"/>
          <w:sz w:val="16"/>
          <w:szCs w:val="16"/>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spacing w:after="0" w:line="54"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13" w:lineRule="exact"/>
        <w:rPr>
          <w:sz w:val="20"/>
          <w:szCs w:val="20"/>
          <w:color w:val="auto"/>
        </w:rPr>
      </w:pPr>
    </w:p>
    <w:p>
      <w:pPr>
        <w:jc w:val="both"/>
        <w:ind w:firstLine="425"/>
        <w:spacing w:after="0" w:line="256" w:lineRule="auto"/>
        <w:rPr>
          <w:sz w:val="20"/>
          <w:szCs w:val="20"/>
          <w:color w:val="auto"/>
        </w:rPr>
      </w:pPr>
      <w:r>
        <w:rPr>
          <w:rFonts w:ascii="Arial" w:cs="Arial" w:eastAsia="Arial" w:hAnsi="Arial"/>
          <w:sz w:val="17"/>
          <w:szCs w:val="17"/>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35" w:lineRule="exact"/>
        <w:rPr>
          <w:sz w:val="20"/>
          <w:szCs w:val="20"/>
          <w:color w:val="auto"/>
        </w:rPr>
      </w:pPr>
    </w:p>
    <w:p>
      <w:pPr>
        <w:jc w:val="both"/>
        <w:ind w:firstLine="425"/>
        <w:spacing w:after="0" w:line="277" w:lineRule="auto"/>
        <w:rPr>
          <w:sz w:val="20"/>
          <w:szCs w:val="20"/>
          <w:color w:val="auto"/>
        </w:rPr>
      </w:pPr>
      <w:r>
        <w:rPr>
          <w:rFonts w:ascii="Arial" w:cs="Arial" w:eastAsia="Arial" w:hAnsi="Arial"/>
          <w:sz w:val="16"/>
          <w:szCs w:val="16"/>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6" w:name="page57"/>
    <w:bookmarkEnd w:id="56"/>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and products more quickly and on more efficient technologies than us. This may increase our costs more than we anticipate and may adversely impact our results of operations.</w:t>
      </w:r>
    </w:p>
    <w:p>
      <w:pPr>
        <w:spacing w:after="0" w:line="113" w:lineRule="exact"/>
        <w:rPr>
          <w:sz w:val="20"/>
          <w:szCs w:val="20"/>
          <w:color w:val="auto"/>
        </w:rPr>
      </w:pPr>
    </w:p>
    <w:p>
      <w:pPr>
        <w:jc w:val="both"/>
        <w:ind w:firstLine="425"/>
        <w:spacing w:after="0" w:line="276" w:lineRule="auto"/>
        <w:rPr>
          <w:sz w:val="20"/>
          <w:szCs w:val="20"/>
          <w:color w:val="auto"/>
        </w:rPr>
      </w:pPr>
      <w:r>
        <w:rPr>
          <w:rFonts w:ascii="Arial" w:cs="Arial" w:eastAsia="Arial" w:hAnsi="Arial"/>
          <w:sz w:val="16"/>
          <w:szCs w:val="16"/>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20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35" w:lineRule="exact"/>
        <w:rPr>
          <w:sz w:val="20"/>
          <w:szCs w:val="20"/>
          <w:color w:val="auto"/>
        </w:rPr>
      </w:pPr>
    </w:p>
    <w:p>
      <w:pPr>
        <w:jc w:val="both"/>
        <w:ind w:firstLine="425"/>
        <w:spacing w:after="0" w:line="272" w:lineRule="auto"/>
        <w:rPr>
          <w:sz w:val="20"/>
          <w:szCs w:val="20"/>
          <w:color w:val="auto"/>
        </w:rPr>
      </w:pPr>
      <w:r>
        <w:rPr>
          <w:rFonts w:ascii="Arial" w:cs="Arial" w:eastAsia="Arial" w:hAnsi="Arial"/>
          <w:sz w:val="16"/>
          <w:szCs w:val="16"/>
          <w:color w:val="auto"/>
        </w:rPr>
        <w:t>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and the potential cost savings achievable by organizations deploying our services and products.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 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59" w:lineRule="exact"/>
        <w:rPr>
          <w:sz w:val="20"/>
          <w:szCs w:val="20"/>
          <w:color w:val="auto"/>
        </w:rPr>
      </w:pPr>
    </w:p>
    <w:p>
      <w:pPr>
        <w:jc w:val="both"/>
        <w:ind w:firstLine="425"/>
        <w:spacing w:after="0" w:line="273" w:lineRule="auto"/>
        <w:rPr>
          <w:sz w:val="20"/>
          <w:szCs w:val="20"/>
          <w:color w:val="auto"/>
        </w:rPr>
      </w:pPr>
      <w:r>
        <w:rPr>
          <w:rFonts w:ascii="Arial" w:cs="Arial" w:eastAsia="Arial" w:hAnsi="Arial"/>
          <w:sz w:val="16"/>
          <w:szCs w:val="16"/>
          <w:color w:val="auto"/>
        </w:rPr>
        <w:t>The implementation and testing of our services and products by our customers typically lasts 6 to 24 months or longer and unexpected implementation delays and difficulties can occur. Implementing our services and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licenses and services, potential reversals of previously recognized revenue,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199" w:lineRule="exact"/>
        <w:rPr>
          <w:sz w:val="20"/>
          <w:szCs w:val="20"/>
          <w:color w:val="auto"/>
        </w:rPr>
      </w:pPr>
    </w:p>
    <w:p>
      <w:pPr>
        <w:jc w:val="both"/>
        <w:ind w:firstLine="425"/>
        <w:spacing w:after="0" w:line="299" w:lineRule="auto"/>
        <w:rPr>
          <w:sz w:val="20"/>
          <w:szCs w:val="20"/>
          <w:color w:val="auto"/>
        </w:rPr>
      </w:pPr>
      <w:r>
        <w:rPr>
          <w:rFonts w:ascii="Arial" w:cs="Arial" w:eastAsia="Arial" w:hAnsi="Arial"/>
          <w:sz w:val="15"/>
          <w:szCs w:val="15"/>
          <w:color w:val="auto"/>
        </w:rPr>
        <w:t>Furthermore, our sales and implementation cycles could be interrupted or affected by other factors outside of our control. For example, the COVID-19 pandemic caused sales and implementation cycles to lengthen, along with other impacts on our business. We currently have restrictions on travel in place,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continue to affect services delivery, delay implementations, and interrupt sales activity. We cannot predict the duration or the extent of adverse impacts from the COVID-19 pandemic on our business, results of operations, and financial condition.</w:t>
      </w:r>
    </w:p>
    <w:p>
      <w:pPr>
        <w:spacing w:after="0" w:line="180"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b w:val="1"/>
          <w:bCs w:val="1"/>
          <w:i w:val="1"/>
          <w:iCs w:val="1"/>
          <w:color w:val="auto"/>
        </w:rPr>
        <w:t>Revenue mix, as well as declines in our subscription and support gross margin or our services gross margin, could adversely affect our overall gross margin and profitability.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7" w:name="page58"/>
    <w:bookmarkEnd w:id="57"/>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Our subscription and support revenue was 34% and 27% of total revenue for fiscal years 2021 and 2020, respectively. Our subscription and support revenue produces lower gross margins than our license revenue. The gross margin of our subscription and support revenue was 35% and 42% for fiscal years 2021 and 2020, respectively, while the gross margin for license revenue was 97% and 97% for fiscal years 2021 and 2020,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further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or other disasters.</w:t>
      </w:r>
    </w:p>
    <w:p>
      <w:pPr>
        <w:spacing w:after="0" w:line="199" w:lineRule="exact"/>
        <w:rPr>
          <w:sz w:val="20"/>
          <w:szCs w:val="20"/>
          <w:color w:val="auto"/>
        </w:rPr>
      </w:pPr>
    </w:p>
    <w:p>
      <w:pPr>
        <w:jc w:val="both"/>
        <w:ind w:firstLine="387"/>
        <w:spacing w:after="0" w:line="292" w:lineRule="auto"/>
        <w:rPr>
          <w:sz w:val="20"/>
          <w:szCs w:val="20"/>
          <w:color w:val="auto"/>
        </w:rPr>
      </w:pPr>
      <w:r>
        <w:rPr>
          <w:rFonts w:ascii="Arial" w:cs="Arial" w:eastAsia="Arial" w:hAnsi="Arial"/>
          <w:sz w:val="15"/>
          <w:szCs w:val="15"/>
          <w:color w:val="auto"/>
        </w:rPr>
        <w:t>Further, our services revenue was 25% and 28% of total revenue for fiscal years 2021 and 2020, respectively. Our services revenue produces lower gross margin than either our license revenue or our subscription and support revenue. The gross margin of our services revenue was negative for both fiscal years 2021 and 2020.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the COVID-19 pandemic or other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198"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2" w:lineRule="exact"/>
        <w:rPr>
          <w:sz w:val="20"/>
          <w:szCs w:val="20"/>
          <w:color w:val="auto"/>
        </w:rPr>
      </w:pPr>
    </w:p>
    <w:p>
      <w:pPr>
        <w:jc w:val="both"/>
        <w:ind w:firstLine="425"/>
        <w:spacing w:after="0" w:line="258" w:lineRule="auto"/>
        <w:rPr>
          <w:sz w:val="20"/>
          <w:szCs w:val="20"/>
          <w:color w:val="auto"/>
        </w:rPr>
      </w:pPr>
      <w:r>
        <w:rPr>
          <w:rFonts w:ascii="Arial" w:cs="Arial" w:eastAsia="Arial" w:hAnsi="Arial"/>
          <w:sz w:val="17"/>
          <w:szCs w:val="17"/>
          <w:color w:val="auto"/>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We have been required to, and may continue to be required to, reduce the average selling price of our services and products in response to these pressures. If we are unable to avoid reducing our average selling prices, our results of operations could be harmed.</w:t>
      </w:r>
    </w:p>
    <w:p>
      <w:pPr>
        <w:spacing w:after="0" w:line="222"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Our business depends on customers renewing and expanding their license, support, and subscription contracts for our services and products. A decline in our customer renewals and expansions could harm our future results of operations.</w:t>
      </w:r>
    </w:p>
    <w:p>
      <w:pPr>
        <w:spacing w:after="0" w:line="48" w:lineRule="exact"/>
        <w:rPr>
          <w:sz w:val="20"/>
          <w:szCs w:val="20"/>
          <w:color w:val="auto"/>
        </w:rPr>
      </w:pPr>
    </w:p>
    <w:p>
      <w:pPr>
        <w:jc w:val="both"/>
        <w:ind w:firstLine="425"/>
        <w:spacing w:after="0" w:line="257" w:lineRule="auto"/>
        <w:rPr>
          <w:sz w:val="20"/>
          <w:szCs w:val="20"/>
          <w:color w:val="auto"/>
        </w:rPr>
      </w:pPr>
      <w:r>
        <w:rPr>
          <w:rFonts w:ascii="Arial" w:cs="Arial" w:eastAsia="Arial" w:hAnsi="Arial"/>
          <w:sz w:val="17"/>
          <w:szCs w:val="17"/>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reductions in our customers’ spending levels due to the macroeconomic environment or other factors, or the sale of their operations to a buyer that is not a current customer.</w:t>
      </w:r>
    </w:p>
    <w:p>
      <w:pPr>
        <w:spacing w:after="0" w:line="56"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8" w:name="page59"/>
    <w:bookmarkEnd w:id="58"/>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If we are unable to develop, introduce, and market new and enhanced versions of our services and products, we may be put at a competitive disadvantage.</w:t>
      </w:r>
    </w:p>
    <w:p>
      <w:pPr>
        <w:spacing w:after="0" w:line="35" w:lineRule="exact"/>
        <w:rPr>
          <w:sz w:val="20"/>
          <w:szCs w:val="20"/>
          <w:color w:val="auto"/>
        </w:rPr>
      </w:pPr>
    </w:p>
    <w:p>
      <w:pPr>
        <w:jc w:val="both"/>
        <w:ind w:firstLine="425"/>
        <w:spacing w:after="0" w:line="313" w:lineRule="auto"/>
        <w:rPr>
          <w:sz w:val="20"/>
          <w:szCs w:val="20"/>
          <w:color w:val="auto"/>
        </w:rPr>
      </w:pPr>
      <w:r>
        <w:rPr>
          <w:rFonts w:ascii="Arial" w:cs="Arial" w:eastAsia="Arial" w:hAnsi="Arial"/>
          <w:sz w:val="15"/>
          <w:szCs w:val="15"/>
          <w:color w:val="auto"/>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 updates to our</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existing products and services can take significant time and resources to develop and bring to market. 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09" w:lineRule="exact"/>
        <w:rPr>
          <w:sz w:val="20"/>
          <w:szCs w:val="20"/>
          <w:color w:val="auto"/>
        </w:rPr>
      </w:pPr>
    </w:p>
    <w:p>
      <w:pPr>
        <w:jc w:val="both"/>
        <w:ind w:firstLine="309"/>
        <w:spacing w:after="0" w:line="300" w:lineRule="auto"/>
        <w:rPr>
          <w:sz w:val="20"/>
          <w:szCs w:val="20"/>
          <w:color w:val="auto"/>
        </w:rPr>
      </w:pPr>
      <w:r>
        <w:rPr>
          <w:rFonts w:ascii="Arial" w:cs="Arial" w:eastAsia="Arial" w:hAnsi="Arial"/>
          <w:sz w:val="15"/>
          <w:szCs w:val="15"/>
          <w:color w:val="auto"/>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customer requirements and to successfully introduce new, enhanced, and competitive services and products to meet our customers’ and prospective customers’ needs on a timely basis. We have invested and intend to increase investments in research and</w:t>
      </w:r>
    </w:p>
    <w:p>
      <w:pPr>
        <w:spacing w:after="0" w:line="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development and cloud operations to meet these challenges. Revenue may not be sufficient to support the future product development that is required for us to remain competitive. If we fail to develop services and products in a timely manner that are competitive in technology and price or develop services and products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that fail to meet customer demands, our market share will decline and our business and results of operations could be harmed. If our research and development efforts do not develop services, products or features that our customers find valuable, then we might incur impairment charges related to our capitalized software development costs.</w:t>
      </w:r>
    </w:p>
    <w:p>
      <w:pPr>
        <w:spacing w:after="0" w:line="214" w:lineRule="exact"/>
        <w:rPr>
          <w:sz w:val="20"/>
          <w:szCs w:val="20"/>
          <w:color w:val="auto"/>
        </w:rPr>
      </w:pPr>
    </w:p>
    <w:p>
      <w:pPr>
        <w:jc w:val="both"/>
        <w:ind w:firstLine="309"/>
        <w:spacing w:after="0" w:line="318" w:lineRule="auto"/>
        <w:rPr>
          <w:sz w:val="20"/>
          <w:szCs w:val="20"/>
          <w:color w:val="auto"/>
        </w:rPr>
      </w:pPr>
      <w:r>
        <w:rPr>
          <w:rFonts w:ascii="Arial" w:cs="Arial" w:eastAsia="Arial" w:hAnsi="Arial"/>
          <w:sz w:val="15"/>
          <w:szCs w:val="15"/>
          <w:b w:val="1"/>
          <w:bCs w:val="1"/>
          <w:i w:val="1"/>
          <w:iCs w:val="1"/>
          <w:color w:val="auto"/>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spacing w:after="0" w:line="23"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20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4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 to enable P&amp;C insurers to underwrite “21st century risks” such as terrorism, cybersecurity, and reputational risk, in November 2017. Further, in August 2021, we acquired HazardHub, Inc., a leading insurtech provider of API-driven property risk insights. Our prior acquisitions were initially dilutive to earnings, and our recent acquisition of HazardHub, Inc. may also be initially dilutive. Acquisitions and alliances may result in unforeseen operating difficulties and expenditures and may not result in the benefits anticipated by such corporate activity. In particular, we may fail to assimilate or integrate the businesses, technologies, services,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9" w:name="page60"/>
    <w:bookmarkEnd w:id="59"/>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spacing w:after="0" w:line="30"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6"/>
          <w:szCs w:val="16"/>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20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If we are unable to continue the successful development of our global direct sales force and the expansion of our relationships with our strategic partners, sales of our services and products will suffer and our growth could be slower than we project.</w:t>
      </w:r>
    </w:p>
    <w:p>
      <w:pPr>
        <w:spacing w:after="0" w:line="48"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spacing w:after="0" w:line="126"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6"/>
          <w:szCs w:val="16"/>
          <w:color w:val="auto"/>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 resources that our SI partners commit to implementing our services and products, the quality or timeliness of such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Our international sales and operations subject us to additional risks that can adversely affect our business, results of operations, and financial condition.</w:t>
      </w:r>
    </w:p>
    <w:p>
      <w:pPr>
        <w:spacing w:after="0" w:line="136" w:lineRule="exact"/>
        <w:rPr>
          <w:sz w:val="20"/>
          <w:szCs w:val="20"/>
          <w:color w:val="auto"/>
        </w:rPr>
      </w:pPr>
    </w:p>
    <w:p>
      <w:pPr>
        <w:jc w:val="both"/>
        <w:ind w:firstLine="425"/>
        <w:spacing w:after="0" w:line="318" w:lineRule="auto"/>
        <w:rPr>
          <w:sz w:val="20"/>
          <w:szCs w:val="20"/>
          <w:color w:val="auto"/>
        </w:rPr>
      </w:pPr>
      <w:r>
        <w:rPr>
          <w:rFonts w:ascii="Arial" w:cs="Arial" w:eastAsia="Arial" w:hAnsi="Arial"/>
          <w:sz w:val="15"/>
          <w:szCs w:val="15"/>
          <w:color w:val="auto"/>
        </w:rPr>
        <w:t>We sell our services and products to customers located outside the United States, and we are continuing to expand our international operations as part of our growth strategy. In fiscal years 2021, 2020, and 2019, $271.1 million, $279.8 million, and $272.9 million of our revenue, respectively, was from customers outside of the United States. Our current international operations and our plans to expand our international operations subject us to a variety of risks, including:</w:t>
      </w:r>
    </w:p>
    <w:p>
      <w:pPr>
        <w:spacing w:after="0" w:line="255"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management, travel, infrastructure, and legal compliance costs associated with having multiple international operations;</w:t>
      </w:r>
    </w:p>
    <w:p>
      <w:pPr>
        <w:spacing w:after="0" w:line="21" w:lineRule="exact"/>
        <w:rPr>
          <w:rFonts w:ascii="Arial" w:cs="Arial" w:eastAsia="Arial" w:hAnsi="Arial"/>
          <w:sz w:val="17"/>
          <w:szCs w:val="17"/>
          <w:color w:val="auto"/>
        </w:rPr>
      </w:pPr>
    </w:p>
    <w:p>
      <w:pPr>
        <w:ind w:left="920" w:hanging="453"/>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unique terms and conditions in contract negotiations imposed by customers in foreign countries;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contracts and collecting accounts receivable;</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need to localize our contracts and our services and products for international customers;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lack of familiarity with and unexpected changes in foreign regulatory requirements;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exposure to fluctuations in currency exchange rates;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highly inflationary international economies, such as Argentina;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0" w:name="page61"/>
    <w:bookmarkEnd w:id="6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left="940" w:right="140" w:hanging="473"/>
        <w:spacing w:after="0" w:line="259"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burdens and costs of complying with a wide variety of foreign laws and legal standards, including the General Data Protection Regulation in the European Union (“EU”) and the U.K.;</w:t>
      </w:r>
    </w:p>
    <w:p>
      <w:pPr>
        <w:spacing w:after="0" w:line="1" w:lineRule="exact"/>
        <w:rPr>
          <w:rFonts w:ascii="Arial" w:cs="Arial" w:eastAsia="Arial" w:hAnsi="Arial"/>
          <w:sz w:val="17"/>
          <w:szCs w:val="17"/>
          <w:color w:val="auto"/>
        </w:rPr>
      </w:pPr>
    </w:p>
    <w:p>
      <w:pPr>
        <w:ind w:left="940" w:hanging="473"/>
        <w:spacing w:after="0" w:line="253"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the U.S. Foreign Corrupt Practices Act of 1977, as amended, the U.K. Bribery Act and other anti-corruption regulations, particularly in emerging market countries;</w:t>
      </w:r>
    </w:p>
    <w:p>
      <w:pPr>
        <w:ind w:left="940" w:hanging="473"/>
        <w:spacing w:after="0" w:line="253"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by international staff with accounting practices generally accepted in the United States, including adherence to our accounting policies and internal controls;</w:t>
      </w:r>
    </w:p>
    <w:p>
      <w:pPr>
        <w:ind w:left="920" w:hanging="453"/>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import and export license requirements, tariffs, taxes and other trade barriers;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increased financial accounting, tax and reporting burdens and complexities;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weaker protection of intellectual property rights in some countries;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multiple and possibly overlapping tax regimes;</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government sanctions that may interfere with our ability to sell into particular countries, such as Russia;</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 to our operations caused by epidemics or pandemics, such as COVID-19; and</w:t>
      </w:r>
    </w:p>
    <w:p>
      <w:pPr>
        <w:spacing w:after="0" w:line="10" w:lineRule="exact"/>
        <w:rPr>
          <w:rFonts w:ascii="Arial" w:cs="Arial" w:eastAsia="Arial" w:hAnsi="Arial"/>
          <w:sz w:val="17"/>
          <w:szCs w:val="17"/>
          <w:color w:val="auto"/>
        </w:rPr>
      </w:pPr>
    </w:p>
    <w:p>
      <w:pPr>
        <w:ind w:left="920" w:hanging="453"/>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social, and economic instability abroad, terrorist attacks, and security concerns in general.</w:t>
      </w:r>
    </w:p>
    <w:p>
      <w:pPr>
        <w:spacing w:after="0" w:line="155" w:lineRule="exact"/>
        <w:rPr>
          <w:sz w:val="20"/>
          <w:szCs w:val="20"/>
          <w:color w:val="auto"/>
        </w:rPr>
      </w:pPr>
    </w:p>
    <w:p>
      <w:pPr>
        <w:jc w:val="both"/>
        <w:ind w:firstLine="425"/>
        <w:spacing w:after="0" w:line="266" w:lineRule="auto"/>
        <w:rPr>
          <w:sz w:val="20"/>
          <w:szCs w:val="20"/>
          <w:color w:val="auto"/>
        </w:rPr>
      </w:pPr>
      <w:r>
        <w:rPr>
          <w:rFonts w:ascii="Arial" w:cs="Arial" w:eastAsia="Arial" w:hAnsi="Arial"/>
          <w:sz w:val="17"/>
          <w:szCs w:val="17"/>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Failure to manage our expanding operations effectively could harm our business.</w:t>
      </w:r>
    </w:p>
    <w:p>
      <w:pPr>
        <w:spacing w:after="0" w:line="88" w:lineRule="exact"/>
        <w:rPr>
          <w:sz w:val="20"/>
          <w:szCs w:val="20"/>
          <w:color w:val="auto"/>
        </w:rPr>
      </w:pPr>
    </w:p>
    <w:p>
      <w:pPr>
        <w:jc w:val="both"/>
        <w:ind w:firstLine="425"/>
        <w:spacing w:after="0" w:line="272" w:lineRule="auto"/>
        <w:rPr>
          <w:sz w:val="20"/>
          <w:szCs w:val="20"/>
          <w:color w:val="auto"/>
        </w:rPr>
      </w:pPr>
      <w:r>
        <w:rPr>
          <w:rFonts w:ascii="Arial" w:cs="Arial" w:eastAsia="Arial" w:hAnsi="Arial"/>
          <w:sz w:val="16"/>
          <w:szCs w:val="16"/>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We have announced our intention to transition to a hybrid work environment in which a large portion of our workforce will work either in-person on a part-time basis or remotely on a permanent basis.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or enhanced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218"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b w:val="1"/>
          <w:bCs w:val="1"/>
          <w:i w:val="1"/>
          <w:iCs w:val="1"/>
          <w:color w:val="auto"/>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spacing w:after="0" w:line="24" w:lineRule="exact"/>
        <w:rPr>
          <w:sz w:val="20"/>
          <w:szCs w:val="20"/>
          <w:color w:val="auto"/>
        </w:rPr>
      </w:pPr>
    </w:p>
    <w:p>
      <w:pPr>
        <w:jc w:val="both"/>
        <w:ind w:firstLine="425"/>
        <w:spacing w:after="0" w:line="276" w:lineRule="auto"/>
        <w:rPr>
          <w:sz w:val="20"/>
          <w:szCs w:val="20"/>
          <w:color w:val="auto"/>
        </w:rPr>
      </w:pPr>
      <w:r>
        <w:rPr>
          <w:rFonts w:ascii="Arial" w:cs="Arial" w:eastAsia="Arial" w:hAnsi="Arial"/>
          <w:sz w:val="16"/>
          <w:szCs w:val="16"/>
          <w:color w:val="auto"/>
        </w:rPr>
        <w:t>Our services and products are complex and are deployed in a wide variety of network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spacing w:after="0" w:line="118" w:lineRule="exact"/>
        <w:rPr>
          <w:sz w:val="20"/>
          <w:szCs w:val="20"/>
          <w:color w:val="auto"/>
        </w:rPr>
      </w:pPr>
    </w:p>
    <w:p>
      <w:pPr>
        <w:jc w:val="both"/>
        <w:ind w:firstLine="425"/>
        <w:spacing w:after="0" w:line="283" w:lineRule="auto"/>
        <w:rPr>
          <w:sz w:val="20"/>
          <w:szCs w:val="20"/>
          <w:color w:val="auto"/>
        </w:rPr>
      </w:pPr>
      <w:r>
        <w:rPr>
          <w:rFonts w:ascii="Arial" w:cs="Arial" w:eastAsia="Arial" w:hAnsi="Arial"/>
          <w:sz w:val="16"/>
          <w:szCs w:val="16"/>
          <w:color w:val="auto"/>
        </w:rPr>
        <w:t>In addition, if there is substantial turnover of customer personnel responsible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spacing w:after="0" w:line="189"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48"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7"/>
          <w:szCs w:val="17"/>
          <w:color w:val="auto"/>
        </w:rPr>
        <w:t>We may need additional financing to execute on our current or future business strategies, including to develop new or enhance existing services and products, acquire businesses and technologies, or otherwise to respond to competitive pressures.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1" w:name="page62"/>
    <w:bookmarkEnd w:id="61"/>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spacing w:after="0" w:line="127"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u w:val="single" w:color="auto"/>
          <w:color w:val="auto"/>
        </w:rPr>
        <w:t>Risks Related to Data Security and Privacy, Intellectual Property, and Information Technology</w:t>
      </w:r>
    </w:p>
    <w:p>
      <w:pPr>
        <w:spacing w:after="0" w:line="262"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35" w:lineRule="exact"/>
        <w:rPr>
          <w:sz w:val="20"/>
          <w:szCs w:val="20"/>
          <w:color w:val="auto"/>
        </w:rPr>
      </w:pPr>
    </w:p>
    <w:p>
      <w:pPr>
        <w:jc w:val="both"/>
        <w:ind w:firstLine="425"/>
        <w:spacing w:after="0" w:line="281" w:lineRule="auto"/>
        <w:rPr>
          <w:sz w:val="20"/>
          <w:szCs w:val="20"/>
          <w:color w:val="auto"/>
        </w:rPr>
      </w:pPr>
      <w:r>
        <w:rPr>
          <w:rFonts w:ascii="Arial" w:cs="Arial" w:eastAsia="Arial" w:hAnsi="Arial"/>
          <w:sz w:val="15"/>
          <w:szCs w:val="15"/>
          <w:color w:val="auto"/>
        </w:rPr>
        <w:t>If our security measures are breached or unauthorized access to customer data is otherwise obtained,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and security breaches could result in the loss of this</w:t>
      </w:r>
    </w:p>
    <w:p>
      <w:pPr>
        <w:jc w:val="both"/>
        <w:spacing w:after="0" w:line="276" w:lineRule="auto"/>
        <w:rPr>
          <w:sz w:val="20"/>
          <w:szCs w:val="20"/>
          <w:color w:val="auto"/>
        </w:rPr>
      </w:pPr>
      <w:r>
        <w:rPr>
          <w:rFonts w:ascii="Arial" w:cs="Arial" w:eastAsia="Arial" w:hAnsi="Arial"/>
          <w:sz w:val="15"/>
          <w:szCs w:val="15"/>
          <w:color w:val="auto"/>
        </w:rPr>
        <w:t>information, which in turn could result in litigation, breach of contract claims, indemnity obligations, and other liabilities for our company. While we have taken, and are continually updating,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198"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b w:val="1"/>
          <w:bCs w:val="1"/>
          <w:i w:val="1"/>
          <w:iCs w:val="1"/>
          <w:color w:val="auto"/>
        </w:rPr>
        <w:t>Privacy concerns could result in regulatory changes and impose additional costs and liabilities on us, limit our use of information, and adversely affect our business.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adoption of our cloud-based services occurs, the amount of customer data, including customer personal information, that we manage, hold, and/or collect</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continues to increase. 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spacing w:after="0" w:line="204"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5"/>
          <w:szCs w:val="15"/>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takes substantial effect on January 1, 2023, the Virginia Consumer Data Protection Act, which takes effect on January 1, 2023, the Colorado Privacy Act, which takes effect on July 1, 2023, and the Court of Justice of the EU’s invalidation of the Privacy Shield framework in July 2020. On July 16, 2020, the Court of Justice of the European Union (EU) issued a verdict that ruled that the EU-US Data Protection Shield, on which many companies relied on to transfer their data between the US and the EU, was invalidated due to concerns around surveillance by US state and law enforcement</w:t>
      </w:r>
    </w:p>
    <w:p>
      <w:pPr>
        <w:spacing w:after="0" w:line="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agencies, known as the Schrems II decision. Schrems II now requires companies to conduct individual assessments of each data transfer to a non-EU country in order to ensure compliance.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spacing w:after="0" w:line="19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Furthermore, concerns regarding data privacy and/or security may cause our customers’ customers to resist providing the data and information necessary to allow our customers to use our services and products effectively. Even the perception that the privacy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2" w:name="page63"/>
    <w:bookmarkEnd w:id="62"/>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spacing w:after="0" w:line="179" w:lineRule="exact"/>
        <w:rPr>
          <w:sz w:val="20"/>
          <w:szCs w:val="20"/>
          <w:color w:val="auto"/>
        </w:rPr>
      </w:pPr>
    </w:p>
    <w:p>
      <w:pPr>
        <w:jc w:val="both"/>
        <w:ind w:firstLine="387"/>
        <w:spacing w:after="0" w:line="340" w:lineRule="auto"/>
        <w:rPr>
          <w:sz w:val="20"/>
          <w:szCs w:val="20"/>
          <w:color w:val="auto"/>
        </w:rPr>
      </w:pPr>
      <w:r>
        <w:rPr>
          <w:rFonts w:ascii="Arial" w:cs="Arial" w:eastAsia="Arial" w:hAnsi="Arial"/>
          <w:sz w:val="15"/>
          <w:szCs w:val="15"/>
          <w:b w:val="1"/>
          <w:bCs w:val="1"/>
          <w:i w:val="1"/>
          <w:iCs w:val="1"/>
          <w:color w:val="auto"/>
        </w:rPr>
        <w:t>Privacy concerns in the EU and the U.K. are evolving and we may face fines and other penalties, as well as reputational harm, if we fail to comply with these evolving standards, and compliance with these standards may increase our expenses and adversely affect our business and results of operations.</w:t>
      </w:r>
    </w:p>
    <w:p>
      <w:pPr>
        <w:spacing w:after="0" w:line="1"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On April 27, 2016 the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and enforcement actions and as we continue to negotiate data processing agreements with our customers and business partners.</w:t>
      </w:r>
    </w:p>
    <w:p>
      <w:pPr>
        <w:spacing w:after="0" w:line="212"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w:t>
      </w:r>
    </w:p>
    <w:p>
      <w:pPr>
        <w:spacing w:after="0" w:line="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data importer is based, and there continue to be concerns about whether SCCs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The revised clauses must be used for relevant new data transfers from September 27, 2021, while existing standard contractual clauses arrangements must be migrated to the revised clauses by December 27, 2022. We will be required to implement the revised standard contractual clauses in relation to our customer arrangements within the relevant time frames, which could increase our compliance costs and adversely affect our business. There is some uncertainty around whether the revised clauses can be used for all types of data transfers, particularly whether they can be relied on for data transfers to non-EEA entities subject to the GDPR. These recent developments will require us to review and</w:t>
      </w:r>
    </w:p>
    <w:p>
      <w:pPr>
        <w:spacing w:after="0" w:line="4"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amend the legal mechanisms by which we make and receive personal data transfers to or in the United States. We (and many other companies) may be required to adopt additional measures to accomplish and maintain legitimate means for the transfer and receipt of personal data from the EU to the United States and other</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countries. As data protection authorities continue to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20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209"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3" w:name="page64"/>
    <w:bookmarkEnd w:id="63"/>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transfer of personal data from the United Kingdom to non-adequate countries remains subject to the previous set of standard contractual clauses as approved at the time of Brexit, but the U.K.’s Information Commissioner’s Office (the “ICO”) is currently considering new, U.K.-specific data transfer agreements. The ICO has stated that it is considering whether to recognize the new standard contractual clauses under U.K. law, and therefore our U.K. data export arrangements may also require updating, resulting in further compliance costs. In addition, on June 28, 2021, the European Commission adopted an adequacy decision in favor of the United Kingdom, enabling data transfers from EEA member states to the United Kingdom without additional safeguards. However, the U.K. adequacy decision will automatically expire in June 2025 unless the European Commission re-assesses and renews/extends that decision, and it remains under review by the Commission during this period. The relationship between the United Kingdom and the EEA in relation to certain aspects of data protection law remains unclear, and it is unclear how U.K. data protection laws and regulations will develop in the near to long term, and how data transfers to and from the United Kingdom will be regulated in the long term. These changes may lead to additional costs and increase our overall risk exposure.</w:t>
      </w:r>
    </w:p>
    <w:p>
      <w:pPr>
        <w:spacing w:after="0" w:line="198" w:lineRule="exact"/>
        <w:rPr>
          <w:sz w:val="20"/>
          <w:szCs w:val="20"/>
          <w:color w:val="auto"/>
        </w:rPr>
      </w:pPr>
    </w:p>
    <w:p>
      <w:pPr>
        <w:jc w:val="both"/>
        <w:ind w:firstLine="387"/>
        <w:spacing w:after="0" w:line="307" w:lineRule="auto"/>
        <w:rPr>
          <w:sz w:val="20"/>
          <w:szCs w:val="20"/>
          <w:color w:val="auto"/>
        </w:rPr>
      </w:pPr>
      <w:r>
        <w:rPr>
          <w:rFonts w:ascii="Arial" w:cs="Arial" w:eastAsia="Arial" w:hAnsi="Arial"/>
          <w:sz w:val="15"/>
          <w:szCs w:val="15"/>
          <w:color w:val="auto"/>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18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3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9"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09"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24" w:lineRule="exact"/>
        <w:rPr>
          <w:sz w:val="20"/>
          <w:szCs w:val="20"/>
          <w:color w:val="auto"/>
        </w:rPr>
      </w:pPr>
    </w:p>
    <w:p>
      <w:pPr>
        <w:jc w:val="both"/>
        <w:ind w:firstLine="387"/>
        <w:spacing w:after="0" w:line="374" w:lineRule="auto"/>
        <w:rPr>
          <w:sz w:val="20"/>
          <w:szCs w:val="20"/>
          <w:color w:val="auto"/>
        </w:rPr>
      </w:pPr>
      <w:r>
        <w:rPr>
          <w:rFonts w:ascii="Arial" w:cs="Arial" w:eastAsia="Arial" w:hAnsi="Arial"/>
          <w:sz w:val="14"/>
          <w:szCs w:val="14"/>
          <w:b w:val="1"/>
          <w:bCs w:val="1"/>
          <w:i w:val="1"/>
          <w:iCs w:val="1"/>
          <w:color w:val="auto"/>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spacing w:after="0" w:line="1"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5"/>
          <w:szCs w:val="15"/>
          <w:color w:val="auto"/>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 bugs in some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of our offerings after their introduction. Additionally, our Guidewire Cloud offerings rely on third-party hosting services, primarily AWS. Any material disruption or slowdown in these services or the systems of third parties who we depend upon could cause outages or delays in our services, which could harm our reputation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4" w:name="page65"/>
    <w:bookmarkEnd w:id="64"/>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We provide our customers with upfront estimates regarding the duration, resources, and costs associated with the 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modification of existing contracts that could potentially result in reversals of previously recognized revenue, or a customer’s refusal to pay its contractually-obligated fees. In addition, time-consuming or difficult implementations may also increase the amount of services personnel we must allocate to the implementation project without commensurate compensation, thereby increasing our costs and adversely affecting our business, results of operations, and financial condition.</w:t>
      </w:r>
    </w:p>
    <w:p>
      <w:pPr>
        <w:spacing w:after="0" w:line="208" w:lineRule="exact"/>
        <w:rPr>
          <w:sz w:val="20"/>
          <w:szCs w:val="20"/>
          <w:color w:val="auto"/>
        </w:rPr>
      </w:pPr>
    </w:p>
    <w:p>
      <w:pPr>
        <w:jc w:val="both"/>
        <w:ind w:firstLine="387"/>
        <w:spacing w:after="0" w:line="307" w:lineRule="auto"/>
        <w:rPr>
          <w:sz w:val="20"/>
          <w:szCs w:val="20"/>
          <w:color w:val="auto"/>
        </w:rPr>
      </w:pPr>
      <w:r>
        <w:rPr>
          <w:rFonts w:ascii="Arial" w:cs="Arial" w:eastAsia="Arial" w:hAnsi="Arial"/>
          <w:sz w:val="15"/>
          <w:szCs w:val="15"/>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Failure to protect our intellectual property could substantially harm our business and results of operations.</w:t>
      </w:r>
    </w:p>
    <w:p>
      <w:pPr>
        <w:spacing w:after="0" w:line="8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90"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9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94"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99"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5"/>
          <w:szCs w:val="15"/>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5" w:name="page66"/>
    <w:bookmarkEnd w:id="65"/>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We and our customers rely on technology and intellectual property of third parties, the loss of which could limit the functionality of our services and products and disrupt our business.</w:t>
      </w:r>
    </w:p>
    <w:p>
      <w:pPr>
        <w:spacing w:after="0" w:line="3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use technology and intellectual property licensed from unaffiliated third parties in certain of our services and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services and products and might require us to redesign our services and products.</w:t>
      </w:r>
    </w:p>
    <w:p>
      <w:pPr>
        <w:spacing w:after="0" w:line="209"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6"/>
          <w:szCs w:val="16"/>
          <w:color w:val="auto"/>
        </w:rPr>
        <w:t>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19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48"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spacing w:after="0" w:line="18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0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Some of our services and technologies may use “open source” software, which may restrict how we use or distribute our services or require that we release the source code of certain services and products subject to those licenses.</w:t>
      </w:r>
    </w:p>
    <w:p>
      <w:pPr>
        <w:spacing w:after="0" w:line="48" w:lineRule="exact"/>
        <w:rPr>
          <w:sz w:val="20"/>
          <w:szCs w:val="20"/>
          <w:color w:val="auto"/>
        </w:rPr>
      </w:pPr>
    </w:p>
    <w:p>
      <w:pPr>
        <w:jc w:val="both"/>
        <w:ind w:firstLine="425"/>
        <w:spacing w:after="0" w:line="299" w:lineRule="auto"/>
        <w:rPr>
          <w:sz w:val="20"/>
          <w:szCs w:val="20"/>
          <w:color w:val="auto"/>
        </w:rPr>
      </w:pPr>
      <w:r>
        <w:rPr>
          <w:rFonts w:ascii="Arial" w:cs="Arial" w:eastAsia="Arial" w:hAnsi="Arial"/>
          <w:sz w:val="15"/>
          <w:szCs w:val="15"/>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180"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5"/>
          <w:szCs w:val="15"/>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249"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6" w:name="page67"/>
    <w:bookmarkEnd w:id="66"/>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95"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6"/>
          <w:szCs w:val="16"/>
          <w:color w:val="auto"/>
        </w:rPr>
        <w:t>We prepare our consolidated financial statements to conform to United States Generally Accepted Accounting Principles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194"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7"/>
          <w:szCs w:val="17"/>
          <w:color w:val="auto"/>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spacing w:after="0" w:line="20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Further, revenue recognition standards require significant judgment and estimates that impact our reported revenue and results of operations. Additionally,</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reported revenue has and will vary from the ARR and cash flow associated with each customer agreement. For example,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spacing w:after="0" w:line="200" w:lineRule="exact"/>
        <w:rPr>
          <w:sz w:val="20"/>
          <w:szCs w:val="20"/>
          <w:color w:val="auto"/>
        </w:rPr>
      </w:pPr>
    </w:p>
    <w:p>
      <w:pPr>
        <w:spacing w:after="0" w:line="241"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60"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189"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211"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b w:val="1"/>
          <w:bCs w:val="1"/>
          <w:i w:val="1"/>
          <w:iCs w:val="1"/>
          <w:color w:val="auto"/>
        </w:rPr>
        <w:t>If tax laws change or we experience adverse outcomes resulting from examination of our income tax returns, it could adversely affect our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7" w:name="page68"/>
    <w:bookmarkEnd w:id="67"/>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firstLine="387"/>
        <w:spacing w:after="0" w:line="250" w:lineRule="auto"/>
        <w:rPr>
          <w:sz w:val="20"/>
          <w:szCs w:val="20"/>
          <w:color w:val="auto"/>
        </w:rPr>
      </w:pPr>
      <w:r>
        <w:rPr>
          <w:rFonts w:ascii="Arial" w:cs="Arial" w:eastAsia="Arial" w:hAnsi="Arial"/>
          <w:sz w:val="17"/>
          <w:szCs w:val="17"/>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Jobs Act of 2017 (the “Tax Act”) and the Coronavirus Aid, Relief, and Economic Security Act (the “CARES Act”).</w:t>
      </w:r>
    </w:p>
    <w:p>
      <w:pPr>
        <w:spacing w:after="0" w:line="201" w:lineRule="exact"/>
        <w:rPr>
          <w:sz w:val="20"/>
          <w:szCs w:val="20"/>
          <w:color w:val="auto"/>
        </w:rPr>
      </w:pPr>
    </w:p>
    <w:p>
      <w:pPr>
        <w:jc w:val="both"/>
        <w:ind w:firstLine="387"/>
        <w:spacing w:after="0" w:line="307" w:lineRule="auto"/>
        <w:rPr>
          <w:sz w:val="20"/>
          <w:szCs w:val="20"/>
          <w:color w:val="auto"/>
        </w:rPr>
      </w:pPr>
      <w:r>
        <w:rPr>
          <w:rFonts w:ascii="Arial" w:cs="Arial" w:eastAsia="Arial" w:hAnsi="Arial"/>
          <w:sz w:val="15"/>
          <w:szCs w:val="15"/>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175"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We have received an immaterial assessment from the California Franchise Tax Board for the state income tax returns filed for fiscal years 2018 and 2017. We have submitted a written protest and we do not believe the examinations will have a material impact on our results of operations, financial condition, or cash flows.</w:t>
      </w:r>
    </w:p>
    <w:p>
      <w:pPr>
        <w:spacing w:after="0" w:line="137"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stock price may be volatile, which could result in securities class action litigation against us.</w:t>
      </w:r>
    </w:p>
    <w:p>
      <w:pPr>
        <w:spacing w:after="0" w:line="10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20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or international currency fluctuations, have and may continue to affect the market price of our common stock.</w:t>
      </w:r>
    </w:p>
    <w:p>
      <w:pPr>
        <w:spacing w:after="0" w:line="229" w:lineRule="exact"/>
        <w:rPr>
          <w:sz w:val="20"/>
          <w:szCs w:val="20"/>
          <w:color w:val="auto"/>
        </w:rPr>
      </w:pPr>
    </w:p>
    <w:p>
      <w:pPr>
        <w:jc w:val="both"/>
        <w:ind w:firstLine="387"/>
        <w:spacing w:after="0" w:line="295" w:lineRule="auto"/>
        <w:rPr>
          <w:sz w:val="20"/>
          <w:szCs w:val="20"/>
          <w:color w:val="auto"/>
        </w:rPr>
      </w:pPr>
      <w:r>
        <w:rPr>
          <w:rFonts w:ascii="Arial" w:cs="Arial" w:eastAsia="Arial" w:hAnsi="Arial"/>
          <w:sz w:val="15"/>
          <w:szCs w:val="15"/>
          <w:color w:val="auto"/>
        </w:rPr>
        <w:t>In the past, we and many companies that have experienced volatility in the market price of their stock have been subject to securities class action litigation. In July 2020, one of our stockholders filed a putative securities class action complaint in the federal court for the Northern District of California, against us and certain of our current or former officers and directors, alleging misstatements and omissions in violation of Sections 10(b) and 20(a) of the Securities Exchange Act of 1934, as amended (the “Exchange Act”) and SEC Rule 10b-5. In October 2020, the suit was voluntarily dismissed without prejudice by plaintiff’s counsel. We may become the target of additional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185"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3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203"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4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05"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27"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20"/>
        </w:numPr>
        <w:rPr>
          <w:rFonts w:ascii="Arial" w:cs="Arial" w:eastAsia="Arial" w:hAnsi="Arial"/>
          <w:sz w:val="21"/>
          <w:szCs w:val="21"/>
          <w:color w:val="auto"/>
        </w:rPr>
      </w:pPr>
      <w:r>
        <w:rPr>
          <w:rFonts w:ascii="Arial" w:cs="Arial" w:eastAsia="Arial" w:hAnsi="Arial"/>
          <w:sz w:val="17"/>
          <w:szCs w:val="17"/>
          <w:color w:val="auto"/>
        </w:rPr>
        <w:t>authorizing our board of directors to issue, without stockholder approval, preferred stock rights senior to those of common stock, which could be used to significantly dilute the ownership of a hostile acquirer;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8" w:name="page69"/>
    <w:bookmarkEnd w:id="68"/>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49"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27" w:lineRule="exact"/>
        <w:rPr>
          <w:rFonts w:ascii="Arial" w:cs="Arial" w:eastAsia="Arial" w:hAnsi="Arial"/>
          <w:sz w:val="20"/>
          <w:szCs w:val="20"/>
          <w:color w:val="auto"/>
        </w:rPr>
      </w:pPr>
    </w:p>
    <w:p>
      <w:pPr>
        <w:ind w:left="620" w:hanging="307"/>
        <w:spacing w:after="0" w:line="232" w:lineRule="auto"/>
        <w:tabs>
          <w:tab w:leader="none" w:pos="615" w:val="left"/>
        </w:tabs>
        <w:numPr>
          <w:ilvl w:val="0"/>
          <w:numId w:val="21"/>
        </w:numPr>
        <w:rPr>
          <w:rFonts w:ascii="Arial" w:cs="Arial" w:eastAsia="Arial" w:hAnsi="Arial"/>
          <w:sz w:val="21"/>
          <w:szCs w:val="21"/>
          <w:color w:val="auto"/>
        </w:rPr>
      </w:pPr>
      <w:r>
        <w:rPr>
          <w:rFonts w:ascii="Arial" w:cs="Arial" w:eastAsia="Arial" w:hAnsi="Arial"/>
          <w:sz w:val="17"/>
          <w:szCs w:val="17"/>
          <w:color w:val="auto"/>
        </w:rPr>
        <w:t>limiting the persons who may call special meetings of stockholders, which could delay the ability of our stockholders to force consideration of a proposal or to take action, including the removal of directors; and</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21"/>
        </w:numPr>
        <w:rPr>
          <w:rFonts w:ascii="Arial" w:cs="Arial" w:eastAsia="Arial" w:hAnsi="Arial"/>
          <w:sz w:val="21"/>
          <w:szCs w:val="21"/>
          <w:color w:val="auto"/>
        </w:rPr>
      </w:pPr>
      <w:r>
        <w:rPr>
          <w:rFonts w:ascii="Arial" w:cs="Arial" w:eastAsia="Arial" w:hAnsi="Arial"/>
          <w:sz w:val="17"/>
          <w:szCs w:val="17"/>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22"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The affirmative vote of the holders of at least 66 2/3%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8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0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201"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Our amended and restated bylaws provide that, unless we consent in writing to the selection of an alternative forum, to the fullest extent permitted by law,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Court of Chancery of the State of Delaware will be the sole and exclusive forum for any state law claim for:</w:t>
      </w:r>
    </w:p>
    <w:p>
      <w:pPr>
        <w:spacing w:after="0" w:line="246"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any derivative action or proceeding brought on our behalf;</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any action asserting a claim of breach of a fiduciary duty owed by any of our directors, officers, or other employees to us or our stockholders;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22"/>
        </w:numPr>
        <w:rPr>
          <w:rFonts w:ascii="Arial" w:cs="Arial" w:eastAsia="Arial" w:hAnsi="Arial"/>
          <w:sz w:val="21"/>
          <w:szCs w:val="21"/>
          <w:color w:val="auto"/>
        </w:rPr>
      </w:pPr>
      <w:r>
        <w:rPr>
          <w:rFonts w:ascii="Arial" w:cs="Arial" w:eastAsia="Arial" w:hAnsi="Arial"/>
          <w:sz w:val="17"/>
          <w:szCs w:val="17"/>
          <w:color w:val="auto"/>
        </w:rPr>
        <w:t>any action asserting a claim arising pursuant to the Delaware General Corporation Law, our amended and restated certificate of incorporation or our amended and restated bylaws; or</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any action asserting a claim that is governed by the internal affairs doctrine (the “Delaware Forum Provision”).</w:t>
      </w:r>
    </w:p>
    <w:p>
      <w:pPr>
        <w:spacing w:after="0" w:line="260"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11"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uncertainty as to whether other courts will enforce our Federal Forum Provision. If the Federal Forum Provision is found to be unenforceable, we may incur</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9" w:name="page70"/>
    <w:bookmarkEnd w:id="69"/>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results than would other courts, including courts where a stockholder considering an action may be located or would otherwise choose to bring the action, and such judgments may be more or less favorable to us than our stockholders.</w:t>
      </w:r>
    </w:p>
    <w:p>
      <w:pPr>
        <w:spacing w:after="0" w:line="203"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b w:val="1"/>
          <w:bCs w:val="1"/>
          <w:i w:val="1"/>
          <w:iCs w:val="1"/>
          <w:color w:val="auto"/>
        </w:rPr>
        <w:t>We cannot guarantee that our share repurchase program will be fully consummated or it will enhance stockholder value, and share repurchases could affect the price of our common stock.</w:t>
      </w:r>
    </w:p>
    <w:p>
      <w:pPr>
        <w:spacing w:after="0" w:line="34"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6"/>
          <w:szCs w:val="16"/>
          <w:color w:val="auto"/>
        </w:rPr>
        <w:t>In October 2020, our board of directors authorized and approved a share repurchase program of up to $200 million of our outstanding common stock, $11.2 million of which remains available for future repurchases as of October 31, 2021. Stock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sizes of these repurchases will depend on a number of factors, including the market price of our common stock and general market and economic conditions. The stock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Risks Related to Our Indebtedness</w:t>
      </w:r>
    </w:p>
    <w:p>
      <w:pPr>
        <w:spacing w:after="0" w:line="326" w:lineRule="exact"/>
        <w:rPr>
          <w:sz w:val="20"/>
          <w:szCs w:val="20"/>
          <w:color w:val="auto"/>
        </w:rPr>
      </w:pPr>
    </w:p>
    <w:p>
      <w:pPr>
        <w:ind w:right="180" w:firstLine="387"/>
        <w:spacing w:after="0" w:line="318" w:lineRule="auto"/>
        <w:rPr>
          <w:sz w:val="20"/>
          <w:szCs w:val="20"/>
          <w:color w:val="auto"/>
        </w:rPr>
      </w:pPr>
      <w:r>
        <w:rPr>
          <w:rFonts w:ascii="Arial" w:cs="Arial" w:eastAsia="Arial" w:hAnsi="Arial"/>
          <w:sz w:val="15"/>
          <w:szCs w:val="15"/>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88" w:lineRule="exact"/>
        <w:rPr>
          <w:sz w:val="20"/>
          <w:szCs w:val="20"/>
          <w:color w:val="auto"/>
        </w:rPr>
      </w:pPr>
    </w:p>
    <w:p>
      <w:pPr>
        <w:jc w:val="both"/>
        <w:ind w:firstLine="425"/>
        <w:spacing w:after="0" w:line="307" w:lineRule="auto"/>
        <w:rPr>
          <w:sz w:val="20"/>
          <w:szCs w:val="20"/>
          <w:color w:val="auto"/>
        </w:rPr>
      </w:pPr>
      <w:r>
        <w:rPr>
          <w:rFonts w:ascii="Arial" w:cs="Arial" w:eastAsia="Arial" w:hAnsi="Arial"/>
          <w:sz w:val="15"/>
          <w:szCs w:val="15"/>
          <w:color w:val="auto"/>
        </w:rPr>
        <w:t>As of July 31, 2021,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97" w:lineRule="exact"/>
        <w:rPr>
          <w:sz w:val="20"/>
          <w:szCs w:val="20"/>
          <w:color w:val="auto"/>
        </w:rPr>
      </w:pPr>
    </w:p>
    <w:p>
      <w:pPr>
        <w:jc w:val="both"/>
        <w:ind w:firstLine="425"/>
        <w:spacing w:after="0" w:line="291" w:lineRule="auto"/>
        <w:rPr>
          <w:sz w:val="20"/>
          <w:szCs w:val="20"/>
          <w:color w:val="auto"/>
        </w:rPr>
      </w:pPr>
      <w:r>
        <w:rPr>
          <w:rFonts w:ascii="Arial" w:cs="Arial" w:eastAsia="Arial" w:hAnsi="Arial"/>
          <w:sz w:val="15"/>
          <w:szCs w:val="15"/>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112" w:lineRule="exact"/>
        <w:rPr>
          <w:sz w:val="20"/>
          <w:szCs w:val="20"/>
          <w:color w:val="auto"/>
        </w:rPr>
      </w:pPr>
    </w:p>
    <w:p>
      <w:pPr>
        <w:jc w:val="both"/>
        <w:ind w:firstLine="425"/>
        <w:spacing w:after="0" w:line="274" w:lineRule="auto"/>
        <w:rPr>
          <w:sz w:val="20"/>
          <w:szCs w:val="20"/>
          <w:color w:val="auto"/>
        </w:rPr>
      </w:pPr>
      <w:r>
        <w:rPr>
          <w:rFonts w:ascii="Arial" w:cs="Arial" w:eastAsia="Arial" w:hAnsi="Arial"/>
          <w:sz w:val="16"/>
          <w:szCs w:val="16"/>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0" w:name="page71"/>
    <w:bookmarkEnd w:id="70"/>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The conditional conversion feature of the Convertible Senior Notes, if triggered, may adversely affect our financial condition and results of operations.</w:t>
      </w:r>
    </w:p>
    <w:p>
      <w:pPr>
        <w:spacing w:after="0" w:line="188" w:lineRule="exact"/>
        <w:rPr>
          <w:sz w:val="20"/>
          <w:szCs w:val="20"/>
          <w:color w:val="auto"/>
        </w:rPr>
      </w:pPr>
    </w:p>
    <w:p>
      <w:pPr>
        <w:jc w:val="both"/>
        <w:ind w:firstLine="425"/>
        <w:spacing w:after="0" w:line="277" w:lineRule="auto"/>
        <w:rPr>
          <w:sz w:val="20"/>
          <w:szCs w:val="20"/>
          <w:color w:val="auto"/>
        </w:rPr>
      </w:pPr>
      <w:r>
        <w:rPr>
          <w:rFonts w:ascii="Arial" w:cs="Arial" w:eastAsia="Arial" w:hAnsi="Arial"/>
          <w:sz w:val="16"/>
          <w:szCs w:val="16"/>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Transactions relating to our Convertible Senior Notes may affect the value of our common stock.</w:t>
      </w:r>
    </w:p>
    <w:p>
      <w:pPr>
        <w:spacing w:after="0" w:line="165"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7"/>
          <w:szCs w:val="17"/>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131" w:lineRule="exact"/>
        <w:rPr>
          <w:sz w:val="20"/>
          <w:szCs w:val="20"/>
          <w:color w:val="auto"/>
        </w:rPr>
      </w:pPr>
    </w:p>
    <w:p>
      <w:pPr>
        <w:jc w:val="both"/>
        <w:ind w:firstLine="425"/>
        <w:spacing w:after="0" w:line="262" w:lineRule="auto"/>
        <w:rPr>
          <w:sz w:val="20"/>
          <w:szCs w:val="20"/>
          <w:color w:val="auto"/>
        </w:rPr>
      </w:pPr>
      <w:r>
        <w:rPr>
          <w:rFonts w:ascii="Arial" w:cs="Arial" w:eastAsia="Arial" w:hAnsi="Arial"/>
          <w:sz w:val="17"/>
          <w:szCs w:val="17"/>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26"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16"/>
          <w:szCs w:val="16"/>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07"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13" w:lineRule="exact"/>
        <w:rPr>
          <w:sz w:val="20"/>
          <w:szCs w:val="20"/>
          <w:color w:val="auto"/>
        </w:rPr>
      </w:pPr>
    </w:p>
    <w:p>
      <w:pPr>
        <w:jc w:val="both"/>
        <w:ind w:firstLine="425"/>
        <w:spacing w:after="0" w:line="274" w:lineRule="auto"/>
        <w:rPr>
          <w:sz w:val="20"/>
          <w:szCs w:val="20"/>
          <w:color w:val="auto"/>
        </w:rPr>
      </w:pPr>
      <w:r>
        <w:rPr>
          <w:rFonts w:ascii="Arial" w:cs="Arial" w:eastAsia="Arial" w:hAnsi="Arial"/>
          <w:sz w:val="16"/>
          <w:szCs w:val="16"/>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121" w:lineRule="exact"/>
        <w:rPr>
          <w:sz w:val="20"/>
          <w:szCs w:val="20"/>
          <w:color w:val="auto"/>
        </w:rPr>
      </w:pPr>
    </w:p>
    <w:p>
      <w:pPr>
        <w:jc w:val="both"/>
        <w:ind w:firstLine="425"/>
        <w:spacing w:after="0" w:line="279" w:lineRule="auto"/>
        <w:rPr>
          <w:sz w:val="20"/>
          <w:szCs w:val="20"/>
          <w:color w:val="auto"/>
        </w:rPr>
      </w:pPr>
      <w:r>
        <w:rPr>
          <w:rFonts w:ascii="Arial" w:cs="Arial" w:eastAsia="Arial" w:hAnsi="Arial"/>
          <w:sz w:val="16"/>
          <w:szCs w:val="16"/>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17" w:lineRule="exact"/>
        <w:rPr>
          <w:sz w:val="20"/>
          <w:szCs w:val="20"/>
          <w:color w:val="auto"/>
        </w:rPr>
      </w:pPr>
    </w:p>
    <w:p>
      <w:pPr>
        <w:jc w:val="both"/>
        <w:ind w:firstLine="425"/>
        <w:spacing w:after="0" w:line="299" w:lineRule="auto"/>
        <w:rPr>
          <w:sz w:val="20"/>
          <w:szCs w:val="20"/>
          <w:color w:val="auto"/>
        </w:rPr>
      </w:pPr>
      <w:r>
        <w:rPr>
          <w:rFonts w:ascii="Arial" w:cs="Arial" w:eastAsia="Arial" w:hAnsi="Arial"/>
          <w:sz w:val="15"/>
          <w:szCs w:val="15"/>
          <w:color w:val="auto"/>
        </w:rPr>
        <w:t>However, recently issued accounting guidance that will be effective for us on August 1, 2022 will no longer permit the use of the treasury stock method. In August 2020, the FASB issued ASU No. 2020-06, Debt</w:t>
      </w:r>
      <w:r>
        <w:rPr>
          <w:rFonts w:ascii="Arial" w:cs="Arial" w:eastAsia="Arial" w:hAnsi="Arial"/>
          <w:sz w:val="15"/>
          <w:szCs w:val="15"/>
          <w:b w:val="1"/>
          <w:bCs w:val="1"/>
          <w:i w:val="1"/>
          <w:iCs w:val="1"/>
          <w:color w:val="auto"/>
        </w:rPr>
        <w:t>—</w:t>
      </w:r>
      <w:r>
        <w:rPr>
          <w:rFonts w:ascii="Arial" w:cs="Arial" w:eastAsia="Arial" w:hAnsi="Arial"/>
          <w:sz w:val="15"/>
          <w:szCs w:val="15"/>
          <w:color w:val="auto"/>
        </w:rPr>
        <w:t>Debt with Conversion and Other Options (Subtopic 470-20) and Derivatives and Hedging</w:t>
      </w:r>
      <w:r>
        <w:rPr>
          <w:rFonts w:ascii="Arial" w:cs="Arial" w:eastAsia="Arial" w:hAnsi="Arial"/>
          <w:sz w:val="15"/>
          <w:szCs w:val="15"/>
          <w:b w:val="1"/>
          <w:bCs w:val="1"/>
          <w:i w:val="1"/>
          <w:iCs w:val="1"/>
          <w:color w:val="auto"/>
        </w:rPr>
        <w:t>—</w:t>
      </w:r>
      <w:r>
        <w:rPr>
          <w:rFonts w:ascii="Arial" w:cs="Arial" w:eastAsia="Arial" w:hAnsi="Arial"/>
          <w:sz w:val="15"/>
          <w:szCs w:val="15"/>
          <w:color w:val="auto"/>
        </w:rPr>
        <w:t>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could adversely affect our diluted earnings per share.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capped call transactions.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1" w:name="page72"/>
    <w:bookmarkEnd w:id="71"/>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189"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General Risks</w:t>
      </w:r>
    </w:p>
    <w:p>
      <w:pPr>
        <w:spacing w:after="0" w:line="262"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Our customers may defer or forego purchases of our services or products in the event of weakened global economic conditions, political transitions, and industry consolidation.</w:t>
      </w:r>
    </w:p>
    <w:p>
      <w:pPr>
        <w:spacing w:after="0" w:line="35" w:lineRule="exact"/>
        <w:rPr>
          <w:sz w:val="20"/>
          <w:szCs w:val="20"/>
          <w:color w:val="auto"/>
        </w:rPr>
      </w:pPr>
    </w:p>
    <w:p>
      <w:pPr>
        <w:jc w:val="both"/>
        <w:ind w:firstLine="425"/>
        <w:spacing w:after="0" w:line="256" w:lineRule="auto"/>
        <w:rPr>
          <w:sz w:val="20"/>
          <w:szCs w:val="20"/>
          <w:color w:val="auto"/>
        </w:rPr>
      </w:pPr>
      <w:r>
        <w:rPr>
          <w:rFonts w:ascii="Arial" w:cs="Arial" w:eastAsia="Arial" w:hAnsi="Arial"/>
          <w:sz w:val="16"/>
          <w:szCs w:val="16"/>
          <w:color w:val="auto"/>
        </w:rPr>
        <w:t>General worldwide economic conditions remain unstable, and prolonged economic uncertainties or downturns could harm our business, results of operations or financial condition. In particular, pursuant to a decision by referendum in June 2016, the U.K. voted to withdraw from the EU.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 to govern the U.K.’s future relationship with the EU.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w:t>
      </w:r>
    </w:p>
    <w:p>
      <w:pPr>
        <w:spacing w:after="0" w:line="19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6"/>
          <w:szCs w:val="16"/>
          <w:color w:val="auto"/>
        </w:rPr>
        <w:t>Further, other global events such as the imposition of various trade tariffs by the United States and China and the COVID-19 pandemic, have created and may continue to create global economic uncertainty, including inflationary pressures,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spacing w:after="0" w:line="20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214"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b w:val="1"/>
          <w:bCs w:val="1"/>
          <w:i w:val="1"/>
          <w:iCs w:val="1"/>
          <w:color w:val="auto"/>
        </w:rPr>
        <w:t>If we are unable to retain our personnel and hire and integrate additional skilled personnel, we may be unable to achieve our goals and our business will suffer.</w:t>
      </w:r>
    </w:p>
    <w:p>
      <w:pPr>
        <w:spacing w:after="0" w:line="48" w:lineRule="exact"/>
        <w:rPr>
          <w:sz w:val="20"/>
          <w:szCs w:val="20"/>
          <w:color w:val="auto"/>
        </w:rPr>
      </w:pPr>
    </w:p>
    <w:p>
      <w:pPr>
        <w:jc w:val="both"/>
        <w:ind w:firstLine="425"/>
        <w:spacing w:after="0" w:line="277" w:lineRule="auto"/>
        <w:rPr>
          <w:sz w:val="20"/>
          <w:szCs w:val="20"/>
          <w:color w:val="auto"/>
        </w:rPr>
      </w:pPr>
      <w:r>
        <w:rPr>
          <w:rFonts w:ascii="Arial" w:cs="Arial" w:eastAsia="Arial" w:hAnsi="Arial"/>
          <w:sz w:val="16"/>
          <w:szCs w:val="16"/>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2" w:name="page73"/>
    <w:bookmarkEnd w:id="72"/>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firstLine="309"/>
        <w:spacing w:after="0" w:line="313" w:lineRule="auto"/>
        <w:rPr>
          <w:sz w:val="20"/>
          <w:szCs w:val="20"/>
          <w:color w:val="auto"/>
        </w:rPr>
      </w:pPr>
      <w:r>
        <w:rPr>
          <w:rFonts w:ascii="Arial" w:cs="Arial" w:eastAsia="Arial" w:hAnsi="Arial"/>
          <w:sz w:val="15"/>
          <w:szCs w:val="15"/>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2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209"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the Covid-19 pandemic and recent economic conditions have increased attrition and decreased the number of available candidates for open positions.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spacing w:after="0" w:line="209"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175" w:lineRule="exact"/>
        <w:rPr>
          <w:sz w:val="20"/>
          <w:szCs w:val="20"/>
          <w:color w:val="auto"/>
        </w:rPr>
      </w:pPr>
    </w:p>
    <w:p>
      <w:pPr>
        <w:jc w:val="both"/>
        <w:ind w:firstLine="309"/>
        <w:spacing w:after="0" w:line="246" w:lineRule="auto"/>
        <w:rPr>
          <w:sz w:val="20"/>
          <w:szCs w:val="20"/>
          <w:color w:val="auto"/>
        </w:rPr>
      </w:pPr>
      <w:r>
        <w:rPr>
          <w:rFonts w:ascii="Arial" w:cs="Arial" w:eastAsia="Arial" w:hAnsi="Arial"/>
          <w:sz w:val="17"/>
          <w:szCs w:val="17"/>
          <w:color w:val="auto"/>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spacing w:after="0" w:line="217"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spacing w:after="0" w:line="29"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5"/>
          <w:szCs w:val="15"/>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Climate change and other environmental factors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Recently, for example, various parts of the United States have suffered extensive damage due to hurricanes, droughts, severe heat and cold events, fires, and other natural disasters, Germany and other parts of Europe has experienced</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flooding,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45" w:lineRule="exact"/>
        <w:rPr>
          <w:sz w:val="20"/>
          <w:szCs w:val="20"/>
          <w:color w:val="auto"/>
        </w:rPr>
      </w:pPr>
    </w:p>
    <w:p>
      <w:pPr>
        <w:jc w:val="both"/>
        <w:ind w:firstLine="425"/>
        <w:spacing w:after="0" w:line="281" w:lineRule="auto"/>
        <w:rPr>
          <w:sz w:val="20"/>
          <w:szCs w:val="20"/>
          <w:color w:val="auto"/>
        </w:rPr>
      </w:pPr>
      <w:r>
        <w:rPr>
          <w:rFonts w:ascii="Arial" w:cs="Arial" w:eastAsia="Arial" w:hAnsi="Arial"/>
          <w:sz w:val="15"/>
          <w:szCs w:val="15"/>
          <w:color w:val="auto"/>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 addition, our information technology systems are vulnerable to computer viruses, break-ins, and similar</w:t>
      </w:r>
    </w:p>
    <w:p>
      <w:pPr>
        <w:jc w:val="both"/>
        <w:spacing w:after="0" w:line="279" w:lineRule="auto"/>
        <w:rPr>
          <w:sz w:val="20"/>
          <w:szCs w:val="20"/>
          <w:color w:val="auto"/>
        </w:rPr>
      </w:pPr>
      <w:r>
        <w:rPr>
          <w:rFonts w:ascii="Arial" w:cs="Arial" w:eastAsia="Arial" w:hAnsi="Arial"/>
          <w:sz w:val="17"/>
          <w:szCs w:val="17"/>
          <w:color w:val="auto"/>
        </w:rPr>
        <w:t>disruptions from unauthorized tampering.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3" w:name="page74"/>
    <w:bookmarkEnd w:id="73"/>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firstLine="387"/>
        <w:spacing w:after="0" w:line="266" w:lineRule="auto"/>
        <w:rPr>
          <w:sz w:val="20"/>
          <w:szCs w:val="20"/>
          <w:color w:val="auto"/>
        </w:rPr>
      </w:pPr>
      <w:r>
        <w:rPr>
          <w:rFonts w:ascii="Arial" w:cs="Arial" w:eastAsia="Arial" w:hAnsi="Arial"/>
          <w:sz w:val="17"/>
          <w:szCs w:val="17"/>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w:t>
      </w:r>
    </w:p>
    <w:p>
      <w:pPr>
        <w:spacing w:after="0" w:line="46" w:lineRule="exact"/>
        <w:rPr>
          <w:sz w:val="20"/>
          <w:szCs w:val="20"/>
          <w:color w:val="auto"/>
        </w:rPr>
      </w:pPr>
    </w:p>
    <w:p>
      <w:pPr>
        <w:jc w:val="both"/>
        <w:ind w:right="20" w:firstLine="425"/>
        <w:spacing w:after="0" w:line="294" w:lineRule="auto"/>
        <w:rPr>
          <w:sz w:val="20"/>
          <w:szCs w:val="20"/>
          <w:color w:val="auto"/>
        </w:rPr>
      </w:pPr>
      <w:r>
        <w:rPr>
          <w:rFonts w:ascii="Arial" w:cs="Arial" w:eastAsia="Arial" w:hAnsi="Arial"/>
          <w:sz w:val="15"/>
          <w:szCs w:val="15"/>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and operating income, which could have an adverse effect on our stock price. We will continue to experience fluctuations in foreign currency exchange rates, which, if material, may harm our revenue or results of operations.</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7" w:lineRule="exact"/>
        <w:rPr>
          <w:sz w:val="20"/>
          <w:szCs w:val="20"/>
          <w:color w:val="auto"/>
        </w:rPr>
      </w:pPr>
    </w:p>
    <w:p>
      <w:pPr>
        <w:jc w:val="both"/>
        <w:ind w:right="20" w:firstLine="309"/>
        <w:spacing w:after="0" w:line="276" w:lineRule="auto"/>
        <w:rPr>
          <w:sz w:val="20"/>
          <w:szCs w:val="20"/>
          <w:color w:val="auto"/>
        </w:rPr>
      </w:pPr>
      <w:r>
        <w:rPr>
          <w:rFonts w:ascii="Arial" w:cs="Arial" w:eastAsia="Arial" w:hAnsi="Arial"/>
          <w:sz w:val="17"/>
          <w:szCs w:val="17"/>
          <w:color w:val="auto"/>
        </w:rPr>
        <w:t>Repurchases of equity securities by the Company during the three months ended October 31, 2021 was as follows (in thousands, except share and per share amounts):</w:t>
      </w:r>
    </w:p>
    <w:tbl>
      <w:tblPr>
        <w:tblLayout w:type="fixed"/>
        <w:tblInd w:w="10" w:type="dxa"/>
        <w:tblCellMar>
          <w:top w:w="0" w:type="dxa"/>
          <w:left w:w="0" w:type="dxa"/>
          <w:bottom w:w="0" w:type="dxa"/>
          <w:right w:w="0" w:type="dxa"/>
        </w:tblCellMar>
      </w:tblPr>
      <w:tr>
        <w:trPr>
          <w:trHeight w:val="162"/>
        </w:trPr>
        <w:tc>
          <w:tcPr>
            <w:tcW w:w="4140" w:type="dxa"/>
            <w:vAlign w:val="bottom"/>
            <w:tcBorders>
              <w:top w:val="single" w:sz="8" w:color="auto"/>
              <w:left w:val="single" w:sz="8" w:color="auto"/>
              <w:right w:val="single" w:sz="8" w:color="auto"/>
            </w:tcBorders>
          </w:tcPr>
          <w:p>
            <w:pPr>
              <w:spacing w:after="0"/>
              <w:rPr>
                <w:sz w:val="14"/>
                <w:szCs w:val="14"/>
                <w:color w:val="auto"/>
              </w:rPr>
            </w:pPr>
          </w:p>
        </w:tc>
        <w:tc>
          <w:tcPr>
            <w:tcW w:w="1560" w:type="dxa"/>
            <w:vAlign w:val="bottom"/>
            <w:tcBorders>
              <w:top w:val="single" w:sz="8" w:color="auto"/>
              <w:right w:val="single" w:sz="8" w:color="auto"/>
            </w:tcBorders>
          </w:tcPr>
          <w:p>
            <w:pPr>
              <w:spacing w:after="0"/>
              <w:rPr>
                <w:sz w:val="14"/>
                <w:szCs w:val="14"/>
                <w:color w:val="auto"/>
              </w:rPr>
            </w:pPr>
          </w:p>
        </w:tc>
        <w:tc>
          <w:tcPr>
            <w:tcW w:w="1560" w:type="dxa"/>
            <w:vAlign w:val="bottom"/>
            <w:tcBorders>
              <w:top w:val="single" w:sz="8" w:color="auto"/>
              <w:right w:val="single" w:sz="8" w:color="auto"/>
            </w:tcBorders>
          </w:tcPr>
          <w:p>
            <w:pPr>
              <w:spacing w:after="0"/>
              <w:rPr>
                <w:sz w:val="14"/>
                <w:szCs w:val="14"/>
                <w:color w:val="auto"/>
              </w:rPr>
            </w:pP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Total Number Of Shares</w:t>
            </w:r>
          </w:p>
        </w:tc>
        <w:tc>
          <w:tcPr>
            <w:tcW w:w="200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93"/>
              </w:rPr>
              <w:t>Approximate Dollar Value</w:t>
            </w:r>
          </w:p>
        </w:tc>
        <w:tc>
          <w:tcPr>
            <w:tcW w:w="0" w:type="dxa"/>
            <w:vAlign w:val="bottom"/>
          </w:tcPr>
          <w:p>
            <w:pPr>
              <w:spacing w:after="0"/>
              <w:rPr>
                <w:sz w:val="1"/>
                <w:szCs w:val="1"/>
                <w:color w:val="auto"/>
              </w:rPr>
            </w:pPr>
          </w:p>
        </w:tc>
      </w:tr>
      <w:tr>
        <w:trPr>
          <w:trHeight w:val="168"/>
        </w:trPr>
        <w:tc>
          <w:tcPr>
            <w:tcW w:w="414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20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w w:val="91"/>
              </w:rPr>
              <w:t>(in millions) of Shares</w:t>
            </w:r>
          </w:p>
        </w:tc>
        <w:tc>
          <w:tcPr>
            <w:tcW w:w="0" w:type="dxa"/>
            <w:vAlign w:val="bottom"/>
          </w:tcPr>
          <w:p>
            <w:pPr>
              <w:spacing w:after="0"/>
              <w:rPr>
                <w:sz w:val="1"/>
                <w:szCs w:val="1"/>
                <w:color w:val="auto"/>
              </w:rPr>
            </w:pPr>
          </w:p>
        </w:tc>
      </w:tr>
      <w:tr>
        <w:trPr>
          <w:trHeight w:val="168"/>
        </w:trPr>
        <w:tc>
          <w:tcPr>
            <w:tcW w:w="414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Total Number of</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Average Price Paid</w:t>
            </w:r>
          </w:p>
        </w:tc>
        <w:tc>
          <w:tcPr>
            <w:tcW w:w="20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w w:val="91"/>
              </w:rPr>
              <w:t>Purchased As Part Of</w:t>
            </w:r>
          </w:p>
        </w:tc>
        <w:tc>
          <w:tcPr>
            <w:tcW w:w="20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w w:val="95"/>
              </w:rPr>
              <w:t>That May Yet Be</w:t>
            </w:r>
          </w:p>
        </w:tc>
        <w:tc>
          <w:tcPr>
            <w:tcW w:w="0" w:type="dxa"/>
            <w:vAlign w:val="bottom"/>
          </w:tcPr>
          <w:p>
            <w:pPr>
              <w:spacing w:after="0"/>
              <w:rPr>
                <w:sz w:val="1"/>
                <w:szCs w:val="1"/>
                <w:color w:val="auto"/>
              </w:rPr>
            </w:pPr>
          </w:p>
        </w:tc>
      </w:tr>
      <w:tr>
        <w:trPr>
          <w:trHeight w:val="168"/>
        </w:trPr>
        <w:tc>
          <w:tcPr>
            <w:tcW w:w="4140" w:type="dxa"/>
            <w:vAlign w:val="bottom"/>
            <w:tcBorders>
              <w:left w:val="single" w:sz="8" w:color="auto"/>
              <w:right w:val="single" w:sz="8" w:color="auto"/>
            </w:tcBorders>
            <w:vMerge w:val="restart"/>
          </w:tcPr>
          <w:p>
            <w:pPr>
              <w:ind w:left="1820"/>
              <w:spacing w:after="0"/>
              <w:rPr>
                <w:sz w:val="20"/>
                <w:szCs w:val="20"/>
                <w:color w:val="auto"/>
              </w:rPr>
            </w:pPr>
            <w:r>
              <w:rPr>
                <w:rFonts w:ascii="Arial" w:cs="Arial" w:eastAsia="Arial" w:hAnsi="Arial"/>
                <w:sz w:val="17"/>
                <w:szCs w:val="17"/>
                <w:b w:val="1"/>
                <w:bCs w:val="1"/>
                <w:color w:val="auto"/>
              </w:rPr>
              <w:t>Period</w:t>
            </w:r>
          </w:p>
        </w:tc>
        <w:tc>
          <w:tcPr>
            <w:tcW w:w="156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20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w w:val="90"/>
              </w:rPr>
              <w:t>Publicly Announced Plans</w:t>
            </w:r>
          </w:p>
        </w:tc>
        <w:tc>
          <w:tcPr>
            <w:tcW w:w="20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w w:val="92"/>
              </w:rPr>
              <w:t>Purchased Under The</w:t>
            </w:r>
          </w:p>
        </w:tc>
        <w:tc>
          <w:tcPr>
            <w:tcW w:w="0" w:type="dxa"/>
            <w:vAlign w:val="bottom"/>
          </w:tcPr>
          <w:p>
            <w:pPr>
              <w:spacing w:after="0"/>
              <w:rPr>
                <w:sz w:val="1"/>
                <w:szCs w:val="1"/>
                <w:color w:val="auto"/>
              </w:rPr>
            </w:pPr>
          </w:p>
        </w:tc>
      </w:tr>
      <w:tr>
        <w:trPr>
          <w:trHeight w:val="219"/>
        </w:trPr>
        <w:tc>
          <w:tcPr>
            <w:tcW w:w="41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Shares Purchased</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per Share</w:t>
            </w:r>
          </w:p>
        </w:tc>
        <w:tc>
          <w:tcPr>
            <w:tcW w:w="2000" w:type="dxa"/>
            <w:vAlign w:val="bottom"/>
            <w:tcBorders>
              <w:bottom w:val="single" w:sz="8" w:color="auto"/>
              <w:right w:val="single" w:sz="8" w:color="auto"/>
            </w:tcBorders>
          </w:tcPr>
          <w:p>
            <w:pPr>
              <w:jc w:val="center"/>
              <w:spacing w:after="0" w:line="219" w:lineRule="exact"/>
              <w:rPr>
                <w:sz w:val="20"/>
                <w:szCs w:val="20"/>
                <w:color w:val="auto"/>
              </w:rPr>
            </w:pPr>
            <w:r>
              <w:rPr>
                <w:rFonts w:ascii="Arial" w:cs="Arial" w:eastAsia="Arial" w:hAnsi="Arial"/>
                <w:sz w:val="17"/>
                <w:szCs w:val="17"/>
                <w:b w:val="1"/>
                <w:bCs w:val="1"/>
                <w:color w:val="auto"/>
                <w:w w:val="90"/>
              </w:rPr>
              <w:t>Or Programs</w:t>
            </w:r>
            <w:r>
              <w:rPr>
                <w:rFonts w:ascii="Arial" w:cs="Arial" w:eastAsia="Arial" w:hAnsi="Arial"/>
                <w:sz w:val="22"/>
                <w:szCs w:val="22"/>
                <w:b w:val="1"/>
                <w:bCs w:val="1"/>
                <w:color w:val="auto"/>
                <w:w w:val="90"/>
                <w:vertAlign w:val="superscript"/>
              </w:rPr>
              <w:t>(1)</w:t>
            </w:r>
          </w:p>
        </w:tc>
        <w:tc>
          <w:tcPr>
            <w:tcW w:w="2000" w:type="dxa"/>
            <w:vAlign w:val="bottom"/>
            <w:tcBorders>
              <w:bottom w:val="single" w:sz="8" w:color="auto"/>
              <w:right w:val="single" w:sz="8" w:color="auto"/>
            </w:tcBorders>
          </w:tcPr>
          <w:p>
            <w:pPr>
              <w:jc w:val="center"/>
              <w:spacing w:after="0" w:line="219" w:lineRule="exact"/>
              <w:rPr>
                <w:sz w:val="20"/>
                <w:szCs w:val="20"/>
                <w:color w:val="auto"/>
              </w:rPr>
            </w:pPr>
            <w:r>
              <w:rPr>
                <w:rFonts w:ascii="Arial" w:cs="Arial" w:eastAsia="Arial" w:hAnsi="Arial"/>
                <w:sz w:val="17"/>
                <w:szCs w:val="17"/>
                <w:b w:val="1"/>
                <w:bCs w:val="1"/>
                <w:color w:val="auto"/>
                <w:w w:val="88"/>
              </w:rPr>
              <w:t>Plans or Programs</w:t>
            </w:r>
            <w:r>
              <w:rPr>
                <w:rFonts w:ascii="Arial" w:cs="Arial" w:eastAsia="Arial" w:hAnsi="Arial"/>
                <w:sz w:val="22"/>
                <w:szCs w:val="22"/>
                <w:b w:val="1"/>
                <w:bCs w:val="1"/>
                <w:color w:val="auto"/>
                <w:w w:val="88"/>
                <w:vertAlign w:val="superscript"/>
              </w:rPr>
              <w:t>(1)</w:t>
            </w:r>
          </w:p>
        </w:tc>
        <w:tc>
          <w:tcPr>
            <w:tcW w:w="0" w:type="dxa"/>
            <w:vAlign w:val="bottom"/>
          </w:tcPr>
          <w:p>
            <w:pPr>
              <w:spacing w:after="0"/>
              <w:rPr>
                <w:sz w:val="1"/>
                <w:szCs w:val="1"/>
                <w:color w:val="auto"/>
              </w:rPr>
            </w:pPr>
          </w:p>
        </w:tc>
      </w:tr>
      <w:tr>
        <w:trPr>
          <w:trHeight w:val="211"/>
        </w:trPr>
        <w:tc>
          <w:tcPr>
            <w:tcW w:w="4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August 1, 2021 - August 31, 2021</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118,104</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$114.55</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1,607,095</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$24.0</w:t>
            </w:r>
          </w:p>
        </w:tc>
        <w:tc>
          <w:tcPr>
            <w:tcW w:w="0" w:type="dxa"/>
            <w:vAlign w:val="bottom"/>
          </w:tcPr>
          <w:p>
            <w:pPr>
              <w:spacing w:after="0"/>
              <w:rPr>
                <w:sz w:val="1"/>
                <w:szCs w:val="1"/>
                <w:color w:val="auto"/>
              </w:rPr>
            </w:pPr>
          </w:p>
        </w:tc>
      </w:tr>
      <w:tr>
        <w:trPr>
          <w:trHeight w:val="212"/>
        </w:trPr>
        <w:tc>
          <w:tcPr>
            <w:tcW w:w="4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September 1, 2021 - September 30, 2021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60,936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$118.16</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1,668,031</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$16.8</w:t>
            </w:r>
          </w:p>
        </w:tc>
        <w:tc>
          <w:tcPr>
            <w:tcW w:w="0" w:type="dxa"/>
            <w:vAlign w:val="bottom"/>
          </w:tcPr>
          <w:p>
            <w:pPr>
              <w:spacing w:after="0"/>
              <w:rPr>
                <w:sz w:val="1"/>
                <w:szCs w:val="1"/>
                <w:color w:val="auto"/>
              </w:rPr>
            </w:pPr>
          </w:p>
        </w:tc>
      </w:tr>
      <w:tr>
        <w:trPr>
          <w:trHeight w:val="212"/>
        </w:trPr>
        <w:tc>
          <w:tcPr>
            <w:tcW w:w="4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October 1, 2021 - October 31, 2021</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47,132</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$117.42</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1,715,163</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$11.2</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right="20" w:firstLine="3"/>
        <w:spacing w:after="0" w:line="282" w:lineRule="auto"/>
        <w:tabs>
          <w:tab w:leader="none" w:pos="179"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On October 7, 2020, we announced that our board of directors authorized and approved a share repurchase program of up to $200.0 million of our outstanding stock. We began repurchasing shares under this program during the first quarter of fiscal year 2021. As of October 31, 2021, we had approximately $11.2 million remaining for future share repurchases under the share repurchase program. The stock repurchase program does not obligate us to repurchase any dollar amount or number of shares, and the program may be suspended or discontinued at any time. There is no stated expiration for the program.</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sectPr>
      </w:pPr>
    </w:p>
    <w:bookmarkStart w:id="74" w:name="page75"/>
    <w:bookmarkEnd w:id="74"/>
    <w:tbl>
      <w:tblPr>
        <w:tblLayout w:type="fixed"/>
        <w:tblInd w:w="74"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1220" w:type="dxa"/>
            <w:vAlign w:val="bottom"/>
            <w:tcBorders>
              <w:bottom w:val="single" w:sz="8" w:color="0000FF"/>
            </w:tcBorders>
            <w:gridSpan w:val="2"/>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Table of Contents</w:t>
              </w:r>
            </w:hyperlink>
          </w:p>
        </w:tc>
        <w:tc>
          <w:tcPr>
            <w:tcW w:w="3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1"/>
        </w:trPr>
        <w:tc>
          <w:tcPr>
            <w:tcW w:w="820" w:type="dxa"/>
            <w:vAlign w:val="bottom"/>
            <w:gridSpan w:val="2"/>
          </w:tcPr>
          <w:p>
            <w:pPr>
              <w:spacing w:after="0"/>
              <w:rPr>
                <w:sz w:val="20"/>
                <w:szCs w:val="20"/>
                <w:color w:val="auto"/>
              </w:rPr>
            </w:pPr>
            <w:r>
              <w:rPr>
                <w:rFonts w:ascii="Arial" w:cs="Arial" w:eastAsia="Arial" w:hAnsi="Arial"/>
                <w:sz w:val="17"/>
                <w:szCs w:val="17"/>
                <w:b w:val="1"/>
                <w:bCs w:val="1"/>
                <w:color w:val="auto"/>
              </w:rPr>
              <w:t>ITEM 6.</w:t>
            </w:r>
          </w:p>
        </w:tc>
        <w:tc>
          <w:tcPr>
            <w:tcW w:w="406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Exhibits</w:t>
            </w:r>
          </w:p>
        </w:tc>
        <w:tc>
          <w:tcPr>
            <w:tcW w:w="2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7100" w:type="dxa"/>
            <w:vAlign w:val="bottom"/>
            <w:gridSpan w:val="4"/>
          </w:tcPr>
          <w:p>
            <w:pPr>
              <w:ind w:left="100"/>
              <w:spacing w:after="0"/>
              <w:rPr>
                <w:sz w:val="20"/>
                <w:szCs w:val="20"/>
                <w:color w:val="auto"/>
              </w:rPr>
            </w:pPr>
            <w:r>
              <w:rPr>
                <w:rFonts w:ascii="Arial" w:cs="Arial" w:eastAsia="Arial" w:hAnsi="Arial"/>
                <w:sz w:val="17"/>
                <w:szCs w:val="17"/>
                <w:color w:val="auto"/>
              </w:rPr>
              <w:t>The exhibits listed below are filed or incorporated by reference as part of this Report.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80" w:type="dxa"/>
            <w:vAlign w:val="bottom"/>
          </w:tcPr>
          <w:p>
            <w:pPr>
              <w:ind w:left="500"/>
              <w:spacing w:after="0" w:line="156" w:lineRule="exact"/>
              <w:rPr>
                <w:sz w:val="20"/>
                <w:szCs w:val="20"/>
                <w:color w:val="auto"/>
              </w:rPr>
            </w:pPr>
            <w:r>
              <w:rPr>
                <w:rFonts w:ascii="Arial" w:cs="Arial" w:eastAsia="Arial" w:hAnsi="Arial"/>
                <w:sz w:val="14"/>
                <w:szCs w:val="14"/>
                <w:b w:val="1"/>
                <w:bCs w:val="1"/>
                <w:color w:val="auto"/>
                <w:w w:val="88"/>
              </w:rPr>
              <w:t>Incorporated</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5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Incorporated by</w:t>
            </w:r>
          </w:p>
        </w:tc>
        <w:tc>
          <w:tcPr>
            <w:tcW w:w="128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86"/>
              </w:rPr>
              <w:t>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5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2540" w:type="dxa"/>
            <w:vAlign w:val="bottom"/>
            <w:vMerge w:val="continue"/>
          </w:tcPr>
          <w:p>
            <w:pPr>
              <w:spacing w:after="0"/>
              <w:rPr>
                <w:sz w:val="11"/>
                <w:szCs w:val="11"/>
                <w:color w:val="auto"/>
              </w:rPr>
            </w:pPr>
          </w:p>
        </w:tc>
        <w:tc>
          <w:tcPr>
            <w:tcW w:w="128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560" w:type="dxa"/>
            <w:vAlign w:val="bottom"/>
            <w:gridSpan w:val="3"/>
            <w:vMerge w:val="continue"/>
          </w:tcPr>
          <w:p>
            <w:pPr>
              <w:spacing w:after="0"/>
              <w:rPr>
                <w:sz w:val="11"/>
                <w:szCs w:val="11"/>
                <w:color w:val="auto"/>
              </w:rPr>
            </w:pPr>
          </w:p>
        </w:tc>
        <w:tc>
          <w:tcPr>
            <w:tcW w:w="2540" w:type="dxa"/>
            <w:vAlign w:val="bottom"/>
          </w:tcPr>
          <w:p>
            <w:pPr>
              <w:jc w:val="center"/>
              <w:ind w:left="451"/>
              <w:spacing w:after="0" w:line="129" w:lineRule="exact"/>
              <w:rPr>
                <w:sz w:val="20"/>
                <w:szCs w:val="20"/>
                <w:color w:val="auto"/>
              </w:rPr>
            </w:pPr>
            <w:r>
              <w:rPr>
                <w:rFonts w:ascii="Arial" w:cs="Arial" w:eastAsia="Arial" w:hAnsi="Arial"/>
                <w:sz w:val="14"/>
                <w:szCs w:val="14"/>
                <w:b w:val="1"/>
                <w:bCs w:val="1"/>
                <w:color w:val="auto"/>
                <w:w w:val="88"/>
              </w:rPr>
              <w:t>Reference From</w:t>
            </w:r>
          </w:p>
        </w:tc>
        <w:tc>
          <w:tcPr>
            <w:tcW w:w="1280" w:type="dxa"/>
            <w:vAlign w:val="bottom"/>
          </w:tcPr>
          <w:p>
            <w:pPr>
              <w:jc w:val="center"/>
              <w:ind w:left="11"/>
              <w:spacing w:after="0" w:line="129" w:lineRule="exact"/>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720" w:type="dxa"/>
            <w:vAlign w:val="bottom"/>
          </w:tcPr>
          <w:p>
            <w:pPr>
              <w:spacing w:after="0"/>
              <w:rPr>
                <w:sz w:val="15"/>
                <w:szCs w:val="15"/>
                <w:color w:val="auto"/>
              </w:rPr>
            </w:pPr>
          </w:p>
        </w:tc>
        <w:tc>
          <w:tcPr>
            <w:tcW w:w="3340" w:type="dxa"/>
            <w:vAlign w:val="bottom"/>
          </w:tcPr>
          <w:p>
            <w:pPr>
              <w:ind w:left="1620"/>
              <w:spacing w:after="0"/>
              <w:rPr>
                <w:sz w:val="20"/>
                <w:szCs w:val="20"/>
                <w:color w:val="auto"/>
              </w:rPr>
            </w:pPr>
            <w:r>
              <w:rPr>
                <w:rFonts w:ascii="Arial" w:cs="Arial" w:eastAsia="Arial" w:hAnsi="Arial"/>
                <w:sz w:val="14"/>
                <w:szCs w:val="14"/>
                <w:b w:val="1"/>
                <w:bCs w:val="1"/>
                <w:color w:val="auto"/>
              </w:rPr>
              <w:t>Description</w:t>
            </w:r>
          </w:p>
        </w:tc>
        <w:tc>
          <w:tcPr>
            <w:tcW w:w="2540" w:type="dxa"/>
            <w:vAlign w:val="bottom"/>
          </w:tcPr>
          <w:p>
            <w:pPr>
              <w:jc w:val="center"/>
              <w:ind w:left="451"/>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tcPr>
          <w:p>
            <w:pPr>
              <w:jc w:val="center"/>
              <w:ind w:left="31"/>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Date Filed</w:t>
      </w:r>
    </w:p>
    <w:p>
      <w:pPr>
        <w:spacing w:after="0" w:line="62" w:lineRule="exact"/>
        <w:rPr>
          <w:sz w:val="20"/>
          <w:szCs w:val="20"/>
          <w:color w:val="auto"/>
        </w:rPr>
      </w:pPr>
    </w:p>
    <w:p>
      <w:pPr>
        <w:sectPr>
          <w:pgSz w:w="11900" w:h="16838" w:orient="portrait"/>
          <w:cols w:equalWidth="0" w:num="2">
            <w:col w:w="8854" w:space="720"/>
            <w:col w:w="1740"/>
          </w:cols>
          <w:pgMar w:left="246" w:top="266" w:right="339" w:bottom="1440" w:gutter="0" w:footer="0" w:header="0"/>
        </w:sectPr>
      </w:pPr>
    </w:p>
    <w:tbl>
      <w:tblPr>
        <w:tblLayout w:type="fixed"/>
        <w:tblInd w:w="694"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220" w:type="dxa"/>
            <w:vAlign w:val="bottom"/>
            <w:tcBorders>
              <w:bottom w:val="single" w:sz="8" w:color="0000FF"/>
            </w:tcBorders>
          </w:tcPr>
          <w:p>
            <w:pPr>
              <w:jc w:val="center"/>
              <w:spacing w:after="0" w:line="183" w:lineRule="exact"/>
              <w:rPr>
                <w:rFonts w:ascii="Arial" w:cs="Arial" w:eastAsia="Arial" w:hAnsi="Arial"/>
                <w:sz w:val="17"/>
                <w:szCs w:val="17"/>
                <w:color w:val="0000FF"/>
                <w:w w:val="92"/>
              </w:rPr>
            </w:pPr>
            <w:hyperlink r:id="rId97">
              <w:r>
                <w:rPr>
                  <w:rFonts w:ascii="Arial" w:cs="Arial" w:eastAsia="Arial" w:hAnsi="Arial"/>
                  <w:sz w:val="17"/>
                  <w:szCs w:val="17"/>
                  <w:color w:val="0000FF"/>
                  <w:w w:val="92"/>
                </w:rPr>
                <w:t>3.</w:t>
              </w:r>
              <w:r>
                <w:rPr>
                  <w:rFonts w:ascii="Arial" w:cs="Arial" w:eastAsia="Arial" w:hAnsi="Arial"/>
                  <w:sz w:val="17"/>
                  <w:szCs w:val="17"/>
                  <w:u w:val="single" w:color="auto"/>
                  <w:color w:val="0000FF"/>
                  <w:w w:val="92"/>
                </w:rPr>
                <w:t>1</w:t>
              </w:r>
            </w:hyperlink>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tcPr>
          <w:p>
            <w:pPr>
              <w:ind w:left="600"/>
              <w:spacing w:after="0" w:line="183" w:lineRule="exact"/>
              <w:rPr>
                <w:sz w:val="20"/>
                <w:szCs w:val="20"/>
                <w:color w:val="auto"/>
              </w:rPr>
            </w:pPr>
            <w:r>
              <w:rPr>
                <w:rFonts w:ascii="Arial" w:cs="Arial" w:eastAsia="Arial" w:hAnsi="Arial"/>
                <w:sz w:val="17"/>
                <w:szCs w:val="17"/>
                <w:color w:val="auto"/>
                <w:w w:val="94"/>
              </w:rPr>
              <w:t>Amended and Restated Certificate of Incorporation</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20" w:type="dxa"/>
            <w:vAlign w:val="bottom"/>
            <w:tcBorders>
              <w:bottom w:val="single" w:sz="8" w:color="0000FF"/>
            </w:tcBorders>
          </w:tcPr>
          <w:p>
            <w:pPr>
              <w:jc w:val="center"/>
              <w:spacing w:after="0"/>
              <w:rPr>
                <w:rFonts w:ascii="Arial" w:cs="Arial" w:eastAsia="Arial" w:hAnsi="Arial"/>
                <w:sz w:val="17"/>
                <w:szCs w:val="17"/>
                <w:color w:val="0000FF"/>
                <w:w w:val="92"/>
              </w:rPr>
            </w:pPr>
            <w:hyperlink r:id="rId98">
              <w:r>
                <w:rPr>
                  <w:rFonts w:ascii="Arial" w:cs="Arial" w:eastAsia="Arial" w:hAnsi="Arial"/>
                  <w:sz w:val="17"/>
                  <w:szCs w:val="17"/>
                  <w:color w:val="0000FF"/>
                  <w:w w:val="92"/>
                </w:rPr>
                <w:t>3.</w:t>
              </w:r>
              <w:r>
                <w:rPr>
                  <w:rFonts w:ascii="Arial" w:cs="Arial" w:eastAsia="Arial" w:hAnsi="Arial"/>
                  <w:sz w:val="17"/>
                  <w:szCs w:val="17"/>
                  <w:u w:val="single" w:color="auto"/>
                  <w:color w:val="0000FF"/>
                  <w:w w:val="92"/>
                </w:rPr>
                <w:t>2</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Pr>
          <w:p>
            <w:pPr>
              <w:ind w:left="600"/>
              <w:spacing w:after="0"/>
              <w:rPr>
                <w:sz w:val="20"/>
                <w:szCs w:val="20"/>
                <w:color w:val="auto"/>
              </w:rPr>
            </w:pPr>
            <w:r>
              <w:rPr>
                <w:rFonts w:ascii="Arial" w:cs="Arial" w:eastAsia="Arial" w:hAnsi="Arial"/>
                <w:sz w:val="17"/>
                <w:szCs w:val="17"/>
                <w:color w:val="auto"/>
              </w:rPr>
              <w:t>Amended and Restated Bylaws</w:t>
            </w: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220" w:type="dxa"/>
            <w:vAlign w:val="bottom"/>
            <w:tcBorders>
              <w:bottom w:val="single" w:sz="8" w:color="0000FF"/>
            </w:tcBorders>
          </w:tcPr>
          <w:p>
            <w:pPr>
              <w:jc w:val="center"/>
              <w:spacing w:after="0"/>
              <w:rPr>
                <w:rFonts w:ascii="Arial" w:cs="Arial" w:eastAsia="Arial" w:hAnsi="Arial"/>
                <w:sz w:val="17"/>
                <w:szCs w:val="17"/>
                <w:color w:val="0000FF"/>
                <w:w w:val="92"/>
              </w:rPr>
            </w:pPr>
            <w:hyperlink r:id="rId99">
              <w:r>
                <w:rPr>
                  <w:rFonts w:ascii="Arial" w:cs="Arial" w:eastAsia="Arial" w:hAnsi="Arial"/>
                  <w:sz w:val="17"/>
                  <w:szCs w:val="17"/>
                  <w:color w:val="0000FF"/>
                  <w:w w:val="92"/>
                </w:rPr>
                <w:t>4.</w:t>
              </w:r>
              <w:r>
                <w:rPr>
                  <w:rFonts w:ascii="Arial" w:cs="Arial" w:eastAsia="Arial" w:hAnsi="Arial"/>
                  <w:sz w:val="17"/>
                  <w:szCs w:val="17"/>
                  <w:u w:val="single" w:color="auto"/>
                  <w:color w:val="0000FF"/>
                  <w:w w:val="92"/>
                </w:rPr>
                <w:t>1</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Pr>
          <w:p>
            <w:pPr>
              <w:ind w:left="600"/>
              <w:spacing w:after="0"/>
              <w:rPr>
                <w:sz w:val="20"/>
                <w:szCs w:val="20"/>
                <w:color w:val="auto"/>
              </w:rPr>
            </w:pPr>
            <w:r>
              <w:rPr>
                <w:rFonts w:ascii="Arial" w:cs="Arial" w:eastAsia="Arial" w:hAnsi="Arial"/>
                <w:sz w:val="17"/>
                <w:szCs w:val="17"/>
                <w:color w:val="auto"/>
                <w:w w:val="93"/>
              </w:rPr>
              <w:t>Form of Common Stock certificate of the Registrant</w:t>
            </w:r>
          </w:p>
        </w:tc>
        <w:tc>
          <w:tcPr>
            <w:tcW w:w="0" w:type="dxa"/>
            <w:vAlign w:val="bottom"/>
          </w:tcPr>
          <w:p>
            <w:pPr>
              <w:spacing w:after="0"/>
              <w:rPr>
                <w:sz w:val="1"/>
                <w:szCs w:val="1"/>
                <w:color w:val="auto"/>
              </w:rPr>
            </w:pPr>
          </w:p>
        </w:tc>
      </w:tr>
      <w:tr>
        <w:trPr>
          <w:trHeight w:val="187"/>
        </w:trPr>
        <w:tc>
          <w:tcPr>
            <w:tcW w:w="460" w:type="dxa"/>
            <w:vAlign w:val="bottom"/>
            <w:gridSpan w:val="4"/>
            <w:vMerge w:val="restart"/>
          </w:tcPr>
          <w:p>
            <w:pPr>
              <w:jc w:val="center"/>
              <w:ind w:right="160"/>
              <w:spacing w:after="0"/>
              <w:rPr>
                <w:rFonts w:ascii="Arial" w:cs="Arial" w:eastAsia="Arial" w:hAnsi="Arial"/>
                <w:sz w:val="17"/>
                <w:szCs w:val="17"/>
                <w:color w:val="0000FF"/>
                <w:w w:val="90"/>
              </w:rPr>
            </w:pPr>
            <w:hyperlink w:anchor="page77">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hyperlink>
          </w:p>
        </w:tc>
        <w:tc>
          <w:tcPr>
            <w:tcW w:w="4220" w:type="dxa"/>
            <w:vAlign w:val="bottom"/>
          </w:tcPr>
          <w:p>
            <w:pPr>
              <w:ind w:left="600"/>
              <w:spacing w:after="0" w:line="187" w:lineRule="exact"/>
              <w:rPr>
                <w:sz w:val="20"/>
                <w:szCs w:val="20"/>
                <w:color w:val="auto"/>
              </w:rPr>
            </w:pPr>
            <w:r>
              <w:rPr>
                <w:rFonts w:ascii="Arial" w:cs="Arial" w:eastAsia="Arial" w:hAnsi="Arial"/>
                <w:sz w:val="17"/>
                <w:szCs w:val="17"/>
                <w:color w:val="auto"/>
                <w:w w:val="93"/>
              </w:rPr>
              <w:t>Certification of the Chief Executive Officer pursuant</w:t>
            </w:r>
          </w:p>
        </w:tc>
        <w:tc>
          <w:tcPr>
            <w:tcW w:w="0" w:type="dxa"/>
            <w:vAlign w:val="bottom"/>
          </w:tcPr>
          <w:p>
            <w:pPr>
              <w:spacing w:after="0"/>
              <w:rPr>
                <w:sz w:val="1"/>
                <w:szCs w:val="1"/>
                <w:color w:val="auto"/>
              </w:rPr>
            </w:pPr>
          </w:p>
        </w:tc>
      </w:tr>
      <w:tr>
        <w:trPr>
          <w:trHeight w:val="90"/>
        </w:trPr>
        <w:tc>
          <w:tcPr>
            <w:tcW w:w="460" w:type="dxa"/>
            <w:vAlign w:val="bottom"/>
            <w:gridSpan w:val="4"/>
            <w:vMerge w:val="continue"/>
          </w:tcPr>
          <w:p>
            <w:pPr>
              <w:spacing w:after="0"/>
              <w:rPr>
                <w:sz w:val="7"/>
                <w:szCs w:val="7"/>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to Section 302 of the Sarbanes-Oxley Act</w:t>
            </w:r>
          </w:p>
        </w:tc>
        <w:tc>
          <w:tcPr>
            <w:tcW w:w="0" w:type="dxa"/>
            <w:vAlign w:val="bottom"/>
          </w:tcPr>
          <w:p>
            <w:pPr>
              <w:spacing w:after="0"/>
              <w:rPr>
                <w:sz w:val="1"/>
                <w:szCs w:val="1"/>
                <w:color w:val="auto"/>
              </w:rPr>
            </w:pPr>
          </w:p>
        </w:tc>
      </w:tr>
      <w:tr>
        <w:trPr>
          <w:trHeight w:val="107"/>
        </w:trPr>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94" w:type="dxa"/>
        <w:tblCellMar>
          <w:top w:w="0" w:type="dxa"/>
          <w:left w:w="0" w:type="dxa"/>
          <w:bottom w:w="0" w:type="dxa"/>
          <w:right w:w="0" w:type="dxa"/>
        </w:tblCellMar>
      </w:tblPr>
      <w:tr>
        <w:trPr>
          <w:trHeight w:val="170"/>
        </w:trPr>
        <w:tc>
          <w:tcPr>
            <w:tcW w:w="460" w:type="dxa"/>
            <w:vAlign w:val="bottom"/>
            <w:gridSpan w:val="2"/>
            <w:vMerge w:val="restart"/>
          </w:tcPr>
          <w:p>
            <w:pPr>
              <w:jc w:val="right"/>
              <w:ind w:right="160"/>
              <w:spacing w:after="0"/>
              <w:rPr>
                <w:rFonts w:ascii="Arial" w:cs="Arial" w:eastAsia="Arial" w:hAnsi="Arial"/>
                <w:sz w:val="17"/>
                <w:szCs w:val="17"/>
                <w:color w:val="0000FF"/>
                <w:w w:val="84"/>
              </w:rPr>
            </w:pPr>
            <w:hyperlink w:anchor="page78">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hyperlink>
          </w:p>
        </w:tc>
        <w:tc>
          <w:tcPr>
            <w:tcW w:w="4180" w:type="dxa"/>
            <w:vAlign w:val="bottom"/>
          </w:tcPr>
          <w:p>
            <w:pPr>
              <w:ind w:left="600"/>
              <w:spacing w:after="0" w:line="170" w:lineRule="exact"/>
              <w:rPr>
                <w:sz w:val="20"/>
                <w:szCs w:val="20"/>
                <w:color w:val="auto"/>
              </w:rPr>
            </w:pPr>
            <w:r>
              <w:rPr>
                <w:rFonts w:ascii="Arial" w:cs="Arial" w:eastAsia="Arial" w:hAnsi="Arial"/>
                <w:sz w:val="17"/>
                <w:szCs w:val="17"/>
                <w:color w:val="auto"/>
                <w:w w:val="93"/>
              </w:rPr>
              <w:t>Certification of the Chief Financial Officer pursuant</w:t>
            </w:r>
          </w:p>
        </w:tc>
        <w:tc>
          <w:tcPr>
            <w:tcW w:w="0" w:type="dxa"/>
            <w:vAlign w:val="bottom"/>
          </w:tcPr>
          <w:p>
            <w:pPr>
              <w:spacing w:after="0"/>
              <w:rPr>
                <w:sz w:val="1"/>
                <w:szCs w:val="1"/>
                <w:color w:val="auto"/>
              </w:rPr>
            </w:pPr>
          </w:p>
        </w:tc>
      </w:tr>
      <w:tr>
        <w:trPr>
          <w:trHeight w:val="90"/>
        </w:trPr>
        <w:tc>
          <w:tcPr>
            <w:tcW w:w="460" w:type="dxa"/>
            <w:vAlign w:val="bottom"/>
            <w:gridSpan w:val="2"/>
            <w:vMerge w:val="continue"/>
          </w:tcPr>
          <w:p>
            <w:pPr>
              <w:spacing w:after="0"/>
              <w:rPr>
                <w:sz w:val="7"/>
                <w:szCs w:val="7"/>
                <w:color w:val="auto"/>
              </w:rPr>
            </w:pPr>
          </w:p>
        </w:tc>
        <w:tc>
          <w:tcPr>
            <w:tcW w:w="4180" w:type="dxa"/>
            <w:vAlign w:val="bottom"/>
            <w:vMerge w:val="restart"/>
          </w:tcPr>
          <w:p>
            <w:pPr>
              <w:ind w:left="160"/>
              <w:spacing w:after="0"/>
              <w:rPr>
                <w:sz w:val="20"/>
                <w:szCs w:val="20"/>
                <w:color w:val="auto"/>
              </w:rPr>
            </w:pPr>
            <w:r>
              <w:rPr>
                <w:rFonts w:ascii="Arial" w:cs="Arial" w:eastAsia="Arial" w:hAnsi="Arial"/>
                <w:sz w:val="17"/>
                <w:szCs w:val="17"/>
                <w:color w:val="auto"/>
              </w:rPr>
              <w:t>to Section 302 of the Sarbanes-Oxley Act</w:t>
            </w:r>
          </w:p>
        </w:tc>
        <w:tc>
          <w:tcPr>
            <w:tcW w:w="0" w:type="dxa"/>
            <w:vAlign w:val="bottom"/>
          </w:tcPr>
          <w:p>
            <w:pPr>
              <w:spacing w:after="0"/>
              <w:rPr>
                <w:sz w:val="1"/>
                <w:szCs w:val="1"/>
                <w:color w:val="auto"/>
              </w:rPr>
            </w:pPr>
          </w:p>
        </w:tc>
      </w:tr>
      <w:tr>
        <w:trPr>
          <w:trHeight w:val="107"/>
        </w:trPr>
        <w:tc>
          <w:tcPr>
            <w:tcW w:w="300" w:type="dxa"/>
            <w:vAlign w:val="bottom"/>
            <w:tcBorders>
              <w:top w:val="single" w:sz="8" w:color="0000FF"/>
            </w:tcBorders>
          </w:tcPr>
          <w:p>
            <w:pPr>
              <w:spacing w:after="0"/>
              <w:rPr>
                <w:sz w:val="9"/>
                <w:szCs w:val="9"/>
                <w:color w:val="auto"/>
              </w:rPr>
            </w:pPr>
          </w:p>
        </w:tc>
        <w:tc>
          <w:tcPr>
            <w:tcW w:w="160" w:type="dxa"/>
            <w:vAlign w:val="bottom"/>
          </w:tcPr>
          <w:p>
            <w:pPr>
              <w:spacing w:after="0"/>
              <w:rPr>
                <w:sz w:val="9"/>
                <w:szCs w:val="9"/>
                <w:color w:val="auto"/>
              </w:rPr>
            </w:pPr>
          </w:p>
        </w:tc>
        <w:tc>
          <w:tcPr>
            <w:tcW w:w="4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380"/>
        <w:spacing w:after="0"/>
        <w:tabs>
          <w:tab w:leader="none" w:pos="56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4"/>
          <w:szCs w:val="14"/>
          <w:color w:val="auto"/>
        </w:rPr>
        <w:t>3.1</w:t>
      </w:r>
    </w:p>
    <w:p>
      <w:pPr>
        <w:spacing w:after="0" w:line="101" w:lineRule="exact"/>
        <w:rPr>
          <w:sz w:val="20"/>
          <w:szCs w:val="20"/>
          <w:color w:val="auto"/>
        </w:rPr>
      </w:pPr>
    </w:p>
    <w:p>
      <w:pPr>
        <w:jc w:val="right"/>
        <w:ind w:right="380"/>
        <w:spacing w:after="0"/>
        <w:tabs>
          <w:tab w:leader="none" w:pos="560" w:val="left"/>
        </w:tabs>
        <w:rPr>
          <w:sz w:val="20"/>
          <w:szCs w:val="20"/>
          <w:color w:val="auto"/>
        </w:rPr>
      </w:pPr>
      <w:r>
        <w:rPr>
          <w:rFonts w:ascii="Arial" w:cs="Arial" w:eastAsia="Arial" w:hAnsi="Arial"/>
          <w:sz w:val="17"/>
          <w:szCs w:val="17"/>
          <w:color w:val="auto"/>
        </w:rPr>
        <w:t>8-K</w:t>
      </w:r>
      <w:r>
        <w:rPr>
          <w:sz w:val="20"/>
          <w:szCs w:val="20"/>
          <w:color w:val="auto"/>
        </w:rPr>
        <w:tab/>
      </w:r>
      <w:r>
        <w:rPr>
          <w:rFonts w:ascii="Arial" w:cs="Arial" w:eastAsia="Arial" w:hAnsi="Arial"/>
          <w:sz w:val="14"/>
          <w:szCs w:val="14"/>
          <w:color w:val="auto"/>
        </w:rPr>
        <w:t>3.1</w:t>
      </w:r>
    </w:p>
    <w:p>
      <w:pPr>
        <w:spacing w:after="0" w:line="114" w:lineRule="exact"/>
        <w:rPr>
          <w:sz w:val="20"/>
          <w:szCs w:val="20"/>
          <w:color w:val="auto"/>
        </w:rPr>
      </w:pPr>
    </w:p>
    <w:p>
      <w:pPr>
        <w:jc w:val="both"/>
        <w:ind w:right="380" w:firstLine="293"/>
        <w:spacing w:after="0" w:line="315" w:lineRule="auto"/>
        <w:rPr>
          <w:sz w:val="20"/>
          <w:szCs w:val="20"/>
          <w:color w:val="auto"/>
        </w:rPr>
      </w:pPr>
      <w:r>
        <w:rPr>
          <w:rFonts w:ascii="Arial" w:cs="Arial" w:eastAsia="Arial" w:hAnsi="Arial"/>
          <w:sz w:val="17"/>
          <w:szCs w:val="17"/>
          <w:color w:val="auto"/>
        </w:rPr>
        <w:t>S-1/A 4.1 Filed herewith</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5"/>
          <w:szCs w:val="15"/>
          <w:color w:val="auto"/>
        </w:rPr>
        <w:t>March 5, 2020</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September 14,</w:t>
      </w:r>
    </w:p>
    <w:p>
      <w:pPr>
        <w:spacing w:after="0" w:line="21" w:lineRule="exact"/>
        <w:rPr>
          <w:sz w:val="20"/>
          <w:szCs w:val="20"/>
          <w:color w:val="auto"/>
        </w:rPr>
      </w:pPr>
    </w:p>
    <w:p>
      <w:pPr>
        <w:jc w:val="right"/>
        <w:ind w:right="640"/>
        <w:spacing w:after="0"/>
        <w:rPr>
          <w:sz w:val="20"/>
          <w:szCs w:val="20"/>
          <w:color w:val="auto"/>
        </w:rPr>
      </w:pPr>
      <w:r>
        <w:rPr>
          <w:rFonts w:ascii="Arial" w:cs="Arial" w:eastAsia="Arial" w:hAnsi="Arial"/>
          <w:sz w:val="17"/>
          <w:szCs w:val="17"/>
          <w:color w:val="auto"/>
        </w:rPr>
        <w:t>2020</w:t>
      </w:r>
    </w:p>
    <w:p>
      <w:pPr>
        <w:spacing w:after="0" w:line="10" w:lineRule="exact"/>
        <w:rPr>
          <w:sz w:val="20"/>
          <w:szCs w:val="20"/>
          <w:color w:val="auto"/>
        </w:rPr>
      </w:pPr>
    </w:p>
    <w:p>
      <w:pPr>
        <w:jc w:val="right"/>
        <w:ind w:right="640"/>
        <w:spacing w:after="0"/>
        <w:rPr>
          <w:sz w:val="20"/>
          <w:szCs w:val="20"/>
          <w:color w:val="auto"/>
        </w:rPr>
      </w:pPr>
      <w:r>
        <w:rPr>
          <w:rFonts w:ascii="Arial" w:cs="Arial" w:eastAsia="Arial" w:hAnsi="Arial"/>
          <w:sz w:val="15"/>
          <w:szCs w:val="15"/>
          <w:color w:val="auto"/>
        </w:rPr>
        <w:t>January 9, 2012</w:t>
      </w:r>
    </w:p>
    <w:p>
      <w:pPr>
        <w:spacing w:after="0" w:line="819" w:lineRule="exact"/>
        <w:rPr>
          <w:sz w:val="20"/>
          <w:szCs w:val="20"/>
          <w:color w:val="auto"/>
        </w:rPr>
      </w:pPr>
    </w:p>
    <w:p>
      <w:pPr>
        <w:sectPr>
          <w:pgSz w:w="11900" w:h="16838" w:orient="portrait"/>
          <w:cols w:equalWidth="0" w:num="3">
            <w:col w:w="5474" w:space="720"/>
            <w:col w:w="2680" w:space="720"/>
            <w:col w:w="1720"/>
          </w:cols>
          <w:pgMar w:left="246" w:top="266" w:right="339" w:bottom="1440" w:gutter="0" w:footer="0" w:header="0"/>
          <w:type w:val="continuous"/>
        </w:sectPr>
      </w:pPr>
    </w:p>
    <w:tbl>
      <w:tblPr>
        <w:tblLayout w:type="fixed"/>
        <w:tblInd w:w="534" w:type="dxa"/>
        <w:tblCellMar>
          <w:top w:w="0" w:type="dxa"/>
          <w:left w:w="0" w:type="dxa"/>
          <w:bottom w:w="0" w:type="dxa"/>
          <w:right w:w="0" w:type="dxa"/>
        </w:tblCellMar>
      </w:tblPr>
      <w:tr>
        <w:trPr>
          <w:trHeight w:val="170"/>
        </w:trPr>
        <w:tc>
          <w:tcPr>
            <w:tcW w:w="500" w:type="dxa"/>
            <w:vAlign w:val="bottom"/>
            <w:gridSpan w:val="2"/>
            <w:vMerge w:val="restart"/>
          </w:tcPr>
          <w:p>
            <w:pPr>
              <w:jc w:val="center"/>
              <w:ind w:left="34"/>
              <w:spacing w:after="0"/>
              <w:rPr>
                <w:rFonts w:ascii="Arial" w:cs="Arial" w:eastAsia="Arial" w:hAnsi="Arial"/>
                <w:sz w:val="17"/>
                <w:szCs w:val="17"/>
                <w:color w:val="0000FF"/>
                <w:w w:val="95"/>
              </w:rPr>
            </w:pPr>
            <w:hyperlink w:anchor="page79">
              <w:r>
                <w:rPr>
                  <w:rFonts w:ascii="Arial" w:cs="Arial" w:eastAsia="Arial" w:hAnsi="Arial"/>
                  <w:sz w:val="17"/>
                  <w:szCs w:val="17"/>
                  <w:color w:val="0000FF"/>
                  <w:w w:val="95"/>
                </w:rPr>
                <w:t>32.</w:t>
              </w:r>
              <w:r>
                <w:rPr>
                  <w:rFonts w:ascii="Arial" w:cs="Arial" w:eastAsia="Arial" w:hAnsi="Arial"/>
                  <w:sz w:val="17"/>
                  <w:szCs w:val="17"/>
                  <w:u w:val="single" w:color="auto"/>
                  <w:color w:val="0000FF"/>
                  <w:w w:val="95"/>
                </w:rPr>
                <w:t>1*</w:t>
              </w:r>
            </w:hyperlink>
          </w:p>
        </w:tc>
        <w:tc>
          <w:tcPr>
            <w:tcW w:w="220" w:type="dxa"/>
            <w:vAlign w:val="bottom"/>
          </w:tcPr>
          <w:p>
            <w:pPr>
              <w:spacing w:after="0"/>
              <w:rPr>
                <w:sz w:val="14"/>
                <w:szCs w:val="14"/>
                <w:color w:val="auto"/>
              </w:rPr>
            </w:pPr>
          </w:p>
        </w:tc>
        <w:tc>
          <w:tcPr>
            <w:tcW w:w="4460" w:type="dxa"/>
            <w:vAlign w:val="bottom"/>
          </w:tcPr>
          <w:p>
            <w:pPr>
              <w:ind w:left="500"/>
              <w:spacing w:after="0" w:line="170" w:lineRule="exact"/>
              <w:rPr>
                <w:sz w:val="20"/>
                <w:szCs w:val="20"/>
                <w:color w:val="auto"/>
              </w:rPr>
            </w:pPr>
            <w:r>
              <w:rPr>
                <w:rFonts w:ascii="Arial" w:cs="Arial" w:eastAsia="Arial" w:hAnsi="Arial"/>
                <w:sz w:val="17"/>
                <w:szCs w:val="17"/>
                <w:color w:val="auto"/>
              </w:rPr>
              <w:t>Certification of the Chief Executive Officer and the</w:t>
            </w:r>
          </w:p>
        </w:tc>
        <w:tc>
          <w:tcPr>
            <w:tcW w:w="1640" w:type="dxa"/>
            <w:vAlign w:val="bottom"/>
            <w:vMerge w:val="restart"/>
          </w:tcPr>
          <w:p>
            <w:pPr>
              <w:jc w:val="center"/>
              <w:ind w:left="234"/>
              <w:spacing w:after="0"/>
              <w:rPr>
                <w:sz w:val="20"/>
                <w:szCs w:val="20"/>
                <w:color w:val="auto"/>
              </w:rPr>
            </w:pPr>
            <w:r>
              <w:rPr>
                <w:rFonts w:ascii="Arial" w:cs="Arial" w:eastAsia="Arial" w:hAnsi="Arial"/>
                <w:sz w:val="17"/>
                <w:szCs w:val="17"/>
                <w:color w:val="auto"/>
                <w:w w:val="91"/>
              </w:rPr>
              <w:t>Furnished herewith</w:t>
            </w:r>
          </w:p>
        </w:tc>
        <w:tc>
          <w:tcPr>
            <w:tcW w:w="0" w:type="dxa"/>
            <w:vAlign w:val="bottom"/>
          </w:tcPr>
          <w:p>
            <w:pPr>
              <w:spacing w:after="0"/>
              <w:rPr>
                <w:sz w:val="1"/>
                <w:szCs w:val="1"/>
                <w:color w:val="auto"/>
              </w:rPr>
            </w:pPr>
          </w:p>
        </w:tc>
      </w:tr>
      <w:tr>
        <w:trPr>
          <w:trHeight w:val="180"/>
        </w:trPr>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60" w:type="dxa"/>
            <w:vAlign w:val="bottom"/>
          </w:tcPr>
          <w:p>
            <w:pPr>
              <w:ind w:left="60"/>
              <w:spacing w:after="0" w:line="180" w:lineRule="exact"/>
              <w:rPr>
                <w:sz w:val="20"/>
                <w:szCs w:val="20"/>
                <w:color w:val="auto"/>
              </w:rPr>
            </w:pPr>
            <w:r>
              <w:rPr>
                <w:rFonts w:ascii="Arial" w:cs="Arial" w:eastAsia="Arial" w:hAnsi="Arial"/>
                <w:sz w:val="17"/>
                <w:szCs w:val="17"/>
                <w:color w:val="auto"/>
              </w:rPr>
              <w:t>Chief Financial Officer pursuant to Section 906 of the</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4460" w:type="dxa"/>
            <w:vAlign w:val="bottom"/>
          </w:tcPr>
          <w:p>
            <w:pPr>
              <w:ind w:left="60"/>
              <w:spacing w:after="0" w:line="187" w:lineRule="exact"/>
              <w:rPr>
                <w:sz w:val="20"/>
                <w:szCs w:val="20"/>
                <w:color w:val="auto"/>
              </w:rPr>
            </w:pPr>
            <w:r>
              <w:rPr>
                <w:rFonts w:ascii="Arial" w:cs="Arial" w:eastAsia="Arial" w:hAnsi="Arial"/>
                <w:sz w:val="17"/>
                <w:szCs w:val="17"/>
                <w:color w:val="auto"/>
              </w:rPr>
              <w:t>Sarbanes-Oxley Act</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0" w:type="dxa"/>
            <w:vAlign w:val="bottom"/>
            <w:gridSpan w:val="3"/>
          </w:tcPr>
          <w:p>
            <w:pPr>
              <w:jc w:val="center"/>
              <w:ind w:right="100"/>
              <w:spacing w:after="0"/>
              <w:rPr>
                <w:sz w:val="20"/>
                <w:szCs w:val="20"/>
                <w:color w:val="auto"/>
              </w:rPr>
            </w:pPr>
            <w:r>
              <w:rPr>
                <w:rFonts w:ascii="Arial" w:cs="Arial" w:eastAsia="Arial" w:hAnsi="Arial"/>
                <w:sz w:val="17"/>
                <w:szCs w:val="17"/>
                <w:color w:val="auto"/>
                <w:w w:val="94"/>
              </w:rPr>
              <w:t>101.INS</w:t>
            </w:r>
          </w:p>
        </w:tc>
        <w:tc>
          <w:tcPr>
            <w:tcW w:w="4460" w:type="dxa"/>
            <w:vAlign w:val="bottom"/>
          </w:tcPr>
          <w:p>
            <w:pPr>
              <w:ind w:left="500"/>
              <w:spacing w:after="0"/>
              <w:rPr>
                <w:sz w:val="20"/>
                <w:szCs w:val="20"/>
                <w:color w:val="auto"/>
              </w:rPr>
            </w:pPr>
            <w:r>
              <w:rPr>
                <w:rFonts w:ascii="Arial" w:cs="Arial" w:eastAsia="Arial" w:hAnsi="Arial"/>
                <w:sz w:val="17"/>
                <w:szCs w:val="17"/>
                <w:color w:val="auto"/>
              </w:rPr>
              <w:t>Inline XBRL Instance Document</w:t>
            </w:r>
          </w:p>
        </w:tc>
        <w:tc>
          <w:tcPr>
            <w:tcW w:w="1640" w:type="dxa"/>
            <w:vAlign w:val="bottom"/>
          </w:tcPr>
          <w:p>
            <w:pPr>
              <w:jc w:val="center"/>
              <w:ind w:left="234"/>
              <w:spacing w:after="0"/>
              <w:rPr>
                <w:sz w:val="20"/>
                <w:szCs w:val="20"/>
                <w:color w:val="auto"/>
              </w:rPr>
            </w:pPr>
            <w:r>
              <w:rPr>
                <w:rFonts w:ascii="Arial" w:cs="Arial" w:eastAsia="Arial" w:hAnsi="Arial"/>
                <w:sz w:val="17"/>
                <w:szCs w:val="17"/>
                <w:color w:val="auto"/>
                <w:w w:val="94"/>
              </w:rPr>
              <w:t>Filed herewith</w:t>
            </w:r>
          </w:p>
        </w:tc>
        <w:tc>
          <w:tcPr>
            <w:tcW w:w="0" w:type="dxa"/>
            <w:vAlign w:val="bottom"/>
          </w:tcPr>
          <w:p>
            <w:pPr>
              <w:spacing w:after="0"/>
              <w:rPr>
                <w:sz w:val="1"/>
                <w:szCs w:val="1"/>
                <w:color w:val="auto"/>
              </w:rPr>
            </w:pPr>
          </w:p>
        </w:tc>
      </w:tr>
      <w:tr>
        <w:trPr>
          <w:trHeight w:val="170"/>
        </w:trPr>
        <w:tc>
          <w:tcPr>
            <w:tcW w:w="720" w:type="dxa"/>
            <w:vAlign w:val="bottom"/>
            <w:gridSpan w:val="3"/>
          </w:tcPr>
          <w:p>
            <w:pPr>
              <w:jc w:val="center"/>
              <w:ind w:right="80"/>
              <w:spacing w:after="0" w:line="170" w:lineRule="exact"/>
              <w:rPr>
                <w:sz w:val="20"/>
                <w:szCs w:val="20"/>
                <w:color w:val="auto"/>
              </w:rPr>
            </w:pPr>
            <w:r>
              <w:rPr>
                <w:rFonts w:ascii="Arial" w:cs="Arial" w:eastAsia="Arial" w:hAnsi="Arial"/>
                <w:sz w:val="17"/>
                <w:szCs w:val="17"/>
                <w:color w:val="auto"/>
                <w:w w:val="92"/>
              </w:rPr>
              <w:t>101.SCH</w:t>
            </w:r>
          </w:p>
        </w:tc>
        <w:tc>
          <w:tcPr>
            <w:tcW w:w="4460" w:type="dxa"/>
            <w:vAlign w:val="bottom"/>
          </w:tcPr>
          <w:p>
            <w:pPr>
              <w:ind w:left="500"/>
              <w:spacing w:after="0" w:line="170" w:lineRule="exact"/>
              <w:rPr>
                <w:sz w:val="20"/>
                <w:szCs w:val="20"/>
                <w:color w:val="auto"/>
              </w:rPr>
            </w:pPr>
            <w:r>
              <w:rPr>
                <w:rFonts w:ascii="Arial" w:cs="Arial" w:eastAsia="Arial" w:hAnsi="Arial"/>
                <w:sz w:val="17"/>
                <w:szCs w:val="17"/>
                <w:color w:val="auto"/>
              </w:rPr>
              <w:t>Inline XBRL Taxonomy Extension Schema</w:t>
            </w:r>
          </w:p>
        </w:tc>
        <w:tc>
          <w:tcPr>
            <w:tcW w:w="1640" w:type="dxa"/>
            <w:vAlign w:val="bottom"/>
            <w:vMerge w:val="restart"/>
          </w:tcPr>
          <w:p>
            <w:pPr>
              <w:jc w:val="center"/>
              <w:ind w:left="234"/>
              <w:spacing w:after="0"/>
              <w:rPr>
                <w:sz w:val="20"/>
                <w:szCs w:val="20"/>
                <w:color w:val="auto"/>
              </w:rPr>
            </w:pPr>
            <w:r>
              <w:rPr>
                <w:rFonts w:ascii="Arial" w:cs="Arial" w:eastAsia="Arial" w:hAnsi="Arial"/>
                <w:sz w:val="17"/>
                <w:szCs w:val="17"/>
                <w:color w:val="auto"/>
                <w:w w:val="94"/>
              </w:rPr>
              <w:t>Filed herewith</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Arial" w:cs="Arial" w:eastAsia="Arial" w:hAnsi="Arial"/>
                <w:sz w:val="17"/>
                <w:szCs w:val="17"/>
                <w:color w:val="auto"/>
              </w:rPr>
              <w:t>Document</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20" w:type="dxa"/>
            <w:vAlign w:val="bottom"/>
            <w:gridSpan w:val="3"/>
          </w:tcPr>
          <w:p>
            <w:pPr>
              <w:jc w:val="center"/>
              <w:ind w:right="80"/>
              <w:spacing w:after="0" w:line="170" w:lineRule="exact"/>
              <w:rPr>
                <w:sz w:val="20"/>
                <w:szCs w:val="20"/>
                <w:color w:val="auto"/>
              </w:rPr>
            </w:pPr>
            <w:r>
              <w:rPr>
                <w:rFonts w:ascii="Arial" w:cs="Arial" w:eastAsia="Arial" w:hAnsi="Arial"/>
                <w:sz w:val="17"/>
                <w:szCs w:val="17"/>
                <w:color w:val="auto"/>
                <w:w w:val="96"/>
              </w:rPr>
              <w:t>101.CAL</w:t>
            </w:r>
          </w:p>
        </w:tc>
        <w:tc>
          <w:tcPr>
            <w:tcW w:w="4460" w:type="dxa"/>
            <w:vAlign w:val="bottom"/>
          </w:tcPr>
          <w:p>
            <w:pPr>
              <w:ind w:left="500"/>
              <w:spacing w:after="0" w:line="170" w:lineRule="exact"/>
              <w:rPr>
                <w:sz w:val="20"/>
                <w:szCs w:val="20"/>
                <w:color w:val="auto"/>
              </w:rPr>
            </w:pPr>
            <w:r>
              <w:rPr>
                <w:rFonts w:ascii="Arial" w:cs="Arial" w:eastAsia="Arial" w:hAnsi="Arial"/>
                <w:sz w:val="17"/>
                <w:szCs w:val="17"/>
                <w:color w:val="auto"/>
              </w:rPr>
              <w:t>Inline XBRL Taxonomy Extension Calculation</w:t>
            </w:r>
          </w:p>
        </w:tc>
        <w:tc>
          <w:tcPr>
            <w:tcW w:w="1640" w:type="dxa"/>
            <w:vAlign w:val="bottom"/>
            <w:vMerge w:val="restart"/>
          </w:tcPr>
          <w:p>
            <w:pPr>
              <w:jc w:val="center"/>
              <w:ind w:left="234"/>
              <w:spacing w:after="0"/>
              <w:rPr>
                <w:sz w:val="20"/>
                <w:szCs w:val="20"/>
                <w:color w:val="auto"/>
              </w:rPr>
            </w:pPr>
            <w:r>
              <w:rPr>
                <w:rFonts w:ascii="Arial" w:cs="Arial" w:eastAsia="Arial" w:hAnsi="Arial"/>
                <w:sz w:val="17"/>
                <w:szCs w:val="17"/>
                <w:color w:val="auto"/>
                <w:w w:val="94"/>
              </w:rPr>
              <w:t>Filed herewith</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Arial" w:cs="Arial" w:eastAsia="Arial" w:hAnsi="Arial"/>
                <w:sz w:val="17"/>
                <w:szCs w:val="17"/>
                <w:color w:val="auto"/>
              </w:rPr>
              <w:t>Linkbase Document</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20" w:type="dxa"/>
            <w:vAlign w:val="bottom"/>
            <w:gridSpan w:val="3"/>
          </w:tcPr>
          <w:p>
            <w:pPr>
              <w:jc w:val="center"/>
              <w:ind w:right="100"/>
              <w:spacing w:after="0" w:line="170" w:lineRule="exact"/>
              <w:rPr>
                <w:sz w:val="20"/>
                <w:szCs w:val="20"/>
                <w:color w:val="auto"/>
              </w:rPr>
            </w:pPr>
            <w:r>
              <w:rPr>
                <w:rFonts w:ascii="Arial" w:cs="Arial" w:eastAsia="Arial" w:hAnsi="Arial"/>
                <w:sz w:val="17"/>
                <w:szCs w:val="17"/>
                <w:color w:val="auto"/>
                <w:w w:val="92"/>
              </w:rPr>
              <w:t>101.DEF</w:t>
            </w:r>
          </w:p>
        </w:tc>
        <w:tc>
          <w:tcPr>
            <w:tcW w:w="4460" w:type="dxa"/>
            <w:vAlign w:val="bottom"/>
          </w:tcPr>
          <w:p>
            <w:pPr>
              <w:ind w:left="500"/>
              <w:spacing w:after="0" w:line="170" w:lineRule="exact"/>
              <w:rPr>
                <w:sz w:val="20"/>
                <w:szCs w:val="20"/>
                <w:color w:val="auto"/>
              </w:rPr>
            </w:pPr>
            <w:r>
              <w:rPr>
                <w:rFonts w:ascii="Arial" w:cs="Arial" w:eastAsia="Arial" w:hAnsi="Arial"/>
                <w:sz w:val="17"/>
                <w:szCs w:val="17"/>
                <w:color w:val="auto"/>
              </w:rPr>
              <w:t>Inline XBRL Taxonomy Extension Definition</w:t>
            </w:r>
          </w:p>
        </w:tc>
        <w:tc>
          <w:tcPr>
            <w:tcW w:w="1640" w:type="dxa"/>
            <w:vAlign w:val="bottom"/>
            <w:vMerge w:val="restart"/>
          </w:tcPr>
          <w:p>
            <w:pPr>
              <w:jc w:val="center"/>
              <w:ind w:left="234"/>
              <w:spacing w:after="0"/>
              <w:rPr>
                <w:sz w:val="20"/>
                <w:szCs w:val="20"/>
                <w:color w:val="auto"/>
              </w:rPr>
            </w:pPr>
            <w:r>
              <w:rPr>
                <w:rFonts w:ascii="Arial" w:cs="Arial" w:eastAsia="Arial" w:hAnsi="Arial"/>
                <w:sz w:val="17"/>
                <w:szCs w:val="17"/>
                <w:color w:val="auto"/>
                <w:w w:val="94"/>
              </w:rPr>
              <w:t>Filed herewith</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Arial" w:cs="Arial" w:eastAsia="Arial" w:hAnsi="Arial"/>
                <w:sz w:val="17"/>
                <w:szCs w:val="17"/>
                <w:color w:val="auto"/>
              </w:rPr>
              <w:t>Linkbase Document</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20" w:type="dxa"/>
            <w:vAlign w:val="bottom"/>
            <w:gridSpan w:val="3"/>
          </w:tcPr>
          <w:p>
            <w:pPr>
              <w:jc w:val="center"/>
              <w:ind w:right="80"/>
              <w:spacing w:after="0" w:line="170" w:lineRule="exact"/>
              <w:rPr>
                <w:sz w:val="20"/>
                <w:szCs w:val="20"/>
                <w:color w:val="auto"/>
              </w:rPr>
            </w:pPr>
            <w:r>
              <w:rPr>
                <w:rFonts w:ascii="Arial" w:cs="Arial" w:eastAsia="Arial" w:hAnsi="Arial"/>
                <w:sz w:val="17"/>
                <w:szCs w:val="17"/>
                <w:color w:val="auto"/>
                <w:w w:val="98"/>
              </w:rPr>
              <w:t>101.LAB</w:t>
            </w:r>
          </w:p>
        </w:tc>
        <w:tc>
          <w:tcPr>
            <w:tcW w:w="4460" w:type="dxa"/>
            <w:vAlign w:val="bottom"/>
          </w:tcPr>
          <w:p>
            <w:pPr>
              <w:ind w:left="500"/>
              <w:spacing w:after="0" w:line="170" w:lineRule="exact"/>
              <w:rPr>
                <w:sz w:val="20"/>
                <w:szCs w:val="20"/>
                <w:color w:val="auto"/>
              </w:rPr>
            </w:pPr>
            <w:r>
              <w:rPr>
                <w:rFonts w:ascii="Arial" w:cs="Arial" w:eastAsia="Arial" w:hAnsi="Arial"/>
                <w:sz w:val="17"/>
                <w:szCs w:val="17"/>
                <w:color w:val="auto"/>
              </w:rPr>
              <w:t>Inline XBRL Taxonomy Extension Label Linkbase</w:t>
            </w:r>
          </w:p>
        </w:tc>
        <w:tc>
          <w:tcPr>
            <w:tcW w:w="1640" w:type="dxa"/>
            <w:vAlign w:val="bottom"/>
            <w:vMerge w:val="restart"/>
          </w:tcPr>
          <w:p>
            <w:pPr>
              <w:jc w:val="center"/>
              <w:ind w:left="234"/>
              <w:spacing w:after="0"/>
              <w:rPr>
                <w:sz w:val="20"/>
                <w:szCs w:val="20"/>
                <w:color w:val="auto"/>
              </w:rPr>
            </w:pPr>
            <w:r>
              <w:rPr>
                <w:rFonts w:ascii="Arial" w:cs="Arial" w:eastAsia="Arial" w:hAnsi="Arial"/>
                <w:sz w:val="17"/>
                <w:szCs w:val="17"/>
                <w:color w:val="auto"/>
                <w:w w:val="94"/>
              </w:rPr>
              <w:t>Filed herewith</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Arial" w:cs="Arial" w:eastAsia="Arial" w:hAnsi="Arial"/>
                <w:sz w:val="17"/>
                <w:szCs w:val="17"/>
                <w:color w:val="auto"/>
              </w:rPr>
              <w:t>Document</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20" w:type="dxa"/>
            <w:vAlign w:val="bottom"/>
            <w:gridSpan w:val="3"/>
          </w:tcPr>
          <w:p>
            <w:pPr>
              <w:jc w:val="center"/>
              <w:ind w:right="100"/>
              <w:spacing w:after="0" w:line="170" w:lineRule="exact"/>
              <w:rPr>
                <w:sz w:val="20"/>
                <w:szCs w:val="20"/>
                <w:color w:val="auto"/>
              </w:rPr>
            </w:pPr>
            <w:r>
              <w:rPr>
                <w:rFonts w:ascii="Arial" w:cs="Arial" w:eastAsia="Arial" w:hAnsi="Arial"/>
                <w:sz w:val="17"/>
                <w:szCs w:val="17"/>
                <w:color w:val="auto"/>
                <w:w w:val="91"/>
              </w:rPr>
              <w:t>101.PRE</w:t>
            </w:r>
          </w:p>
        </w:tc>
        <w:tc>
          <w:tcPr>
            <w:tcW w:w="4460" w:type="dxa"/>
            <w:vAlign w:val="bottom"/>
          </w:tcPr>
          <w:p>
            <w:pPr>
              <w:ind w:left="500"/>
              <w:spacing w:after="0" w:line="170" w:lineRule="exact"/>
              <w:rPr>
                <w:sz w:val="20"/>
                <w:szCs w:val="20"/>
                <w:color w:val="auto"/>
              </w:rPr>
            </w:pPr>
            <w:r>
              <w:rPr>
                <w:rFonts w:ascii="Arial" w:cs="Arial" w:eastAsia="Arial" w:hAnsi="Arial"/>
                <w:sz w:val="17"/>
                <w:szCs w:val="17"/>
                <w:color w:val="auto"/>
              </w:rPr>
              <w:t>Inline XBRL Taxonomy Extension Presentation</w:t>
            </w:r>
          </w:p>
        </w:tc>
        <w:tc>
          <w:tcPr>
            <w:tcW w:w="1640" w:type="dxa"/>
            <w:vAlign w:val="bottom"/>
            <w:vMerge w:val="restart"/>
          </w:tcPr>
          <w:p>
            <w:pPr>
              <w:jc w:val="center"/>
              <w:ind w:left="234"/>
              <w:spacing w:after="0"/>
              <w:rPr>
                <w:sz w:val="20"/>
                <w:szCs w:val="20"/>
                <w:color w:val="auto"/>
              </w:rPr>
            </w:pPr>
            <w:r>
              <w:rPr>
                <w:rFonts w:ascii="Arial" w:cs="Arial" w:eastAsia="Arial" w:hAnsi="Arial"/>
                <w:sz w:val="17"/>
                <w:szCs w:val="17"/>
                <w:color w:val="auto"/>
                <w:w w:val="94"/>
              </w:rPr>
              <w:t>Filed herewith</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Arial" w:cs="Arial" w:eastAsia="Arial" w:hAnsi="Arial"/>
                <w:sz w:val="17"/>
                <w:szCs w:val="17"/>
                <w:color w:val="auto"/>
              </w:rPr>
              <w:t>Linkbase Document</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0" w:type="dxa"/>
            <w:vAlign w:val="bottom"/>
            <w:gridSpan w:val="2"/>
          </w:tcPr>
          <w:p>
            <w:pPr>
              <w:jc w:val="center"/>
              <w:ind w:left="34"/>
              <w:spacing w:after="0" w:line="170" w:lineRule="exact"/>
              <w:rPr>
                <w:sz w:val="20"/>
                <w:szCs w:val="20"/>
                <w:color w:val="auto"/>
              </w:rPr>
            </w:pPr>
            <w:r>
              <w:rPr>
                <w:rFonts w:ascii="Arial" w:cs="Arial" w:eastAsia="Arial" w:hAnsi="Arial"/>
                <w:sz w:val="17"/>
                <w:szCs w:val="17"/>
                <w:color w:val="auto"/>
                <w:w w:val="91"/>
              </w:rPr>
              <w:t>104</w:t>
            </w:r>
          </w:p>
        </w:tc>
        <w:tc>
          <w:tcPr>
            <w:tcW w:w="220" w:type="dxa"/>
            <w:vAlign w:val="bottom"/>
          </w:tcPr>
          <w:p>
            <w:pPr>
              <w:spacing w:after="0"/>
              <w:rPr>
                <w:sz w:val="14"/>
                <w:szCs w:val="14"/>
                <w:color w:val="auto"/>
              </w:rPr>
            </w:pPr>
          </w:p>
        </w:tc>
        <w:tc>
          <w:tcPr>
            <w:tcW w:w="4460" w:type="dxa"/>
            <w:vAlign w:val="bottom"/>
          </w:tcPr>
          <w:p>
            <w:pPr>
              <w:ind w:left="500"/>
              <w:spacing w:after="0" w:line="170" w:lineRule="exact"/>
              <w:rPr>
                <w:sz w:val="20"/>
                <w:szCs w:val="20"/>
                <w:color w:val="auto"/>
              </w:rPr>
            </w:pPr>
            <w:r>
              <w:rPr>
                <w:rFonts w:ascii="Arial" w:cs="Arial" w:eastAsia="Arial" w:hAnsi="Arial"/>
                <w:sz w:val="17"/>
                <w:szCs w:val="17"/>
                <w:color w:val="auto"/>
                <w:w w:val="99"/>
              </w:rPr>
              <w:t>Cover Page Interactive Data File (formatted as Inline</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60" w:type="dxa"/>
            <w:vAlign w:val="bottom"/>
          </w:tcPr>
          <w:p>
            <w:pPr>
              <w:ind w:left="60"/>
              <w:spacing w:after="0" w:line="167" w:lineRule="exact"/>
              <w:rPr>
                <w:sz w:val="20"/>
                <w:szCs w:val="20"/>
                <w:color w:val="auto"/>
              </w:rPr>
            </w:pPr>
            <w:r>
              <w:rPr>
                <w:rFonts w:ascii="Arial" w:cs="Arial" w:eastAsia="Arial" w:hAnsi="Arial"/>
                <w:sz w:val="17"/>
                <w:szCs w:val="17"/>
                <w:color w:val="auto"/>
              </w:rPr>
              <w:t>XBRL with applicable taxonomy extension information</w:t>
            </w:r>
          </w:p>
        </w:tc>
        <w:tc>
          <w:tcPr>
            <w:tcW w:w="1640" w:type="dxa"/>
            <w:vAlign w:val="bottom"/>
            <w:vMerge w:val="restart"/>
          </w:tcPr>
          <w:p>
            <w:pPr>
              <w:jc w:val="center"/>
              <w:ind w:left="234"/>
              <w:spacing w:after="0"/>
              <w:rPr>
                <w:sz w:val="20"/>
                <w:szCs w:val="20"/>
                <w:color w:val="auto"/>
              </w:rPr>
            </w:pPr>
            <w:r>
              <w:rPr>
                <w:rFonts w:ascii="Arial" w:cs="Arial" w:eastAsia="Arial" w:hAnsi="Arial"/>
                <w:sz w:val="17"/>
                <w:szCs w:val="17"/>
                <w:color w:val="auto"/>
                <w:w w:val="94"/>
              </w:rPr>
              <w:t>Filed herewith</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Arial" w:cs="Arial" w:eastAsia="Arial" w:hAnsi="Arial"/>
                <w:sz w:val="17"/>
                <w:szCs w:val="17"/>
                <w:color w:val="auto"/>
              </w:rPr>
              <w:t>contained in Exhibits 101)</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54" w:hanging="454"/>
        <w:spacing w:after="0" w:line="262" w:lineRule="auto"/>
        <w:tabs>
          <w:tab w:leader="none" w:pos="24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3"/>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14"/>
          </w:cols>
          <w:pgMar w:left="246" w:top="266" w:right="339" w:bottom="1440" w:gutter="0" w:footer="0" w:header="0"/>
          <w:type w:val="continuous"/>
        </w:sectPr>
      </w:pPr>
    </w:p>
    <w:bookmarkStart w:id="75" w:name="page76"/>
    <w:bookmarkEnd w:id="75"/>
    <w:p>
      <w:pPr>
        <w:ind w:left="3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107" w:lineRule="exact"/>
        <w:rPr>
          <w:sz w:val="20"/>
          <w:szCs w:val="20"/>
          <w:color w:val="auto"/>
        </w:rPr>
      </w:pPr>
    </w:p>
    <w:p>
      <w:pPr>
        <w:ind w:firstLine="425"/>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20"/>
        <w:spacing w:after="0"/>
        <w:tabs>
          <w:tab w:leader="none" w:pos="560" w:val="left"/>
          <w:tab w:leader="none" w:pos="5300" w:val="left"/>
        </w:tabs>
        <w:rPr>
          <w:sz w:val="20"/>
          <w:szCs w:val="20"/>
          <w:color w:val="auto"/>
        </w:rPr>
      </w:pPr>
      <w:r>
        <w:rPr>
          <w:rFonts w:ascii="Arial" w:cs="Arial" w:eastAsia="Arial" w:hAnsi="Arial"/>
          <w:sz w:val="17"/>
          <w:szCs w:val="17"/>
          <w:color w:val="auto"/>
        </w:rPr>
        <w:t>Date:</w:t>
        <w:tab/>
        <w:t>December 3, 2021</w:t>
      </w:r>
      <w:r>
        <w:rPr>
          <w:sz w:val="20"/>
          <w:szCs w:val="20"/>
          <w:color w:val="auto"/>
        </w:rPr>
        <w:tab/>
      </w:r>
      <w:r>
        <w:rPr>
          <w:rFonts w:ascii="Arial" w:cs="Arial" w:eastAsia="Arial" w:hAnsi="Arial"/>
          <w:sz w:val="17"/>
          <w:szCs w:val="17"/>
          <w:b w:val="1"/>
          <w:bCs w:val="1"/>
          <w:color w:val="auto"/>
        </w:rPr>
        <w:t>GUIDEWIRE SOFTWARE, INC.</w:t>
      </w:r>
    </w:p>
    <w:p>
      <w:pPr>
        <w:spacing w:after="0" w:line="288" w:lineRule="exact"/>
        <w:rPr>
          <w:sz w:val="20"/>
          <w:szCs w:val="20"/>
          <w:color w:val="auto"/>
        </w:rPr>
      </w:pPr>
    </w:p>
    <w:p>
      <w:pPr>
        <w:ind w:left="5320"/>
        <w:spacing w:after="0"/>
        <w:tabs>
          <w:tab w:leader="none" w:pos="5740" w:val="left"/>
        </w:tabs>
        <w:rPr>
          <w:sz w:val="20"/>
          <w:szCs w:val="20"/>
          <w:color w:val="auto"/>
        </w:rPr>
      </w:pPr>
      <w:r>
        <w:rPr>
          <w:rFonts w:ascii="Arial" w:cs="Arial" w:eastAsia="Arial" w:hAnsi="Arial"/>
          <w:sz w:val="17"/>
          <w:szCs w:val="17"/>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14605</wp:posOffset>
            </wp:positionV>
            <wp:extent cx="31273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Jeff Cooper</w:t>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Chief Financial Officer</w:t>
      </w:r>
    </w:p>
    <w:p>
      <w:pPr>
        <w:ind w:left="57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120"/>
          </w:cols>
          <w:pgMar w:left="320" w:top="282" w:right="45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 Mike Rosenbaum, certify that:</w:t>
      </w:r>
    </w:p>
    <w:p>
      <w:pPr>
        <w:spacing w:after="0" w:line="165"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Guidewire Software,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80" w:hanging="307"/>
        <w:spacing w:after="0" w:line="266"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260" w:hanging="309"/>
        <w:spacing w:after="0" w:line="266" w:lineRule="auto"/>
        <w:tabs>
          <w:tab w:leader="none" w:pos="1231"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560" w:hanging="309"/>
        <w:spacing w:after="0" w:line="266" w:lineRule="auto"/>
        <w:tabs>
          <w:tab w:leader="none" w:pos="122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sz w:val="20"/>
          <w:szCs w:val="20"/>
          <w:color w:val="auto"/>
        </w:rPr>
      </w:pPr>
    </w:p>
    <w:p>
      <w:pPr>
        <w:jc w:val="both"/>
        <w:ind w:left="1240" w:right="720" w:hanging="309"/>
        <w:spacing w:after="0" w:line="349" w:lineRule="auto"/>
        <w:tabs>
          <w:tab w:leader="none" w:pos="1231"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5"/>
          <w:szCs w:val="15"/>
          <w:color w:val="auto"/>
        </w:rPr>
      </w:pPr>
    </w:p>
    <w:p>
      <w:pPr>
        <w:ind w:left="1240" w:right="260" w:hanging="309"/>
        <w:spacing w:after="0" w:line="266" w:lineRule="auto"/>
        <w:tabs>
          <w:tab w:leader="none" w:pos="122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520" w:hanging="307"/>
        <w:spacing w:after="0" w:line="312"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240" w:right="160" w:hanging="309"/>
        <w:spacing w:after="0" w:line="279" w:lineRule="auto"/>
        <w:tabs>
          <w:tab w:leader="none" w:pos="1231"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240" w:right="120" w:hanging="309"/>
        <w:spacing w:after="0" w:line="279" w:lineRule="auto"/>
        <w:tabs>
          <w:tab w:leader="none" w:pos="122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3500" w:type="dxa"/>
            <w:vAlign w:val="bottom"/>
          </w:tcPr>
          <w:p>
            <w:pPr>
              <w:ind w:left="180"/>
              <w:spacing w:after="0"/>
              <w:rPr>
                <w:sz w:val="20"/>
                <w:szCs w:val="20"/>
                <w:color w:val="auto"/>
              </w:rPr>
            </w:pPr>
            <w:r>
              <w:rPr>
                <w:rFonts w:ascii="Arial" w:cs="Arial" w:eastAsia="Arial" w:hAnsi="Arial"/>
                <w:sz w:val="17"/>
                <w:szCs w:val="17"/>
                <w:color w:val="auto"/>
              </w:rPr>
              <w:t>December 3, 2021</w:t>
            </w:r>
          </w:p>
        </w:tc>
        <w:tc>
          <w:tcPr>
            <w:tcW w:w="2500" w:type="dxa"/>
            <w:vAlign w:val="bottom"/>
          </w:tcPr>
          <w:p>
            <w:pPr>
              <w:ind w:left="204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 MIKE ROSENBAUM</w:t>
            </w:r>
          </w:p>
        </w:tc>
      </w:tr>
      <w:tr>
        <w:trPr>
          <w:trHeight w:val="211"/>
        </w:trPr>
        <w:tc>
          <w:tcPr>
            <w:tcW w:w="5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7"/>
                <w:szCs w:val="17"/>
                <w:color w:val="auto"/>
              </w:rPr>
              <w:t>Mike Rosenbaum</w:t>
            </w:r>
          </w:p>
        </w:tc>
      </w:tr>
      <w:tr>
        <w:trPr>
          <w:trHeight w:val="219"/>
        </w:trPr>
        <w:tc>
          <w:tcPr>
            <w:tcW w:w="5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7"/>
                <w:szCs w:val="17"/>
                <w:color w:val="auto"/>
              </w:rPr>
              <w:t>Chief Executive Officer</w:t>
            </w:r>
          </w:p>
        </w:tc>
      </w:tr>
      <w:tr>
        <w:trPr>
          <w:trHeight w:val="219"/>
        </w:trPr>
        <w:tc>
          <w:tcPr>
            <w:tcW w:w="5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856"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 13a-14(a) OR 15d-14(a)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 Jeff Cooper, certify that:</w:t>
      </w:r>
    </w:p>
    <w:p>
      <w:pPr>
        <w:spacing w:after="0" w:line="165"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Guidewire Software,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80" w:hanging="307"/>
        <w:spacing w:after="0" w:line="266"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260" w:hanging="309"/>
        <w:spacing w:after="0" w:line="266" w:lineRule="auto"/>
        <w:tabs>
          <w:tab w:leader="none" w:pos="1231"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560" w:hanging="309"/>
        <w:spacing w:after="0" w:line="266" w:lineRule="auto"/>
        <w:tabs>
          <w:tab w:leader="none" w:pos="122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sz w:val="20"/>
          <w:szCs w:val="20"/>
          <w:color w:val="auto"/>
        </w:rPr>
      </w:pPr>
    </w:p>
    <w:p>
      <w:pPr>
        <w:jc w:val="both"/>
        <w:ind w:left="1240" w:right="720" w:hanging="309"/>
        <w:spacing w:after="0" w:line="349" w:lineRule="auto"/>
        <w:tabs>
          <w:tab w:leader="none" w:pos="1231"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5"/>
          <w:szCs w:val="15"/>
          <w:color w:val="auto"/>
        </w:rPr>
      </w:pPr>
    </w:p>
    <w:p>
      <w:pPr>
        <w:ind w:left="1240" w:right="260" w:hanging="309"/>
        <w:spacing w:after="0" w:line="266" w:lineRule="auto"/>
        <w:tabs>
          <w:tab w:leader="none" w:pos="12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520" w:hanging="307"/>
        <w:spacing w:after="0" w:line="312"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240" w:right="160" w:hanging="309"/>
        <w:spacing w:after="0" w:line="279" w:lineRule="auto"/>
        <w:tabs>
          <w:tab w:leader="none" w:pos="123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240" w:right="120" w:hanging="309"/>
        <w:spacing w:after="0" w:line="276" w:lineRule="auto"/>
        <w:tabs>
          <w:tab w:leader="none" w:pos="1228"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980" w:type="dxa"/>
            <w:vAlign w:val="bottom"/>
          </w:tcPr>
          <w:p>
            <w:pPr>
              <w:spacing w:after="0"/>
              <w:rPr>
                <w:sz w:val="20"/>
                <w:szCs w:val="20"/>
                <w:color w:val="auto"/>
              </w:rPr>
            </w:pPr>
            <w:r>
              <w:rPr>
                <w:rFonts w:ascii="Arial" w:cs="Arial" w:eastAsia="Arial" w:hAnsi="Arial"/>
                <w:sz w:val="17"/>
                <w:szCs w:val="17"/>
                <w:color w:val="auto"/>
              </w:rPr>
              <w:t>Date:   December 3, 2021</w:t>
            </w:r>
          </w:p>
        </w:tc>
        <w:tc>
          <w:tcPr>
            <w:tcW w:w="2560" w:type="dxa"/>
            <w:vAlign w:val="bottom"/>
          </w:tcPr>
          <w:p>
            <w:pPr>
              <w:ind w:left="212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 JEFF COOPER</w:t>
            </w:r>
          </w:p>
        </w:tc>
      </w:tr>
      <w:tr>
        <w:trPr>
          <w:trHeight w:val="211"/>
        </w:trPr>
        <w:tc>
          <w:tcPr>
            <w:tcW w:w="3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7"/>
                <w:szCs w:val="17"/>
                <w:color w:val="auto"/>
              </w:rPr>
              <w:t>Jeff Cooper</w:t>
            </w:r>
          </w:p>
        </w:tc>
      </w:tr>
      <w:tr>
        <w:trPr>
          <w:trHeight w:val="219"/>
        </w:trPr>
        <w:tc>
          <w:tcPr>
            <w:tcW w:w="3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7"/>
                <w:szCs w:val="17"/>
                <w:color w:val="auto"/>
              </w:rPr>
              <w:t>Chief Financial Officer</w:t>
            </w:r>
          </w:p>
        </w:tc>
      </w:tr>
      <w:tr>
        <w:trPr>
          <w:trHeight w:val="219"/>
        </w:trPr>
        <w:tc>
          <w:tcPr>
            <w:tcW w:w="3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7"/>
                <w:szCs w:val="17"/>
                <w:color w:val="auto"/>
              </w:rPr>
              <w:t>(Principal Financial and Accounting Officer)</w:t>
            </w:r>
          </w:p>
        </w:tc>
      </w:tr>
    </w:tbl>
    <w:p>
      <w:pPr>
        <w:sectPr>
          <w:pgSz w:w="11900" w:h="16838" w:orient="portrait"/>
          <w:cols w:equalWidth="0" w:num="1">
            <w:col w:w="11240"/>
          </w:cols>
          <w:pgMar w:left="320" w:top="856" w:right="339" w:bottom="1440" w:gutter="0" w:footer="0" w:header="0"/>
        </w:sectPr>
      </w:pPr>
    </w:p>
    <w:bookmarkStart w:id="78" w:name="page79"/>
    <w:bookmarkEnd w:id="78"/>
    <w:p>
      <w:pPr>
        <w:spacing w:after="0" w:line="213" w:lineRule="auto"/>
        <w:framePr w:w="1380" w:h="153" w:wrap="auto" w:vAnchor="page" w:hAnchor="page" w:x="6880" w:y="6072"/>
        <w:rPr>
          <w:rFonts w:ascii="Arial" w:cs="Arial" w:eastAsia="Arial" w:hAnsi="Arial"/>
          <w:sz w:val="15"/>
          <w:szCs w:val="15"/>
          <w:color w:val="auto"/>
        </w:rPr>
      </w:pPr>
      <w:r>
        <w:rPr>
          <w:rFonts w:ascii="Arial" w:cs="Arial" w:eastAsia="Arial" w:hAnsi="Arial"/>
          <w:sz w:val="15"/>
          <w:szCs w:val="15"/>
          <w:color w:val="auto"/>
        </w:rPr>
        <w:t>/s/ JEFF COOPER</w:t>
      </w:r>
    </w:p>
    <w:p>
      <w:pPr>
        <w:spacing w:after="0" w:line="213" w:lineRule="auto"/>
        <w:framePr w:w="900" w:h="153" w:wrap="auto" w:vAnchor="page" w:hAnchor="page" w:x="6880" w:y="6304"/>
        <w:rPr>
          <w:rFonts w:ascii="Arial" w:cs="Arial" w:eastAsia="Arial" w:hAnsi="Arial"/>
          <w:sz w:val="15"/>
          <w:szCs w:val="15"/>
          <w:color w:val="auto"/>
        </w:rPr>
      </w:pPr>
      <w:r>
        <w:rPr>
          <w:rFonts w:ascii="Arial" w:cs="Arial" w:eastAsia="Arial" w:hAnsi="Arial"/>
          <w:sz w:val="15"/>
          <w:szCs w:val="15"/>
          <w:color w:val="auto"/>
        </w:rPr>
        <w:t>Jeff Cooper</w:t>
      </w:r>
    </w:p>
    <w:p>
      <w:pPr>
        <w:spacing w:after="0" w:line="199" w:lineRule="auto"/>
        <w:framePr w:w="1680" w:h="153" w:wrap="auto" w:vAnchor="page" w:hAnchor="page" w:x="6880" w:y="6523"/>
        <w:rPr>
          <w:rFonts w:ascii="Arial" w:cs="Arial" w:eastAsia="Arial" w:hAnsi="Arial"/>
          <w:sz w:val="16"/>
          <w:szCs w:val="16"/>
          <w:color w:val="auto"/>
        </w:rPr>
      </w:pPr>
      <w:r>
        <w:rPr>
          <w:rFonts w:ascii="Arial" w:cs="Arial" w:eastAsia="Arial" w:hAnsi="Arial"/>
          <w:sz w:val="16"/>
          <w:szCs w:val="16"/>
          <w:color w:val="auto"/>
        </w:rPr>
        <w:t>Chief Financial Officer</w:t>
      </w:r>
    </w:p>
    <w:p>
      <w:pPr>
        <w:spacing w:after="0" w:line="199" w:lineRule="auto"/>
        <w:framePr w:w="3180" w:h="153" w:wrap="auto" w:vAnchor="page" w:hAnchor="page" w:x="6880" w:y="6742"/>
        <w:rPr>
          <w:rFonts w:ascii="Arial" w:cs="Arial" w:eastAsia="Arial" w:hAnsi="Arial"/>
          <w:sz w:val="16"/>
          <w:szCs w:val="16"/>
          <w:color w:val="auto"/>
        </w:rPr>
      </w:pPr>
      <w:r>
        <w:rPr>
          <w:rFonts w:ascii="Arial" w:cs="Arial" w:eastAsia="Arial" w:hAnsi="Arial"/>
          <w:sz w:val="16"/>
          <w:szCs w:val="16"/>
          <w:color w:val="auto"/>
        </w:rPr>
        <w:t>(Principal Financial and Accounting Officer)</w:t>
      </w:r>
    </w:p>
    <w:p>
      <w:pPr>
        <w:jc w:val="right"/>
        <w:spacing w:after="0"/>
        <w:rPr>
          <w:sz w:val="20"/>
          <w:szCs w:val="20"/>
          <w:color w:val="auto"/>
        </w:rPr>
      </w:pPr>
      <w:r>
        <w:rPr>
          <w:rFonts w:ascii="Arial" w:cs="Arial" w:eastAsia="Arial" w:hAnsi="Arial"/>
          <w:sz w:val="17"/>
          <w:szCs w:val="17"/>
          <w:b w:val="1"/>
          <w:bCs w:val="1"/>
          <w:color w:val="auto"/>
        </w:rPr>
        <w:t>Exhibit 32.1</w:t>
      </w:r>
    </w:p>
    <w:p>
      <w:pPr>
        <w:spacing w:after="0" w:line="165"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5" w:lineRule="exact"/>
        <w:rPr>
          <w:rFonts w:ascii="Arial" w:cs="Arial" w:eastAsia="Arial" w:hAnsi="Arial"/>
          <w:sz w:val="16"/>
          <w:szCs w:val="16"/>
          <w:color w:val="auto"/>
        </w:rPr>
      </w:pPr>
    </w:p>
    <w:p>
      <w:pPr>
        <w:ind w:right="60" w:firstLine="425"/>
        <w:spacing w:after="0" w:line="259"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October 31, 2021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5" w:lineRule="exact"/>
        <w:rPr>
          <w:rFonts w:ascii="Arial" w:cs="Arial" w:eastAsia="Arial" w:hAnsi="Arial"/>
          <w:sz w:val="16"/>
          <w:szCs w:val="16"/>
          <w:color w:val="auto"/>
        </w:rPr>
      </w:pPr>
    </w:p>
    <w:p>
      <w:pPr>
        <w:ind w:left="60"/>
        <w:spacing w:after="0"/>
        <w:tabs>
          <w:tab w:leader="none" w:pos="820" w:val="left"/>
          <w:tab w:leader="none" w:pos="5820" w:val="left"/>
          <w:tab w:leader="none" w:pos="6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December 3,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MIKE ROSENBAUM</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0619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p>
      <w:pPr>
        <w:spacing w:after="0" w:line="17" w:lineRule="exact"/>
        <w:rPr>
          <w:rFonts w:ascii="Arial" w:cs="Arial" w:eastAsia="Arial" w:hAnsi="Arial"/>
          <w:sz w:val="16"/>
          <w:szCs w:val="16"/>
          <w:color w:val="auto"/>
        </w:rPr>
      </w:pPr>
    </w:p>
    <w:p>
      <w:pPr>
        <w:ind w:left="6640"/>
        <w:spacing w:after="0"/>
        <w:rPr>
          <w:sz w:val="20"/>
          <w:szCs w:val="20"/>
          <w:color w:val="auto"/>
        </w:rPr>
      </w:pPr>
      <w:r>
        <w:rPr>
          <w:rFonts w:ascii="Arial" w:cs="Arial" w:eastAsia="Arial" w:hAnsi="Arial"/>
          <w:sz w:val="17"/>
          <w:szCs w:val="17"/>
          <w:color w:val="auto"/>
        </w:rPr>
        <w:t>Mike Rosenbaum</w:t>
      </w:r>
    </w:p>
    <w:p>
      <w:pPr>
        <w:spacing w:after="0" w:line="24" w:lineRule="exact"/>
        <w:rPr>
          <w:rFonts w:ascii="Arial" w:cs="Arial" w:eastAsia="Arial" w:hAnsi="Arial"/>
          <w:sz w:val="16"/>
          <w:szCs w:val="16"/>
          <w:color w:val="auto"/>
        </w:rPr>
      </w:pPr>
    </w:p>
    <w:p>
      <w:pPr>
        <w:ind w:left="6640"/>
        <w:spacing w:after="0"/>
        <w:rPr>
          <w:sz w:val="20"/>
          <w:szCs w:val="20"/>
          <w:color w:val="auto"/>
        </w:rPr>
      </w:pPr>
      <w:r>
        <w:rPr>
          <w:rFonts w:ascii="Arial" w:cs="Arial" w:eastAsia="Arial" w:hAnsi="Arial"/>
          <w:sz w:val="17"/>
          <w:szCs w:val="17"/>
          <w:color w:val="auto"/>
        </w:rPr>
        <w:t>Chief Executive Officer</w:t>
      </w:r>
    </w:p>
    <w:p>
      <w:pPr>
        <w:spacing w:after="0" w:line="24" w:lineRule="exact"/>
        <w:rPr>
          <w:rFonts w:ascii="Arial" w:cs="Arial" w:eastAsia="Arial" w:hAnsi="Arial"/>
          <w:sz w:val="16"/>
          <w:szCs w:val="16"/>
          <w:color w:val="auto"/>
        </w:rPr>
      </w:pPr>
    </w:p>
    <w:p>
      <w:pPr>
        <w:ind w:left="6640"/>
        <w:spacing w:after="0"/>
        <w:rPr>
          <w:sz w:val="20"/>
          <w:szCs w:val="20"/>
          <w:color w:val="auto"/>
        </w:rPr>
      </w:pPr>
      <w:r>
        <w:rPr>
          <w:rFonts w:ascii="Arial" w:cs="Arial" w:eastAsia="Arial" w:hAnsi="Arial"/>
          <w:sz w:val="17"/>
          <w:szCs w:val="17"/>
          <w:color w:val="auto"/>
        </w:rPr>
        <w:t>(Principal Executive Officer)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right="40" w:firstLine="425"/>
        <w:spacing w:after="0" w:line="259" w:lineRule="auto"/>
        <w:rPr>
          <w:sz w:val="20"/>
          <w:szCs w:val="20"/>
          <w:color w:val="auto"/>
        </w:rPr>
      </w:pPr>
      <w:r>
        <w:rPr>
          <w:rFonts w:ascii="Arial" w:cs="Arial" w:eastAsia="Arial" w:hAnsi="Arial"/>
          <w:sz w:val="17"/>
          <w:szCs w:val="17"/>
          <w:color w:val="auto"/>
        </w:rPr>
        <w:t>In connection with the Quarterly Report on Form 10-Q of Guidewire Software, Inc. for the quarterly period ended October 31, 2021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5" w:lineRule="exact"/>
        <w:rPr>
          <w:rFonts w:ascii="Arial" w:cs="Arial" w:eastAsia="Arial" w:hAnsi="Arial"/>
          <w:sz w:val="16"/>
          <w:szCs w:val="16"/>
          <w:color w:val="auto"/>
        </w:rPr>
      </w:pPr>
    </w:p>
    <w:p>
      <w:pPr>
        <w:ind w:left="20"/>
        <w:spacing w:after="0"/>
        <w:tabs>
          <w:tab w:leader="none" w:pos="780" w:val="left"/>
          <w:tab w:leader="none" w:pos="57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December 3, 2021</w:t>
      </w:r>
      <w:r>
        <w:rPr>
          <w:sz w:val="20"/>
          <w:szCs w:val="20"/>
          <w:color w:val="auto"/>
        </w:rPr>
        <w:tab/>
      </w:r>
      <w:r>
        <w:rPr>
          <w:rFonts w:ascii="Arial" w:cs="Arial" w:eastAsia="Arial" w:hAnsi="Arial"/>
          <w:sz w:val="16"/>
          <w:szCs w:val="16"/>
          <w:color w:val="auto"/>
        </w:rPr>
        <w:t>By:</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4054475</wp:posOffset>
            </wp:positionH>
            <wp:positionV relativeFrom="paragraph">
              <wp:posOffset>14605</wp:posOffset>
            </wp:positionV>
            <wp:extent cx="30619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lowerRoman"/>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5"/>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97" Type="http://schemas.openxmlformats.org/officeDocument/2006/relationships/hyperlink" Target="http://www.sec.gov/Archives/edgar/data/1528396/000152839620000012/a31-guidewirexarcertif.htm" TargetMode="External"/><Relationship Id="rId98" Type="http://schemas.openxmlformats.org/officeDocument/2006/relationships/hyperlink" Target="http://www.sec.gov/Archives/edgar/data/1528396/000152839616000070/ex31guidewire-arbylaws2016.htm" TargetMode="External"/><Relationship Id="rId99"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2021-12-03T15:21:22Z</dcterms:created>
  <dcterms:modified xsi:type="dcterms:W3CDTF">2021-12-03T15:21:22Z</dcterms:modified>
</cp:coreProperties>
</file>