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09686.xml.htm"/>
      <w:bookmarkStart w:id="1" w:name="kswkform4_178950968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Mullen John P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GUIDEWIRE SOFTWARE,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970 PARK PL,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MATEO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94403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Guidewire Software,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GWRE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75,211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223,330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7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16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7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1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1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Performance Shares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75,211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09/13/2033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75,211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Performance Shares cliff vested at the end of the three-year performance period based on the average performance of the three one-year performance periods. On September 9, 2026, the Compensation Committee determined that 236% of the performance conditions were met, resulting in an increase of 43,342 PSUs earned by the Reporting Person. On September 15, 2026, the time-based vesting was met.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Winston King, Attorney-in-Fact for John P. Mullen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7389" TargetMode="External"/><Relationship Id="rId5" Type="http://schemas.openxmlformats.org/officeDocument/2006/relationships/hyperlink" Target="http://www.sec.gov/cgi-bin/browse-edgar?action=getcompany&amp;CIK=00015283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648</Words>
  <Characters>3514</Characters>
  <CharactersWithSpaces>4081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