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83" w:lineRule="exact"/>
        <w:rPr>
          <w:rFonts w:ascii="MS PGothic" w:cs="MS PGothic" w:eastAsia="MS PGothic" w:hAnsi="MS PGothic"/>
          <w:sz w:val="22"/>
          <w:szCs w:val="22"/>
          <w:color w:val="auto"/>
        </w:rPr>
      </w:pPr>
    </w:p>
    <w:p>
      <w:pPr>
        <w:ind w:left="37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January 31, 2023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4"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001-35394</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Guidewire Software,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50"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4400" w:type="dxa"/>
            <w:vAlign w:val="bottom"/>
          </w:tcPr>
          <w:p>
            <w:pPr>
              <w:jc w:val="center"/>
              <w:ind w:right="1622"/>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83"/>
              <w:spacing w:after="0"/>
              <w:rPr>
                <w:sz w:val="20"/>
                <w:szCs w:val="20"/>
                <w:color w:val="auto"/>
              </w:rPr>
            </w:pPr>
            <w:r>
              <w:rPr>
                <w:rFonts w:ascii="Arial" w:cs="Arial" w:eastAsia="Arial" w:hAnsi="Arial"/>
                <w:sz w:val="16"/>
                <w:szCs w:val="16"/>
                <w:b w:val="1"/>
                <w:bCs w:val="1"/>
                <w:color w:val="auto"/>
              </w:rPr>
              <w:t>36-4468504</w:t>
            </w:r>
          </w:p>
        </w:tc>
      </w:tr>
      <w:tr>
        <w:trPr>
          <w:trHeight w:val="144"/>
        </w:trPr>
        <w:tc>
          <w:tcPr>
            <w:tcW w:w="4400" w:type="dxa"/>
            <w:vAlign w:val="bottom"/>
          </w:tcPr>
          <w:p>
            <w:pPr>
              <w:jc w:val="center"/>
              <w:ind w:right="16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820" w:type="dxa"/>
            <w:vAlign w:val="bottom"/>
          </w:tcPr>
          <w:p>
            <w:pPr>
              <w:jc w:val="center"/>
              <w:ind w:left="1623"/>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00" w:type="dxa"/>
            <w:vAlign w:val="bottom"/>
          </w:tcPr>
          <w:p>
            <w:pPr>
              <w:jc w:val="center"/>
              <w:ind w:right="1622"/>
              <w:spacing w:after="0"/>
              <w:rPr>
                <w:sz w:val="20"/>
                <w:szCs w:val="20"/>
                <w:color w:val="auto"/>
              </w:rPr>
            </w:pPr>
            <w:r>
              <w:rPr>
                <w:rFonts w:ascii="Arial" w:cs="Arial" w:eastAsia="Arial" w:hAnsi="Arial"/>
                <w:sz w:val="14"/>
                <w:szCs w:val="14"/>
                <w:b w:val="1"/>
                <w:bCs w:val="1"/>
                <w:color w:val="auto"/>
                <w:w w:val="95"/>
              </w:rPr>
              <w:t>Incorporation or organization)</w:t>
            </w:r>
          </w:p>
        </w:tc>
        <w:tc>
          <w:tcPr>
            <w:tcW w:w="2820" w:type="dxa"/>
            <w:vAlign w:val="bottom"/>
          </w:tcPr>
          <w:p>
            <w:pPr>
              <w:jc w:val="center"/>
              <w:ind w:left="1623"/>
              <w:spacing w:after="0"/>
              <w:rPr>
                <w:sz w:val="20"/>
                <w:szCs w:val="20"/>
                <w:color w:val="auto"/>
              </w:rPr>
            </w:pPr>
            <w:r>
              <w:rPr>
                <w:rFonts w:ascii="Arial" w:cs="Arial" w:eastAsia="Arial" w:hAnsi="Arial"/>
                <w:sz w:val="14"/>
                <w:szCs w:val="14"/>
                <w:b w:val="1"/>
                <w:bCs w:val="1"/>
                <w:color w:val="auto"/>
                <w:w w:val="94"/>
              </w:rPr>
              <w:t>Identification No.)</w:t>
            </w:r>
          </w:p>
        </w:tc>
      </w:tr>
      <w:tr>
        <w:trPr>
          <w:trHeight w:val="232"/>
        </w:trPr>
        <w:tc>
          <w:tcPr>
            <w:tcW w:w="4400" w:type="dxa"/>
            <w:vAlign w:val="bottom"/>
          </w:tcPr>
          <w:p>
            <w:pPr>
              <w:jc w:val="center"/>
              <w:ind w:right="1642"/>
              <w:spacing w:after="0"/>
              <w:rPr>
                <w:sz w:val="20"/>
                <w:szCs w:val="20"/>
                <w:color w:val="auto"/>
              </w:rPr>
            </w:pPr>
            <w:r>
              <w:rPr>
                <w:rFonts w:ascii="Arial" w:cs="Arial" w:eastAsia="Arial" w:hAnsi="Arial"/>
                <w:sz w:val="16"/>
                <w:szCs w:val="16"/>
                <w:b w:val="1"/>
                <w:bCs w:val="1"/>
                <w:color w:val="auto"/>
                <w:w w:val="90"/>
              </w:rPr>
              <w:t>2850 S. Delaware St., Suite 400</w:t>
            </w:r>
          </w:p>
        </w:tc>
        <w:tc>
          <w:tcPr>
            <w:tcW w:w="2820" w:type="dxa"/>
            <w:vAlign w:val="bottom"/>
          </w:tcPr>
          <w:p>
            <w:pPr>
              <w:jc w:val="right"/>
              <w:ind w:right="283"/>
              <w:spacing w:after="0"/>
              <w:rPr>
                <w:sz w:val="20"/>
                <w:szCs w:val="20"/>
                <w:color w:val="auto"/>
              </w:rPr>
            </w:pPr>
            <w:r>
              <w:rPr>
                <w:rFonts w:ascii="Arial" w:cs="Arial" w:eastAsia="Arial" w:hAnsi="Arial"/>
                <w:sz w:val="16"/>
                <w:szCs w:val="16"/>
                <w:b w:val="1"/>
                <w:bCs w:val="1"/>
                <w:color w:val="auto"/>
              </w:rPr>
              <w:t>94403</w:t>
            </w:r>
          </w:p>
        </w:tc>
      </w:tr>
      <w:tr>
        <w:trPr>
          <w:trHeight w:val="210"/>
        </w:trPr>
        <w:tc>
          <w:tcPr>
            <w:tcW w:w="4400" w:type="dxa"/>
            <w:vAlign w:val="bottom"/>
          </w:tcPr>
          <w:p>
            <w:pPr>
              <w:jc w:val="center"/>
              <w:ind w:right="1622"/>
              <w:spacing w:after="0"/>
              <w:rPr>
                <w:sz w:val="20"/>
                <w:szCs w:val="20"/>
                <w:color w:val="auto"/>
              </w:rPr>
            </w:pPr>
            <w:r>
              <w:rPr>
                <w:rFonts w:ascii="Arial" w:cs="Arial" w:eastAsia="Arial" w:hAnsi="Arial"/>
                <w:sz w:val="16"/>
                <w:szCs w:val="16"/>
                <w:b w:val="1"/>
                <w:bCs w:val="1"/>
                <w:color w:val="auto"/>
                <w:w w:val="94"/>
              </w:rPr>
              <w:t>San Mateo, California</w:t>
            </w:r>
          </w:p>
        </w:tc>
        <w:tc>
          <w:tcPr>
            <w:tcW w:w="2820" w:type="dxa"/>
            <w:vAlign w:val="bottom"/>
          </w:tcPr>
          <w:p>
            <w:pPr>
              <w:spacing w:after="0"/>
              <w:rPr>
                <w:sz w:val="18"/>
                <w:szCs w:val="18"/>
                <w:color w:val="auto"/>
              </w:rPr>
            </w:pPr>
          </w:p>
        </w:tc>
      </w:tr>
      <w:tr>
        <w:trPr>
          <w:trHeight w:val="216"/>
        </w:trPr>
        <w:tc>
          <w:tcPr>
            <w:tcW w:w="4400" w:type="dxa"/>
            <w:vAlign w:val="bottom"/>
          </w:tcPr>
          <w:p>
            <w:pPr>
              <w:jc w:val="center"/>
              <w:ind w:right="1642"/>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623"/>
              <w:spacing w:after="0"/>
              <w:rPr>
                <w:sz w:val="20"/>
                <w:szCs w:val="20"/>
                <w:color w:val="auto"/>
              </w:rPr>
            </w:pPr>
            <w:r>
              <w:rPr>
                <w:rFonts w:ascii="Arial" w:cs="Arial" w:eastAsia="Arial" w:hAnsi="Arial"/>
                <w:sz w:val="16"/>
                <w:szCs w:val="16"/>
                <w:b w:val="1"/>
                <w:bCs w:val="1"/>
                <w:color w:val="auto"/>
                <w:w w:val="96"/>
              </w:rPr>
              <w:t>(Zip Code)</w:t>
            </w:r>
          </w:p>
        </w:tc>
      </w:tr>
    </w:tbl>
    <w:p>
      <w:pPr>
        <w:spacing w:after="0" w:line="200" w:lineRule="exact"/>
        <w:rPr>
          <w:sz w:val="24"/>
          <w:szCs w:val="24"/>
          <w:color w:val="auto"/>
        </w:rPr>
      </w:pP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 357-9100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850" w:type="dxa"/>
        <w:tblCellMar>
          <w:top w:w="0" w:type="dxa"/>
          <w:left w:w="0" w:type="dxa"/>
          <w:bottom w:w="0" w:type="dxa"/>
          <w:right w:w="0" w:type="dxa"/>
        </w:tblCellMar>
      </w:tblPr>
      <w:tr>
        <w:trPr>
          <w:trHeight w:val="243"/>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GWRE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1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967105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287"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1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line="20" w:lineRule="exact"/>
              <w:rPr>
                <w:sz w:val="1"/>
                <w:szCs w:val="1"/>
                <w:color w:val="auto"/>
              </w:rPr>
            </w:pP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37"/>
        </w:trPr>
        <w:tc>
          <w:tcPr>
            <w:tcW w:w="1860" w:type="dxa"/>
            <w:vAlign w:val="bottom"/>
            <w:gridSpan w:val="3"/>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vMerge w:val="continue"/>
          </w:tcPr>
          <w:p>
            <w:pPr>
              <w:spacing w:after="0"/>
              <w:rPr>
                <w:sz w:val="24"/>
                <w:szCs w:val="24"/>
                <w:color w:val="auto"/>
              </w:rPr>
            </w:pPr>
          </w:p>
        </w:tc>
        <w:tc>
          <w:tcPr>
            <w:tcW w:w="49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gridSpan w:val="3"/>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40"/>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4" w:lineRule="exact"/>
        <w:rPr>
          <w:sz w:val="20"/>
          <w:szCs w:val="20"/>
          <w:color w:val="auto"/>
        </w:rPr>
      </w:pPr>
    </w:p>
    <w:p>
      <w:pPr>
        <w:ind w:left="460"/>
        <w:spacing w:after="0" w:line="196" w:lineRule="exact"/>
        <w:tabs>
          <w:tab w:leader="none" w:pos="93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28, 2023, the registrant had 81,566,719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0" w:type="dxa"/>
            <w:vAlign w:val="bottom"/>
            <w:gridSpan w:val="19"/>
          </w:tcPr>
          <w:p>
            <w:pPr>
              <w:spacing w:after="0"/>
              <w:rPr>
                <w:sz w:val="20"/>
                <w:szCs w:val="20"/>
                <w:color w:val="auto"/>
              </w:rPr>
            </w:pPr>
            <w:r>
              <w:rPr>
                <w:rFonts w:ascii="Arial" w:cs="Arial" w:eastAsia="Arial" w:hAnsi="Arial"/>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2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91"/>
              </w:rPr>
              <w:t>Guidewire Software,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540" w:type="dxa"/>
            <w:vAlign w:val="bottom"/>
            <w:gridSpan w:val="8"/>
          </w:tcPr>
          <w:p>
            <w:pPr>
              <w:jc w:val="center"/>
              <w:ind w:right="470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0" w:type="dxa"/>
            <w:vAlign w:val="bottom"/>
          </w:tcPr>
          <w:p>
            <w:pPr>
              <w:spacing w:after="0"/>
              <w:rPr>
                <w:sz w:val="24"/>
                <w:szCs w:val="24"/>
                <w:color w:val="auto"/>
              </w:rPr>
            </w:pPr>
          </w:p>
        </w:tc>
        <w:tc>
          <w:tcPr>
            <w:tcW w:w="10420" w:type="dxa"/>
            <w:vAlign w:val="bottom"/>
            <w:gridSpan w:val="2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500" w:type="dxa"/>
            <w:vAlign w:val="bottom"/>
            <w:gridSpan w:val="3"/>
          </w:tcPr>
          <w:p>
            <w:pPr>
              <w:jc w:val="right"/>
              <w:ind w:right="3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 as of January 31, 2023 and July 31, 2022</w:t>
            </w:r>
          </w:p>
        </w:tc>
        <w:tc>
          <w:tcPr>
            <w:tcW w:w="500" w:type="dxa"/>
            <w:vAlign w:val="bottom"/>
            <w:gridSpan w:val="3"/>
          </w:tcPr>
          <w:p>
            <w:pPr>
              <w:jc w:val="right"/>
              <w:ind w:right="3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January 31, 2023 and 2022</w:t>
            </w:r>
          </w:p>
        </w:tc>
        <w:tc>
          <w:tcPr>
            <w:tcW w:w="500" w:type="dxa"/>
            <w:vAlign w:val="bottom"/>
            <w:gridSpan w:val="3"/>
          </w:tcPr>
          <w:p>
            <w:pPr>
              <w:jc w:val="right"/>
              <w:ind w:right="3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w w:val="94"/>
              </w:rPr>
              <w:t>Condensed Consolidated Statements of Comprehensive Income (Loss) for the Three and Six Months Ended January 31, 2023</w:t>
            </w:r>
          </w:p>
        </w:tc>
        <w:tc>
          <w:tcPr>
            <w:tcW w:w="5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and 2022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w w:val="93"/>
              </w:rPr>
              <w:t>Condensed Consolidated Statements of Changes in Stockholders’ Equity for the Three and Six Months Ended January 31, 2023</w:t>
            </w:r>
          </w:p>
        </w:tc>
        <w:tc>
          <w:tcPr>
            <w:tcW w:w="5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2022</w:t>
            </w:r>
          </w:p>
        </w:tc>
        <w:tc>
          <w:tcPr>
            <w:tcW w:w="8320" w:type="dxa"/>
            <w:vAlign w:val="bottom"/>
            <w:tcBorders>
              <w:top w:val="single" w:sz="8" w:color="0000FF"/>
            </w:tcBorders>
            <w:gridSpan w:val="13"/>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right w:val="single" w:sz="8" w:color="0000FF"/>
            </w:tcBorders>
            <w:gridSpan w:val="2"/>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9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 for the Six Months Ended January 31, 2023 and 2022</w:t>
            </w:r>
          </w:p>
        </w:tc>
        <w:tc>
          <w:tcPr>
            <w:tcW w:w="500" w:type="dxa"/>
            <w:vAlign w:val="bottom"/>
            <w:gridSpan w:val="3"/>
          </w:tcPr>
          <w:p>
            <w:pPr>
              <w:jc w:val="right"/>
              <w:ind w:right="3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600" w:type="dxa"/>
            <w:vAlign w:val="bottom"/>
            <w:gridSpan w:val="4"/>
          </w:tcPr>
          <w:p>
            <w:pPr>
              <w:spacing w:after="0"/>
              <w:rPr>
                <w:sz w:val="22"/>
                <w:szCs w:val="22"/>
                <w:color w:val="auto"/>
              </w:rPr>
            </w:pPr>
          </w:p>
        </w:tc>
        <w:tc>
          <w:tcPr>
            <w:tcW w:w="194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80" w:type="dxa"/>
            <w:vAlign w:val="bottom"/>
            <w:gridSpan w:val="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Controls and Procedures</w:t>
            </w:r>
          </w:p>
        </w:tc>
        <w:tc>
          <w:tcPr>
            <w:tcW w:w="524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1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826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8200" w:type="dxa"/>
            <w:vAlign w:val="bottom"/>
            <w:gridSpan w:val="1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8640" w:type="dxa"/>
            <w:vAlign w:val="bottom"/>
            <w:gridSpan w:val="14"/>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67</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w w:val="99"/>
              </w:rPr>
              <w:t>Signatures</w:t>
            </w:r>
          </w:p>
        </w:tc>
        <w:tc>
          <w:tcPr>
            <w:tcW w:w="4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68</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1"/>
        </w:trPr>
        <w:tc>
          <w:tcPr>
            <w:tcW w:w="3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2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w:t>
      </w:r>
    </w:p>
    <w:p>
      <w:pPr>
        <w:spacing w:after="0" w:line="53"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14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18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prospects of the property and casualty (“P&amp;C”) insurance industry and our company;</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developing market for subscription services and uncertainties related to this sales and delivery model, including the migration of our existing term license customers to cloud-based offerings on a subscription basis, the security of our cloud-based operations, or failure to meet stipulated service levels with our subscription services;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gross and operating margins and factors that affect such margins, including costs related to operating, securing and enhancing our subscription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and timing of future sales, including the mix between license and subscription revenue and seasonality;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environment and changes thereto;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attributes of our software applications and delivery models;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in our revenue mix resulting in potential declines in our subscription and support gross margin or our services gross margin;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orders from a relatively small number of customers in the P&amp;C insurance industry for a substantial portion of our revenue and Annual Recurring Revenue (“ARR”);</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number of professional services engagements and the billing rates and utilization of our professional services employees and contractors;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to further increase sales both in the United States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failure of any of our established services or products to satisfy customer demands or to maintain market acceptance;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implementation cycles are lengthy and variable, depend upon factors outside our control, and could cause us to expend significant time and resources prior to generating revenue;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large customers have substantial negotiating leverage, which may require that we agree to terms and conditions that result in increased cost of revenue, decreased revenue, and lower average selling prices and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customers renewing and expanding their license, support, and subscription contracts for our services and products;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to develop, introduce, and market new and enhanced versions of our services and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research and development and cloud operations investment and efforts;</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current and evolving local and foreign data privacy laws, including the General Data Protection Regulation in the European Union (“EU”) and in the United Kingdom (“U.K.”),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existing and hiring new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to be incurred, and benefits to be achieved, from our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provision for tax liabilities, judgments related to revenue recognition, and other critical accounting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 of any share repurchases by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new or revised regulations, laws, including tax laws in jurisdictions in which we operate, and accounting standards;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our ability to apply accounting guidance that requires management to make estimates and assumptions and to adapt to and interpret the requirements of new guidance, to clearly explain to stockholders how new guidance affects reporting of our results of operations, and to develop and maintain effective disclosure controls and procedures or internal controls to prevent errors and fraud;</w:t>
      </w:r>
    </w:p>
    <w:p>
      <w:pPr>
        <w:spacing w:after="0" w:line="129" w:lineRule="exact"/>
        <w:rPr>
          <w:rFonts w:ascii="Arial" w:cs="Arial" w:eastAsia="Arial" w:hAnsi="Arial"/>
          <w:sz w:val="18"/>
          <w:szCs w:val="18"/>
          <w:b w:val="1"/>
          <w:bCs w:val="1"/>
          <w:i w:val="1"/>
          <w:iCs w:val="1"/>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exposure to market risks, including geographical and political events such as escalation in the ongoing conflict between Russia and Ukraine, supply chain disruptions, and inflation, that may negatively impact our customers, partners, and vendors or our business operations;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data privacy concerns could result in regulatory changes and impose additional costs and liabilities on us and limit our use of information;</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and future mutations or related strains of the virus on the U.S. and global economies, our business, our employees, results of operations, financial condition, demand for our products, sales and implementation cycles, and the health of our customers’ and partners’ businesses;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security breaches of our cloud-based services or products or unauthorized access to our customers’ or employees’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which could result in securities class action litigation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future liquidity requirements.</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summary risk factors described above should be read together with the text of the Risk Factors included in Item 1A of Part II of this Quarterly Report on Form 10-Q and the other information set forth in this Quarterly Report on Form 10-Q, including our condensed consolidated financial statements and related notes thereto, as well as in other documents that we file with the U.S. Securities and Exchange Commission (the “SEC”). Additional risks and uncertainties beyond those summarized above or discussed elsewhere in this Quarterly Report on Form 10-Q may apply to our business, activities, or operations as currently conducted or as we may conduct them in the future or in the markets in which we operate or may in the future operate.</w:t>
      </w:r>
    </w:p>
    <w:p>
      <w:pPr>
        <w:spacing w:after="0" w:line="19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_____________</w:t>
      </w:r>
    </w:p>
    <w:p>
      <w:pPr>
        <w:spacing w:after="0" w:line="200" w:lineRule="exact"/>
        <w:rPr>
          <w:sz w:val="20"/>
          <w:szCs w:val="20"/>
          <w:color w:val="auto"/>
        </w:rPr>
      </w:pPr>
    </w:p>
    <w:p>
      <w:pPr>
        <w:spacing w:after="0" w:line="36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Unless the context requires otherwise, we are referring to Guidewire Software, Inc., together with its subsidiaries, when we use the terms “Guidewire,” the “Company,” “we,” “our,” or “us.”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200" w:lineRule="exact"/>
        <w:rPr>
          <w:sz w:val="20"/>
          <w:szCs w:val="20"/>
          <w:color w:val="auto"/>
        </w:rPr>
      </w:pPr>
    </w:p>
    <w:p>
      <w:pPr>
        <w:spacing w:after="0" w:line="24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rPr>
              <w:t>GUIDEWIRE SOFTWARE, INC. AND SUBSIDIARIES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jc w:val="center"/>
              <w:ind w:left="2550"/>
              <w:spacing w:after="0"/>
              <w:rPr>
                <w:sz w:val="20"/>
                <w:szCs w:val="20"/>
                <w:color w:val="auto"/>
              </w:rPr>
            </w:pPr>
            <w:r>
              <w:rPr>
                <w:rFonts w:ascii="Arial" w:cs="Arial" w:eastAsia="Arial" w:hAnsi="Arial"/>
                <w:sz w:val="18"/>
                <w:szCs w:val="18"/>
                <w:b w:val="1"/>
                <w:bCs w:val="1"/>
                <w:color w:val="auto"/>
                <w:w w:val="89"/>
              </w:rPr>
              <w:t>(unaudited, in thousands)</w:t>
            </w: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160" w:type="dxa"/>
            <w:vAlign w:val="bottom"/>
            <w:gridSpan w:val="3"/>
          </w:tcPr>
          <w:p>
            <w:pPr>
              <w:ind w:left="580"/>
              <w:spacing w:after="0"/>
              <w:rPr>
                <w:sz w:val="20"/>
                <w:szCs w:val="20"/>
                <w:color w:val="auto"/>
              </w:rPr>
            </w:pPr>
            <w:r>
              <w:rPr>
                <w:rFonts w:ascii="Arial" w:cs="Arial" w:eastAsia="Arial" w:hAnsi="Arial"/>
                <w:sz w:val="18"/>
                <w:szCs w:val="18"/>
                <w:b w:val="1"/>
                <w:bCs w:val="1"/>
                <w:color w:val="auto"/>
              </w:rPr>
              <w:t>January 31,</w:t>
            </w:r>
          </w:p>
        </w:tc>
        <w:tc>
          <w:tcPr>
            <w:tcW w:w="420" w:type="dxa"/>
            <w:vAlign w:val="bottom"/>
          </w:tcPr>
          <w:p>
            <w:pPr>
              <w:spacing w:after="0"/>
              <w:rPr>
                <w:sz w:val="24"/>
                <w:szCs w:val="24"/>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606,303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439,833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369,865</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allowances of $31 and $359, respectively</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Unbilled accounts receivable,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100,313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71,515</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1,006,263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1,252,703</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187,507</w:t>
            </w:r>
          </w:p>
        </w:tc>
        <w:tc>
          <w:tcPr>
            <w:tcW w:w="0" w:type="dxa"/>
            <w:vAlign w:val="bottom"/>
          </w:tcPr>
          <w:p>
            <w:pPr>
              <w:spacing w:after="0"/>
              <w:rPr>
                <w:sz w:val="1"/>
                <w:szCs w:val="1"/>
                <w:color w:val="auto"/>
              </w:rPr>
            </w:pP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Unbilled accounts receivable,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13,914</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80,740</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Operating lease assets</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85,479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90,287</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21,361</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372,214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372,192</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191,461</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56,732</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2,003,947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2,266,897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38,025</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40,440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90,962</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Deferred revenue,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145,963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170,776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275,209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337,518</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105,123</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Convertible senior notes,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396,316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358,216</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815,240</w:t>
            </w:r>
          </w:p>
        </w:tc>
        <w:tc>
          <w:tcPr>
            <w:tcW w:w="0" w:type="dxa"/>
            <w:vAlign w:val="bottom"/>
          </w:tcPr>
          <w:p>
            <w:pPr>
              <w:spacing w:after="0"/>
              <w:rPr>
                <w:sz w:val="1"/>
                <w:szCs w:val="1"/>
                <w:color w:val="auto"/>
              </w:rPr>
            </w:pP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1,719,020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1,755,476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(19,845)</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Retained earnings (accumulated deficit)</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(482,795)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(283,982)</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1,220,172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1,451,657</w:t>
            </w:r>
          </w:p>
        </w:tc>
        <w:tc>
          <w:tcPr>
            <w:tcW w:w="0" w:type="dxa"/>
            <w:vAlign w:val="bottom"/>
          </w:tcPr>
          <w:p>
            <w:pPr>
              <w:spacing w:after="0"/>
              <w:rPr>
                <w:sz w:val="1"/>
                <w:szCs w:val="1"/>
                <w:color w:val="auto"/>
              </w:rPr>
            </w:pPr>
          </w:p>
        </w:tc>
      </w:tr>
      <w:tr>
        <w:trPr>
          <w:trHeight w:val="223"/>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2,003,947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2,266,897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rPr>
              <w:t>GUIDEWIRE SOFTWARE, INC. AND SUBSIDIARIES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gridSpan w:val="7"/>
          </w:tcPr>
          <w:p>
            <w:pPr>
              <w:jc w:val="center"/>
              <w:ind w:left="9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88"/>
              </w:rPr>
              <w:t>(unaudited, in thousands except shares and per share amounts)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January</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January 31,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105,754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84,297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204,822</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163,287</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109,951</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97,329</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232,611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204,633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427,893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370,567</w:t>
            </w:r>
          </w:p>
        </w:tc>
        <w:tc>
          <w:tcPr>
            <w:tcW w:w="0" w:type="dxa"/>
            <w:vAlign w:val="bottom"/>
          </w:tcPr>
          <w:p>
            <w:pPr>
              <w:spacing w:after="0"/>
              <w:rPr>
                <w:sz w:val="1"/>
                <w:szCs w:val="1"/>
                <w:color w:val="auto"/>
              </w:rPr>
            </w:pPr>
          </w:p>
        </w:tc>
      </w:tr>
      <w:tr>
        <w:trPr>
          <w:trHeight w:val="209"/>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License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99,063</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232,278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199,982</w:t>
            </w:r>
          </w:p>
        </w:tc>
        <w:tc>
          <w:tcPr>
            <w:tcW w:w="0" w:type="dxa"/>
            <w:vAlign w:val="bottom"/>
          </w:tcPr>
          <w:p>
            <w:pPr>
              <w:spacing w:after="0"/>
              <w:rPr>
                <w:sz w:val="1"/>
                <w:szCs w:val="1"/>
                <w:color w:val="auto"/>
              </w:rPr>
            </w:pPr>
          </w:p>
        </w:tc>
      </w:tr>
      <w:tr>
        <w:trPr>
          <w:trHeight w:val="210"/>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100,207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66,961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105,358</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170,585</w:t>
            </w:r>
          </w:p>
        </w:tc>
        <w:tc>
          <w:tcPr>
            <w:tcW w:w="0" w:type="dxa"/>
            <w:vAlign w:val="bottom"/>
          </w:tcPr>
          <w:p>
            <w:pPr>
              <w:spacing w:after="0"/>
              <w:rPr>
                <w:sz w:val="1"/>
                <w:szCs w:val="1"/>
                <w:color w:val="auto"/>
              </w:rPr>
            </w:pPr>
          </w:p>
        </w:tc>
      </w:tr>
      <w:tr>
        <w:trPr>
          <w:trHeight w:val="210"/>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89,512</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141,648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293,384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275,419</w:t>
            </w:r>
          </w:p>
        </w:tc>
        <w:tc>
          <w:tcPr>
            <w:tcW w:w="0" w:type="dxa"/>
            <w:vAlign w:val="bottom"/>
          </w:tcPr>
          <w:p>
            <w:pPr>
              <w:spacing w:after="0"/>
              <w:rPr>
                <w:sz w:val="1"/>
                <w:szCs w:val="1"/>
                <w:color w:val="auto"/>
              </w:rPr>
            </w:pPr>
          </w:p>
        </w:tc>
      </w:tr>
      <w:tr>
        <w:trPr>
          <w:trHeight w:val="22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2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(119,950)</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(27,993)</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Shares used in computing net income (loss)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82,051,867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83,413,643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82,686,420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83,430,693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5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rPr>
              <w:t>GUIDEWIRE SOFTWARE, INC. AND SUBSIDIARIES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6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80" w:type="dxa"/>
            <w:vAlign w:val="bottom"/>
            <w:gridSpan w:val="4"/>
          </w:tcPr>
          <w:p>
            <w:pPr>
              <w:jc w:val="center"/>
              <w:ind w:left="2270"/>
              <w:spacing w:after="0"/>
              <w:rPr>
                <w:sz w:val="20"/>
                <w:szCs w:val="20"/>
                <w:color w:val="auto"/>
              </w:rPr>
            </w:pPr>
            <w:r>
              <w:rPr>
                <w:rFonts w:ascii="Arial" w:cs="Arial" w:eastAsia="Arial" w:hAnsi="Arial"/>
                <w:sz w:val="18"/>
                <w:szCs w:val="18"/>
                <w:b w:val="1"/>
                <w:bCs w:val="1"/>
                <w:color w:val="auto"/>
                <w:w w:val="89"/>
              </w:rPr>
              <w:t>(unaudited, 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January</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31,</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January 31,</w:t>
            </w: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(91,957)</w:t>
            </w:r>
          </w:p>
        </w:tc>
      </w:tr>
      <w:tr>
        <w:trPr>
          <w:trHeight w:val="230"/>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r>
      <w:tr>
        <w:trPr>
          <w:trHeight w:val="229"/>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(3,655)</w:t>
            </w:r>
          </w:p>
        </w:tc>
      </w:tr>
      <w:tr>
        <w:trPr>
          <w:trHeight w:val="176"/>
        </w:trPr>
        <w:tc>
          <w:tcPr>
            <w:tcW w:w="340" w:type="dxa"/>
            <w:vAlign w:val="bottom"/>
            <w:shd w:val="clear" w:color="auto" w:fill="CCEEFF"/>
          </w:tcPr>
          <w:p>
            <w:pPr>
              <w:spacing w:after="0"/>
              <w:rPr>
                <w:sz w:val="15"/>
                <w:szCs w:val="15"/>
                <w:color w:val="auto"/>
              </w:rPr>
            </w:pPr>
          </w:p>
        </w:tc>
        <w:tc>
          <w:tcPr>
            <w:tcW w:w="5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Tax benefit (expense) on unrealized gains (losses) on available-for-sale</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4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175"/>
        </w:trPr>
        <w:tc>
          <w:tcPr>
            <w:tcW w:w="340" w:type="dxa"/>
            <w:vAlign w:val="bottom"/>
          </w:tcPr>
          <w:p>
            <w:pPr>
              <w:spacing w:after="0"/>
              <w:rPr>
                <w:sz w:val="15"/>
                <w:szCs w:val="15"/>
                <w:color w:val="auto"/>
              </w:rPr>
            </w:pPr>
          </w:p>
        </w:tc>
        <w:tc>
          <w:tcPr>
            <w:tcW w:w="56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0"/>
              </w:rPr>
              <w:t>Reclassification adjustment for realized gains (losses) included in net income</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4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r>
      <w:tr>
        <w:trPr>
          <w:trHeight w:val="223"/>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(44,955)</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(97,753)</w:t>
            </w: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85" w:lineRule="auto"/>
        <w:rPr>
          <w:sz w:val="20"/>
          <w:szCs w:val="20"/>
          <w:color w:val="auto"/>
        </w:rPr>
      </w:pPr>
      <w:r>
        <w:rPr>
          <w:rFonts w:ascii="Arial" w:cs="Arial" w:eastAsia="Arial" w:hAnsi="Arial"/>
          <w:sz w:val="16"/>
          <w:szCs w:val="16"/>
          <w:b w:val="1"/>
          <w:bCs w:val="1"/>
          <w:color w:val="auto"/>
        </w:rPr>
        <w:t>GU</w:t>
      </w:r>
      <w:r>
        <w:rPr>
          <w:rFonts w:ascii="Arial" w:cs="Arial" w:eastAsia="Arial" w:hAnsi="Arial"/>
          <w:sz w:val="17"/>
          <w:szCs w:val="17"/>
          <w:b w:val="1"/>
          <w:bCs w:val="1"/>
          <w:color w:val="auto"/>
        </w:rPr>
        <w:t>IDEWIRE SOFTWARE, INC. AND SUBSIDIARIES</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CONDENSED CONSOLIDATED STATEMENTS OF CHANGES IN STOCKHOLDERS’ EQUITY (unaudited, in thousands except share amounts)</w:t>
      </w:r>
    </w:p>
    <w:tbl>
      <w:tblPr>
        <w:tblLayout w:type="fixed"/>
        <w:tblInd w:w="0" w:type="dxa"/>
        <w:tblCellMar>
          <w:top w:w="0" w:type="dxa"/>
          <w:left w:w="0" w:type="dxa"/>
          <w:bottom w:w="0" w:type="dxa"/>
          <w:right w:w="0" w:type="dxa"/>
        </w:tblCellMar>
      </w:tblPr>
      <w:tr>
        <w:trPr>
          <w:trHeight w:val="150"/>
        </w:trPr>
        <w:tc>
          <w:tcPr>
            <w:tcW w:w="4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50" w:lineRule="exact"/>
              <w:rPr>
                <w:sz w:val="20"/>
                <w:szCs w:val="20"/>
                <w:color w:val="auto"/>
              </w:rPr>
            </w:pPr>
            <w:r>
              <w:rPr>
                <w:rFonts w:ascii="Arial" w:cs="Arial" w:eastAsia="Arial" w:hAnsi="Arial"/>
                <w:sz w:val="14"/>
                <w:szCs w:val="14"/>
                <w:b w:val="1"/>
                <w:bCs w:val="1"/>
                <w:color w:val="auto"/>
                <w:w w:val="93"/>
              </w:rPr>
              <w:t>Accumulated</w:t>
            </w: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13"/>
                <w:szCs w:val="13"/>
                <w:color w:val="auto"/>
              </w:rPr>
            </w:pPr>
          </w:p>
        </w:tc>
        <w:tc>
          <w:tcPr>
            <w:tcW w:w="10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other</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3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8"/>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84,084,209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1,755,476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(19,845)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(283,982)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1,451,657</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(69,318)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(69,318)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Issuance of common stock upon vesting of restricted stock units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373,380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("RSUs")</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35,249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35,249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(2,581,478)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(160,000)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143"/>
        </w:trPr>
        <w:tc>
          <w:tcPr>
            <w:tcW w:w="4360" w:type="dxa"/>
            <w:vAlign w:val="bottom"/>
          </w:tcPr>
          <w:p>
            <w:pPr>
              <w:ind w:left="220"/>
              <w:spacing w:after="0" w:line="143" w:lineRule="exact"/>
              <w:rPr>
                <w:sz w:val="20"/>
                <w:szCs w:val="20"/>
                <w:color w:val="auto"/>
              </w:rPr>
            </w:pPr>
            <w:r>
              <w:rPr>
                <w:rFonts w:ascii="Arial" w:cs="Arial" w:eastAsia="Arial" w:hAnsi="Arial"/>
                <w:sz w:val="14"/>
                <w:szCs w:val="14"/>
                <w:color w:val="auto"/>
                <w:w w:val="99"/>
              </w:rPr>
              <w:t>Reclassification adjustment for realized gain (loss) on available-for-</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8"/>
        </w:trPr>
        <w:tc>
          <w:tcPr>
            <w:tcW w:w="4360" w:type="dxa"/>
            <w:vAlign w:val="bottom"/>
          </w:tcPr>
          <w:p>
            <w:pPr>
              <w:ind w:left="220"/>
              <w:spacing w:after="0"/>
              <w:rPr>
                <w:sz w:val="20"/>
                <w:szCs w:val="20"/>
                <w:color w:val="auto"/>
              </w:rPr>
            </w:pPr>
            <w:r>
              <w:rPr>
                <w:rFonts w:ascii="Arial" w:cs="Arial" w:eastAsia="Arial" w:hAnsi="Arial"/>
                <w:sz w:val="14"/>
                <w:szCs w:val="14"/>
                <w:color w:val="auto"/>
              </w:rPr>
              <w:t>sale securities, included in net income (loss)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Adoption of Accounting Standards Update ("ASU") 2020-06</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(28,309)</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October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81,876,111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1,682,722</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(23,963)</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(473,606)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1,185,161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(9,189)</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336,440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36,296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36,296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9"/>
              </w:rPr>
              <w:t>Reclassification adjustment for realized gain (loss) on available-for-</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88"/>
        </w:trPr>
        <w:tc>
          <w:tcPr>
            <w:tcW w:w="4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 securities, included in net income (loss)</w:t>
            </w: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31, 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82,212,768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1,719,020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(16,061)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(482,795)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1,220,172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Retained earnings</w:t>
            </w:r>
          </w:p>
        </w:tc>
        <w:tc>
          <w:tcPr>
            <w:tcW w:w="140" w:type="dxa"/>
            <w:vAlign w:val="bottom"/>
          </w:tcPr>
          <w:p>
            <w:pPr>
              <w:spacing w:after="0"/>
              <w:rPr>
                <w:sz w:val="24"/>
                <w:szCs w:val="24"/>
                <w:color w:val="auto"/>
              </w:rPr>
            </w:pPr>
          </w:p>
        </w:tc>
        <w:tc>
          <w:tcPr>
            <w:tcW w:w="10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other</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3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60"/>
              <w:spacing w:after="0" w:line="11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1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line="11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8"/>
              <w:spacing w:after="0" w:line="11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83,194,157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1,617,204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(66,100)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1,544,894</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(51,276)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(51,276)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840" w:type="dxa"/>
            <w:vAlign w:val="bottom"/>
          </w:tcPr>
          <w:p>
            <w:pPr>
              <w:jc w:val="right"/>
              <w:spacing w:after="0"/>
              <w:rPr>
                <w:sz w:val="20"/>
                <w:szCs w:val="20"/>
                <w:color w:val="auto"/>
              </w:rPr>
            </w:pPr>
            <w:r>
              <w:rPr>
                <w:rFonts w:ascii="Arial" w:cs="Arial" w:eastAsia="Arial" w:hAnsi="Arial"/>
                <w:sz w:val="14"/>
                <w:szCs w:val="14"/>
                <w:color w:val="auto"/>
              </w:rPr>
              <w:t>335,653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32,533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32,533</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(226,172)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(26,262)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3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9"/>
              </w:rPr>
              <w:t>Reclassification adjustment for realized gain (loss) on available-for-</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sale securities, included in net income (loss)</w:t>
            </w:r>
          </w:p>
        </w:tc>
        <w:tc>
          <w:tcPr>
            <w:tcW w:w="920" w:type="dxa"/>
            <w:vAlign w:val="bottom"/>
            <w:tcBorders>
              <w:bottom w:val="single" w:sz="8" w:color="CCEEFF"/>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October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83,305,156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1,649,754</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(7,741)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(143,638)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1,498,383</w:t>
            </w: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(40,681)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(40,681)</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7,230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329,987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38,148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38,148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(96,373)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(11,189)</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Unrealized gain (loss) on available-for-sale securities, net of tax</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135"/>
        </w:trPr>
        <w:tc>
          <w:tcPr>
            <w:tcW w:w="4360" w:type="dxa"/>
            <w:vAlign w:val="bottom"/>
          </w:tcPr>
          <w:p>
            <w:pPr>
              <w:ind w:left="220"/>
              <w:spacing w:after="0" w:line="135" w:lineRule="exact"/>
              <w:rPr>
                <w:sz w:val="20"/>
                <w:szCs w:val="20"/>
                <w:color w:val="auto"/>
              </w:rPr>
            </w:pPr>
            <w:r>
              <w:rPr>
                <w:rFonts w:ascii="Arial" w:cs="Arial" w:eastAsia="Arial" w:hAnsi="Arial"/>
                <w:sz w:val="14"/>
                <w:szCs w:val="14"/>
                <w:color w:val="auto"/>
                <w:w w:val="99"/>
              </w:rPr>
              <w:t>Reclassification adjustment for realized gain (loss) on available-for-</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rPr>
                <w:sz w:val="20"/>
                <w:szCs w:val="20"/>
                <w:color w:val="auto"/>
              </w:rPr>
            </w:pPr>
            <w:r>
              <w:rPr>
                <w:rFonts w:ascii="Arial" w:cs="Arial" w:eastAsia="Arial" w:hAnsi="Arial"/>
                <w:sz w:val="14"/>
                <w:szCs w:val="14"/>
                <w:color w:val="auto"/>
              </w:rPr>
              <w:t>sale securities, included in net income (loss)</w:t>
            </w: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83,546,000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1,687,982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(12,014)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(195,508)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1,480,468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Six Months Ended January 31,</w:t>
            </w:r>
          </w:p>
        </w:tc>
        <w:tc>
          <w:tcPr>
            <w:tcW w:w="760" w:type="dxa"/>
            <w:vAlign w:val="bottom"/>
            <w:tcBorders>
              <w:bottom w:val="single" w:sz="8" w:color="auto"/>
            </w:tcBorders>
          </w:tcPr>
          <w:p>
            <w:pPr>
              <w:spacing w:after="0"/>
              <w:rPr>
                <w:sz w:val="18"/>
                <w:szCs w:val="18"/>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(78,507)</w:t>
            </w:r>
          </w:p>
        </w:tc>
        <w:tc>
          <w:tcPr>
            <w:tcW w:w="8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(91,957)</w:t>
            </w:r>
          </w:p>
        </w:tc>
      </w:tr>
      <w:tr>
        <w:trPr>
          <w:trHeight w:val="219"/>
        </w:trPr>
        <w:tc>
          <w:tcPr>
            <w:tcW w:w="70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Adjustments to reconcile net income (loss) to net cash provided by (used in) operating activities: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700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14,229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16,979</w:t>
            </w:r>
          </w:p>
        </w:tc>
      </w:tr>
      <w:tr>
        <w:trPr>
          <w:trHeight w:val="219"/>
        </w:trPr>
        <w:tc>
          <w:tcPr>
            <w:tcW w:w="7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 of debt discount and issuance costs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r>
      <w:tr>
        <w:trPr>
          <w:trHeight w:val="213"/>
        </w:trPr>
        <w:tc>
          <w:tcPr>
            <w:tcW w:w="7000" w:type="dxa"/>
            <w:vAlign w:val="bottom"/>
          </w:tcPr>
          <w:p>
            <w:pPr>
              <w:ind w:left="520"/>
              <w:spacing w:after="0"/>
              <w:rPr>
                <w:sz w:val="20"/>
                <w:szCs w:val="20"/>
                <w:color w:val="auto"/>
              </w:rPr>
            </w:pPr>
            <w:r>
              <w:rPr>
                <w:rFonts w:ascii="Arial" w:cs="Arial" w:eastAsia="Arial" w:hAnsi="Arial"/>
                <w:sz w:val="16"/>
                <w:szCs w:val="16"/>
                <w:color w:val="auto"/>
              </w:rPr>
              <w:t>Amortization of contract costs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8,597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6,310</w:t>
            </w:r>
          </w:p>
        </w:tc>
      </w:tr>
      <w:tr>
        <w:trPr>
          <w:trHeight w:val="219"/>
        </w:trPr>
        <w:tc>
          <w:tcPr>
            <w:tcW w:w="7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Stock-based compensation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70,105</w:t>
            </w:r>
          </w:p>
        </w:tc>
      </w:tr>
      <w:tr>
        <w:trPr>
          <w:trHeight w:val="213"/>
        </w:trPr>
        <w:tc>
          <w:tcPr>
            <w:tcW w:w="7000" w:type="dxa"/>
            <w:vAlign w:val="bottom"/>
          </w:tcPr>
          <w:p>
            <w:pPr>
              <w:ind w:left="520"/>
              <w:spacing w:after="0"/>
              <w:rPr>
                <w:sz w:val="20"/>
                <w:szCs w:val="20"/>
                <w:color w:val="auto"/>
              </w:rPr>
            </w:pPr>
            <w:r>
              <w:rPr>
                <w:rFonts w:ascii="Arial" w:cs="Arial" w:eastAsia="Arial" w:hAnsi="Arial"/>
                <w:sz w:val="16"/>
                <w:szCs w:val="16"/>
                <w:color w:val="auto"/>
              </w:rPr>
              <w:t>Changes to allowance for credit losses and revenue reserves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7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Deferred income tax</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(30,249)</w:t>
            </w:r>
          </w:p>
        </w:tc>
      </w:tr>
      <w:tr>
        <w:trPr>
          <w:trHeight w:val="213"/>
        </w:trPr>
        <w:tc>
          <w:tcPr>
            <w:tcW w:w="7000" w:type="dxa"/>
            <w:vAlign w:val="bottom"/>
          </w:tcPr>
          <w:p>
            <w:pPr>
              <w:ind w:left="520"/>
              <w:spacing w:after="0"/>
              <w:rPr>
                <w:sz w:val="20"/>
                <w:szCs w:val="20"/>
                <w:color w:val="auto"/>
              </w:rPr>
            </w:pPr>
            <w:r>
              <w:rPr>
                <w:rFonts w:ascii="Arial" w:cs="Arial" w:eastAsia="Arial" w:hAnsi="Arial"/>
                <w:sz w:val="16"/>
                <w:szCs w:val="16"/>
                <w:color w:val="auto"/>
              </w:rPr>
              <w:t>Amortization of premium (accretion of discount) on available-for-sale securities,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3,315</w:t>
            </w:r>
          </w:p>
        </w:tc>
      </w:tr>
      <w:tr>
        <w:trPr>
          <w:trHeight w:val="219"/>
        </w:trPr>
        <w:tc>
          <w:tcPr>
            <w:tcW w:w="7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Other non-cash items affecting net income (loss)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700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w:t>
            </w:r>
          </w:p>
        </w:tc>
      </w:tr>
      <w:tr>
        <w:trPr>
          <w:trHeight w:val="213"/>
        </w:trPr>
        <w:tc>
          <w:tcPr>
            <w:tcW w:w="7000" w:type="dxa"/>
            <w:vAlign w:val="bottom"/>
          </w:tcPr>
          <w:p>
            <w:pPr>
              <w:ind w:left="680"/>
              <w:spacing w:after="0"/>
              <w:rPr>
                <w:sz w:val="20"/>
                <w:szCs w:val="20"/>
                <w:color w:val="auto"/>
              </w:rPr>
            </w:pPr>
            <w:r>
              <w:rPr>
                <w:rFonts w:ascii="Arial" w:cs="Arial" w:eastAsia="Arial" w:hAnsi="Arial"/>
                <w:sz w:val="16"/>
                <w:szCs w:val="16"/>
                <w:color w:val="auto"/>
              </w:rPr>
              <w:t>Unbilled accounts receivable</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(29,460)</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9"/>
        </w:trPr>
        <w:tc>
          <w:tcPr>
            <w:tcW w:w="7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(13,335)</w:t>
            </w:r>
          </w:p>
        </w:tc>
      </w:tr>
      <w:tr>
        <w:trPr>
          <w:trHeight w:val="213"/>
        </w:trPr>
        <w:tc>
          <w:tcPr>
            <w:tcW w:w="7000" w:type="dxa"/>
            <w:vAlign w:val="bottom"/>
          </w:tcPr>
          <w:p>
            <w:pPr>
              <w:ind w:left="680"/>
              <w:spacing w:after="0"/>
              <w:rPr>
                <w:sz w:val="20"/>
                <w:szCs w:val="20"/>
                <w:color w:val="auto"/>
              </w:rPr>
            </w:pPr>
            <w:r>
              <w:rPr>
                <w:rFonts w:ascii="Arial" w:cs="Arial" w:eastAsia="Arial" w:hAnsi="Arial"/>
                <w:sz w:val="16"/>
                <w:szCs w:val="16"/>
                <w:color w:val="auto"/>
              </w:rPr>
              <w:t>Operating lease assets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4,808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5,667</w:t>
            </w:r>
          </w:p>
        </w:tc>
      </w:tr>
      <w:tr>
        <w:trPr>
          <w:trHeight w:val="219"/>
        </w:trPr>
        <w:tc>
          <w:tcPr>
            <w:tcW w:w="7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r>
      <w:tr>
        <w:trPr>
          <w:trHeight w:val="213"/>
        </w:trPr>
        <w:tc>
          <w:tcPr>
            <w:tcW w:w="7000" w:type="dxa"/>
            <w:vAlign w:val="bottom"/>
          </w:tcPr>
          <w:p>
            <w:pPr>
              <w:ind w:left="680"/>
              <w:spacing w:after="0"/>
              <w:rPr>
                <w:sz w:val="20"/>
                <w:szCs w:val="20"/>
                <w:color w:val="auto"/>
              </w:rPr>
            </w:pPr>
            <w:r>
              <w:rPr>
                <w:rFonts w:ascii="Arial" w:cs="Arial" w:eastAsia="Arial" w:hAnsi="Arial"/>
                <w:sz w:val="16"/>
                <w:szCs w:val="16"/>
                <w:color w:val="auto"/>
              </w:rPr>
              <w:t>Accrued employee compensation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(32,539)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(47,323)</w:t>
            </w:r>
          </w:p>
        </w:tc>
      </w:tr>
      <w:tr>
        <w:trPr>
          <w:trHeight w:val="219"/>
        </w:trPr>
        <w:tc>
          <w:tcPr>
            <w:tcW w:w="7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(17,826)</w:t>
            </w:r>
          </w:p>
        </w:tc>
      </w:tr>
      <w:tr>
        <w:trPr>
          <w:trHeight w:val="213"/>
        </w:trPr>
        <w:tc>
          <w:tcPr>
            <w:tcW w:w="7000" w:type="dxa"/>
            <w:vAlign w:val="bottom"/>
          </w:tcPr>
          <w:p>
            <w:pPr>
              <w:ind w:left="680"/>
              <w:spacing w:after="0"/>
              <w:rPr>
                <w:sz w:val="20"/>
                <w:szCs w:val="20"/>
                <w:color w:val="auto"/>
              </w:rPr>
            </w:pPr>
            <w:r>
              <w:rPr>
                <w:rFonts w:ascii="Arial" w:cs="Arial" w:eastAsia="Arial" w:hAnsi="Arial"/>
                <w:sz w:val="16"/>
                <w:szCs w:val="16"/>
                <w:color w:val="auto"/>
              </w:rPr>
              <w:t>Lease liabilities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(5,717)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(6,817)</w:t>
            </w:r>
          </w:p>
        </w:tc>
      </w:tr>
      <w:tr>
        <w:trPr>
          <w:trHeight w:val="219"/>
        </w:trPr>
        <w:tc>
          <w:tcPr>
            <w:tcW w:w="7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(2,303)</w:t>
            </w:r>
          </w:p>
        </w:tc>
      </w:tr>
      <w:tr>
        <w:trPr>
          <w:trHeight w:val="206"/>
        </w:trPr>
        <w:tc>
          <w:tcPr>
            <w:tcW w:w="700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Net cash provided by (used in) operating activities</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(86,215)</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(110,052)</w:t>
            </w:r>
          </w:p>
        </w:tc>
      </w:tr>
      <w:tr>
        <w:trPr>
          <w:trHeight w:val="19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Arial" w:cs="Arial" w:eastAsia="Arial" w:hAnsi="Arial"/>
                <w:sz w:val="16"/>
                <w:szCs w:val="16"/>
                <w:color w:val="auto"/>
              </w:rPr>
              <w:t>Purchases of available-for-sale securities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(270,329)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(367,114)</w:t>
            </w: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available-for-sale securities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202,115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50,361</w:t>
            </w:r>
          </w:p>
        </w:tc>
      </w:tr>
      <w:tr>
        <w:trPr>
          <w:trHeight w:val="213"/>
        </w:trPr>
        <w:tc>
          <w:tcPr>
            <w:tcW w:w="7000" w:type="dxa"/>
            <w:vAlign w:val="bottom"/>
          </w:tcPr>
          <w:p>
            <w:pPr>
              <w:ind w:left="220"/>
              <w:spacing w:after="0"/>
              <w:rPr>
                <w:sz w:val="20"/>
                <w:szCs w:val="20"/>
                <w:color w:val="auto"/>
              </w:rPr>
            </w:pPr>
            <w:r>
              <w:rPr>
                <w:rFonts w:ascii="Arial" w:cs="Arial" w:eastAsia="Arial" w:hAnsi="Arial"/>
                <w:sz w:val="16"/>
                <w:szCs w:val="16"/>
                <w:color w:val="auto"/>
              </w:rPr>
              <w:t>Maturities of available-for-sale securities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33,268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415,265</w:t>
            </w: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w:t>
            </w:r>
          </w:p>
        </w:tc>
      </w:tr>
      <w:tr>
        <w:trPr>
          <w:trHeight w:val="213"/>
        </w:trPr>
        <w:tc>
          <w:tcPr>
            <w:tcW w:w="7000" w:type="dxa"/>
            <w:vAlign w:val="bottom"/>
          </w:tcPr>
          <w:p>
            <w:pPr>
              <w:ind w:left="220"/>
              <w:spacing w:after="0"/>
              <w:rPr>
                <w:sz w:val="20"/>
                <w:szCs w:val="20"/>
                <w:color w:val="auto"/>
              </w:rPr>
            </w:pPr>
            <w:r>
              <w:rPr>
                <w:rFonts w:ascii="Arial" w:cs="Arial" w:eastAsia="Arial" w:hAnsi="Arial"/>
                <w:sz w:val="16"/>
                <w:szCs w:val="16"/>
                <w:color w:val="auto"/>
              </w:rPr>
              <w:t>Capitalized software development costs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(6,118)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(6,197)</w:t>
            </w:r>
          </w:p>
        </w:tc>
      </w:tr>
      <w:tr>
        <w:trPr>
          <w:trHeight w:val="219"/>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of strategic investments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(10,521)</w:t>
            </w:r>
          </w:p>
        </w:tc>
      </w:tr>
      <w:tr>
        <w:trPr>
          <w:trHeight w:val="213"/>
        </w:trPr>
        <w:tc>
          <w:tcPr>
            <w:tcW w:w="7000" w:type="dxa"/>
            <w:vAlign w:val="bottom"/>
          </w:tcPr>
          <w:p>
            <w:pPr>
              <w:ind w:left="220"/>
              <w:spacing w:after="0"/>
              <w:rPr>
                <w:sz w:val="20"/>
                <w:szCs w:val="20"/>
                <w:color w:val="auto"/>
              </w:rPr>
            </w:pPr>
            <w:r>
              <w:rPr>
                <w:rFonts w:ascii="Arial" w:cs="Arial" w:eastAsia="Arial" w:hAnsi="Arial"/>
                <w:sz w:val="16"/>
                <w:szCs w:val="16"/>
                <w:color w:val="auto"/>
              </w:rPr>
              <w:t>Acquisition of business, net of acquired cash</w:t>
            </w:r>
          </w:p>
        </w:tc>
        <w:tc>
          <w:tcPr>
            <w:tcW w:w="1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(43,830)</w:t>
            </w:r>
          </w:p>
        </w:tc>
      </w:tr>
      <w:tr>
        <w:trPr>
          <w:trHeight w:val="213"/>
        </w:trPr>
        <w:tc>
          <w:tcPr>
            <w:tcW w:w="700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Net cash provided by (used in) investing activities</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(48,842)</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30,974</w:t>
            </w:r>
          </w:p>
        </w:tc>
      </w:tr>
      <w:tr>
        <w:trPr>
          <w:trHeight w:val="193"/>
        </w:trPr>
        <w:tc>
          <w:tcPr>
            <w:tcW w:w="70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Repurchase and retirement of common stock</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(37,451)</w:t>
            </w:r>
          </w:p>
        </w:tc>
      </w:tr>
      <w:tr>
        <w:trPr>
          <w:trHeight w:val="213"/>
        </w:trPr>
        <w:tc>
          <w:tcPr>
            <w:tcW w:w="700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provided by (used in) financing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(199,998)</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(37,353)</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(333,114)</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(119,238)</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614,686</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384,910</w:t>
            </w:r>
          </w:p>
        </w:tc>
      </w:tr>
      <w:tr>
        <w:trPr>
          <w:trHeight w:val="23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281,572</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265,672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196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2,500</w:t>
            </w:r>
          </w:p>
        </w:tc>
        <w:tc>
          <w:tcPr>
            <w:tcW w:w="94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9"/>
        </w:trPr>
        <w:tc>
          <w:tcPr>
            <w:tcW w:w="5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income taxes, net of tax refunds</w:t>
            </w:r>
          </w:p>
        </w:tc>
        <w:tc>
          <w:tcPr>
            <w:tcW w:w="19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9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Accruals for purchase of property and equipment</w:t>
            </w:r>
          </w:p>
        </w:tc>
        <w:tc>
          <w:tcPr>
            <w:tcW w:w="196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839</w:t>
            </w:r>
          </w:p>
        </w:tc>
        <w:tc>
          <w:tcPr>
            <w:tcW w:w="94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1,227</w:t>
            </w:r>
          </w:p>
        </w:tc>
      </w:tr>
      <w:tr>
        <w:trPr>
          <w:trHeight w:val="219"/>
        </w:trPr>
        <w:tc>
          <w:tcPr>
            <w:tcW w:w="5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Accruals for capitalized software development costs</w:t>
            </w:r>
          </w:p>
        </w:tc>
        <w:tc>
          <w:tcPr>
            <w:tcW w:w="19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9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 and Estimates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Company</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condensed consolidated financial statements have been prepared in accordance with generally accepted accounting principles in the United States of America (“GAAP”). The condensed consolidated financial statements and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Effective as of the beginning of fiscal year 2023, the Company revised its allocation methodology and presentation of certain expenses. The change resulted in facilities expenses, information technology infrastructure and software expenses, and information security infrastructure and software expenses being allocated to all functional departments based on headcount, with the remaining previously allocated costs being recorded within general and administrative expenses. The impact was an increase in general and administrative expenses and a decrease in cost of revenue and other operating expense categories. Accordingly, prior period amounts have been reclassified to conform to the current period presentation in the Company's condensed consolidated financial statements and the accompanying notes presented herein.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preparing the condensed consolidated financial statements and related disclosures in conformity with GAAP and pursuant to the rules and regulations of the SEC, the Company must make estimates and judgments that affect the amounts reported in the condensed consolidated financial statements and accompanying notes. Actual results may differ materially from these estimates.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have been no changes in the Company’s significant accounting policies from those that were disclosed in the Company’s consolidated financial statements included in its Annual Report on Form 10-K for the fiscal year ended July 31, 2022, except for those disclosed herein.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March 2018, the Company issued $400.0 million aggregate principal amount of 1.25% Convertible Senior Notes due 2025 (the “Convertible Senior Notes”). Prior to the adoption of ASU 2020-06 on August 1, 2022, upon the issuance of the Convertible Senior Notes, the Company separated the Convertible Senior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Convertible Senior Notes as a whole. The difference between the principal amount of the Convertible Senior Notes and the liability component was initially recorded as a debt discount and was amortized as interest expense using the effective interest method over the term of the Convertible Senior Notes. Refer to Recently Adopted Accounting Pronouncements section for the adoption impact of ASU 2020-06.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Unearned acquisition consideration holdback subject to service conditions is held in escrow and considered restricted cash. At January 31, 2023, $4.6 million was included in prepaid expenses and other current assets and $2.1 million was included in other assets in the condensed consolidated balance sheet.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customer accounted for 10% or more of the Company's revenue in any of the three and six month periods ended January 31, 2023 and 2022. No customer accounted for 10% or more of the Company's accounts receivable as of January 31, 2023 and July 31, 2022.</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18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On August 1, 2022, the Company adopted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In addition, this ASU amends the requirement for calculating diluted earnings per share for convertible instruments by using the “if-converted” method instead of the treasury stock method. The use of the “if-converted” method will not impact the Company's diluted earnings per share in the periods in which the Company has a net loss.</w:t>
      </w:r>
    </w:p>
    <w:p>
      <w:pPr>
        <w:spacing w:after="0" w:line="21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adopted the ASU using the modified retrospective transition method, and the prior period condensed consolidated financial statements have not been retrospectively adjusted and continue to be reported under the accounting standards in effect for that period. As a result of the adoption, the Company accounts for the Convertible Senior Notes as a single liability and no longer separately accounts for the liability and equity components. The adoption of this ASU also resulted in the de-recognition of a deferred tax liability, which represented a basis difference in the face value of the Convertible Senior Notes due to the previous allocation of a portion of the proceeds to the equity component. Additionally, the Company recorded a cumulative adjustment to decrease the beginning balance of the accumulated deficit on August 1, 2022, which represented a reversal of the previously recorded amortization of debt discount through July 31, 2022.</w:t>
      </w:r>
    </w:p>
    <w:p>
      <w:pPr>
        <w:spacing w:after="0" w:line="21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summarizes the adjustments made to the condensed consolidated balance sheet as of August 1, 2022 as a result of applying the modified retrospective adoption method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Cumulative effect</w:t>
            </w:r>
          </w:p>
        </w:tc>
        <w:tc>
          <w:tcPr>
            <w:tcW w:w="160" w:type="dxa"/>
            <w:vAlign w:val="bottom"/>
          </w:tcPr>
          <w:p>
            <w:pPr>
              <w:spacing w:after="0"/>
              <w:rPr>
                <w:sz w:val="18"/>
                <w:szCs w:val="18"/>
                <w:color w:val="auto"/>
              </w:rPr>
            </w:pPr>
          </w:p>
        </w:tc>
        <w:tc>
          <w:tcPr>
            <w:tcW w:w="18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Adjusted beginning</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adjustment due to</w:t>
            </w:r>
          </w:p>
        </w:tc>
        <w:tc>
          <w:tcPr>
            <w:tcW w:w="1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040" w:type="dxa"/>
            <w:vAlign w:val="bottom"/>
            <w:gridSpan w:val="3"/>
          </w:tcPr>
          <w:p>
            <w:pPr>
              <w:jc w:val="center"/>
              <w:ind w:right="80"/>
              <w:spacing w:after="0" w:line="189" w:lineRule="exact"/>
              <w:rPr>
                <w:sz w:val="20"/>
                <w:szCs w:val="20"/>
                <w:color w:val="auto"/>
              </w:rPr>
            </w:pPr>
            <w:r>
              <w:rPr>
                <w:rFonts w:ascii="Arial" w:cs="Arial" w:eastAsia="Arial" w:hAnsi="Arial"/>
                <w:sz w:val="18"/>
                <w:szCs w:val="18"/>
                <w:b w:val="1"/>
                <w:bCs w:val="1"/>
                <w:color w:val="auto"/>
                <w:w w:val="88"/>
              </w:rPr>
              <w:t>Balances reported as of</w:t>
            </w:r>
          </w:p>
        </w:tc>
        <w:tc>
          <w:tcPr>
            <w:tcW w:w="120" w:type="dxa"/>
            <w:vAlign w:val="bottom"/>
          </w:tcPr>
          <w:p>
            <w:pPr>
              <w:spacing w:after="0"/>
              <w:rPr>
                <w:sz w:val="16"/>
                <w:szCs w:val="16"/>
                <w:color w:val="auto"/>
              </w:rPr>
            </w:pPr>
          </w:p>
        </w:tc>
        <w:tc>
          <w:tcPr>
            <w:tcW w:w="192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90"/>
              </w:rPr>
              <w:t>adoption of ASU 2020-</w:t>
            </w:r>
          </w:p>
        </w:tc>
        <w:tc>
          <w:tcPr>
            <w:tcW w:w="19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87"/>
              </w:rPr>
              <w:t>balance as of August 1,</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July 31, 2022</w:t>
            </w:r>
          </w:p>
        </w:tc>
        <w:tc>
          <w:tcPr>
            <w:tcW w:w="120" w:type="dxa"/>
            <w:vAlign w:val="bottom"/>
          </w:tcPr>
          <w:p>
            <w:pPr>
              <w:spacing w:after="0"/>
              <w:rPr>
                <w:sz w:val="19"/>
                <w:szCs w:val="19"/>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200,405</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Convertible senior notes, net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(358,216)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(395,469)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(1,687,473)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283,982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(39,694)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244,288</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recent accounting pronouncements that will be applicable to the Company are not expected to have a material impact on its present or future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jc w:val="right"/>
              <w:ind w:right="250"/>
              <w:spacing w:after="0"/>
              <w:rPr>
                <w:sz w:val="20"/>
                <w:szCs w:val="20"/>
                <w:color w:val="auto"/>
              </w:rPr>
            </w:pPr>
            <w:r>
              <w:rPr>
                <w:rFonts w:ascii="Arial" w:cs="Arial" w:eastAsia="Arial" w:hAnsi="Arial"/>
                <w:sz w:val="18"/>
                <w:szCs w:val="18"/>
                <w:b w:val="1"/>
                <w:bCs w:val="1"/>
                <w:color w:val="auto"/>
                <w:w w:val="94"/>
              </w:rPr>
              <w:t>2. Revenue</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94"/>
        </w:trPr>
        <w:tc>
          <w:tcPr>
            <w:tcW w:w="3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Revenue by service or product type is as follows (in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6"/>
          </w:tcPr>
          <w:p>
            <w:pPr>
              <w:ind w:left="20"/>
              <w:spacing w:after="0" w:line="202" w:lineRule="exact"/>
              <w:rPr>
                <w:sz w:val="20"/>
                <w:szCs w:val="20"/>
                <w:color w:val="auto"/>
              </w:rPr>
            </w:pPr>
            <w:r>
              <w:rPr>
                <w:rFonts w:ascii="Arial" w:cs="Arial" w:eastAsia="Arial" w:hAnsi="Arial"/>
                <w:sz w:val="18"/>
                <w:szCs w:val="18"/>
                <w:b w:val="1"/>
                <w:bCs w:val="1"/>
                <w:color w:val="auto"/>
                <w:w w:val="99"/>
              </w:rPr>
              <w:t>Three Months Ended January</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79"/>
              </w:rPr>
              <w:t>31,</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January 31,</w:t>
            </w: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0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Subscription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86,015</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62,871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164,992</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30"/>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Support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w:t>
            </w:r>
          </w:p>
        </w:tc>
      </w:tr>
      <w:tr>
        <w:trPr>
          <w:trHeight w:val="229"/>
        </w:trPr>
        <w:tc>
          <w:tcPr>
            <w:tcW w:w="5940" w:type="dxa"/>
            <w:vAlign w:val="bottom"/>
            <w:gridSpan w:val="3"/>
          </w:tcPr>
          <w:p>
            <w:pPr>
              <w:ind w:left="140"/>
              <w:spacing w:after="0"/>
              <w:rPr>
                <w:sz w:val="20"/>
                <w:szCs w:val="20"/>
                <w:color w:val="auto"/>
              </w:rPr>
            </w:pPr>
            <w:r>
              <w:rPr>
                <w:rFonts w:ascii="Arial" w:cs="Arial" w:eastAsia="Arial" w:hAnsi="Arial"/>
                <w:sz w:val="18"/>
                <w:szCs w:val="18"/>
                <w:color w:val="auto"/>
              </w:rPr>
              <w:t>License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license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109,855</w:t>
            </w:r>
          </w:p>
        </w:tc>
      </w:tr>
      <w:tr>
        <w:trPr>
          <w:trHeight w:val="229"/>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Perpetual license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97,329</w:t>
            </w:r>
          </w:p>
        </w:tc>
      </w:tr>
      <w:tr>
        <w:trPr>
          <w:trHeight w:val="223"/>
        </w:trPr>
        <w:tc>
          <w:tcPr>
            <w:tcW w:w="5940" w:type="dxa"/>
            <w:vAlign w:val="bottom"/>
            <w:gridSpan w:val="3"/>
          </w:tcPr>
          <w:p>
            <w:pPr>
              <w:jc w:val="right"/>
              <w:ind w:right="46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232,611</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204,633</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427,893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370,567</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service or product type and by geography is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8"/>
                <w:szCs w:val="18"/>
                <w:b w:val="1"/>
                <w:bCs w:val="1"/>
                <w:color w:val="auto"/>
              </w:rPr>
              <w:t>Three Months Ended January 31, 2023</w:t>
            </w:r>
          </w:p>
        </w:tc>
        <w:tc>
          <w:tcPr>
            <w:tcW w:w="980" w:type="dxa"/>
            <w:vAlign w:val="bottom"/>
            <w:tcBorders>
              <w:bottom w:val="single" w:sz="8" w:color="auto"/>
            </w:tcBorders>
          </w:tcPr>
          <w:p>
            <w:pPr>
              <w:spacing w:after="0"/>
              <w:rPr>
                <w:sz w:val="20"/>
                <w:szCs w:val="20"/>
                <w:color w:val="auto"/>
              </w:rPr>
            </w:pPr>
          </w:p>
        </w:tc>
      </w:tr>
      <w:tr>
        <w:trPr>
          <w:trHeight w:val="176"/>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Subscription</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 support</w:t>
            </w: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License</w:t>
            </w:r>
          </w:p>
        </w:tc>
        <w:tc>
          <w:tcPr>
            <w:tcW w:w="22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Services</w:t>
            </w: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50"/>
        </w:trPr>
        <w:tc>
          <w:tcPr>
            <w:tcW w:w="59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147,065</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27,873</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Total Americas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177,634</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w:t>
            </w:r>
          </w:p>
        </w:tc>
      </w:tr>
      <w:tr>
        <w:trPr>
          <w:trHeight w:val="230"/>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25,438</w:t>
            </w:r>
          </w:p>
        </w:tc>
      </w:tr>
      <w:tr>
        <w:trPr>
          <w:trHeight w:val="22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EMEA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35,684</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19,293</w:t>
            </w:r>
          </w:p>
        </w:tc>
      </w:tr>
      <w:tr>
        <w:trPr>
          <w:trHeight w:val="248"/>
        </w:trPr>
        <w:tc>
          <w:tcPr>
            <w:tcW w:w="5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232,611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8"/>
                <w:szCs w:val="18"/>
                <w:b w:val="1"/>
                <w:bCs w:val="1"/>
                <w:color w:val="auto"/>
              </w:rPr>
              <w:t>Three Months Ended January 31, 2022</w:t>
            </w:r>
          </w:p>
        </w:tc>
        <w:tc>
          <w:tcPr>
            <w:tcW w:w="980" w:type="dxa"/>
            <w:vAlign w:val="bottom"/>
            <w:tcBorders>
              <w:bottom w:val="single" w:sz="8" w:color="auto"/>
            </w:tcBorders>
          </w:tcPr>
          <w:p>
            <w:pPr>
              <w:spacing w:after="0"/>
              <w:rPr>
                <w:sz w:val="20"/>
                <w:szCs w:val="20"/>
                <w:color w:val="auto"/>
              </w:rPr>
            </w:pPr>
          </w:p>
        </w:tc>
      </w:tr>
      <w:tr>
        <w:trPr>
          <w:trHeight w:val="175"/>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Subscription</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 support</w:t>
            </w: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License</w:t>
            </w:r>
          </w:p>
        </w:tc>
        <w:tc>
          <w:tcPr>
            <w:tcW w:w="22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Services</w:t>
            </w: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50"/>
        </w:trPr>
        <w:tc>
          <w:tcPr>
            <w:tcW w:w="59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125,631</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25,624</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Total Americas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70,801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42,833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153,016</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w:t>
            </w:r>
          </w:p>
        </w:tc>
      </w:tr>
      <w:tr>
        <w:trPr>
          <w:trHeight w:val="22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19,070</w:t>
            </w:r>
          </w:p>
        </w:tc>
      </w:tr>
      <w:tr>
        <w:trPr>
          <w:trHeight w:val="22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EMEA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31,349</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20,268</w:t>
            </w:r>
          </w:p>
        </w:tc>
      </w:tr>
      <w:tr>
        <w:trPr>
          <w:trHeight w:val="248"/>
        </w:trPr>
        <w:tc>
          <w:tcPr>
            <w:tcW w:w="5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204,633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2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w w:val="90"/>
              </w:rPr>
              <w:t>Six Months Ended January 31, 2023</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75"/>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line="176" w:lineRule="exact"/>
              <w:rPr>
                <w:sz w:val="20"/>
                <w:szCs w:val="20"/>
                <w:color w:val="auto"/>
              </w:rPr>
            </w:pPr>
            <w:r>
              <w:rPr>
                <w:rFonts w:ascii="Arial" w:cs="Arial" w:eastAsia="Arial" w:hAnsi="Arial"/>
                <w:sz w:val="18"/>
                <w:szCs w:val="18"/>
                <w:b w:val="1"/>
                <w:bCs w:val="1"/>
                <w:color w:val="auto"/>
                <w:w w:val="96"/>
              </w:rPr>
              <w:t>Subscription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w w:val="99"/>
              </w:rPr>
              <w:t>and support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License</w:t>
            </w:r>
          </w:p>
        </w:tc>
        <w:tc>
          <w:tcPr>
            <w:tcW w:w="220" w:type="dxa"/>
            <w:vAlign w:val="bottom"/>
          </w:tcPr>
          <w:p>
            <w:pPr>
              <w:spacing w:after="0"/>
              <w:rPr>
                <w:sz w:val="21"/>
                <w:szCs w:val="21"/>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Services</w:t>
            </w:r>
          </w:p>
        </w:tc>
        <w:tc>
          <w:tcPr>
            <w:tcW w:w="240" w:type="dxa"/>
            <w:vAlign w:val="bottom"/>
          </w:tcPr>
          <w:p>
            <w:pPr>
              <w:spacing w:after="0"/>
              <w:rPr>
                <w:sz w:val="21"/>
                <w:szCs w:val="21"/>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50"/>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2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138,425</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270,180</w:t>
            </w:r>
          </w:p>
        </w:tc>
      </w:tr>
      <w:tr>
        <w:trPr>
          <w:trHeight w:val="230"/>
        </w:trPr>
        <w:tc>
          <w:tcPr>
            <w:tcW w:w="5940" w:type="dxa"/>
            <w:vAlign w:val="bottom"/>
            <w:gridSpan w:val="3"/>
          </w:tcPr>
          <w:p>
            <w:pPr>
              <w:ind w:left="14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53,669</w:t>
            </w:r>
          </w:p>
        </w:tc>
      </w:tr>
      <w:tr>
        <w:trPr>
          <w:trHeight w:val="22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23"/>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Americas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174,968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328,762</w:t>
            </w:r>
          </w:p>
        </w:tc>
      </w:tr>
      <w:tr>
        <w:trPr>
          <w:trHeight w:val="22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w:t>
            </w:r>
          </w:p>
        </w:tc>
      </w:tr>
      <w:tr>
        <w:trPr>
          <w:trHeight w:val="229"/>
        </w:trPr>
        <w:tc>
          <w:tcPr>
            <w:tcW w:w="59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44,535</w:t>
            </w:r>
          </w:p>
        </w:tc>
      </w:tr>
      <w:tr>
        <w:trPr>
          <w:trHeight w:val="223"/>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EMEA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62,931</w:t>
            </w:r>
          </w:p>
        </w:tc>
      </w:tr>
      <w:tr>
        <w:trPr>
          <w:trHeight w:val="229"/>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36,200</w:t>
            </w: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427,893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w w:val="90"/>
              </w:rPr>
              <w:t>Six Months Ended January 31, 2022</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line="176" w:lineRule="exact"/>
              <w:rPr>
                <w:sz w:val="20"/>
                <w:szCs w:val="20"/>
                <w:color w:val="auto"/>
              </w:rPr>
            </w:pPr>
            <w:r>
              <w:rPr>
                <w:rFonts w:ascii="Arial" w:cs="Arial" w:eastAsia="Arial" w:hAnsi="Arial"/>
                <w:sz w:val="18"/>
                <w:szCs w:val="18"/>
                <w:b w:val="1"/>
                <w:bCs w:val="1"/>
                <w:color w:val="auto"/>
                <w:w w:val="96"/>
              </w:rPr>
              <w:t>Subscription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w w:val="99"/>
              </w:rPr>
              <w:t>and support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License</w:t>
            </w:r>
          </w:p>
        </w:tc>
        <w:tc>
          <w:tcPr>
            <w:tcW w:w="220" w:type="dxa"/>
            <w:vAlign w:val="bottom"/>
          </w:tcPr>
          <w:p>
            <w:pPr>
              <w:spacing w:after="0"/>
              <w:rPr>
                <w:sz w:val="21"/>
                <w:szCs w:val="21"/>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Services</w:t>
            </w:r>
          </w:p>
        </w:tc>
        <w:tc>
          <w:tcPr>
            <w:tcW w:w="240" w:type="dxa"/>
            <w:vAlign w:val="bottom"/>
          </w:tcPr>
          <w:p>
            <w:pPr>
              <w:spacing w:after="0"/>
              <w:rPr>
                <w:sz w:val="21"/>
                <w:szCs w:val="21"/>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50"/>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2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108,741</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229,770</w:t>
            </w:r>
          </w:p>
        </w:tc>
      </w:tr>
      <w:tr>
        <w:trPr>
          <w:trHeight w:val="230"/>
        </w:trPr>
        <w:tc>
          <w:tcPr>
            <w:tcW w:w="5940" w:type="dxa"/>
            <w:vAlign w:val="bottom"/>
            <w:gridSpan w:val="3"/>
          </w:tcPr>
          <w:p>
            <w:pPr>
              <w:ind w:left="14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45,736</w:t>
            </w:r>
          </w:p>
        </w:tc>
      </w:tr>
      <w:tr>
        <w:trPr>
          <w:trHeight w:val="22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23"/>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Americas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136,804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279,251</w:t>
            </w:r>
          </w:p>
        </w:tc>
      </w:tr>
      <w:tr>
        <w:trPr>
          <w:trHeight w:val="229"/>
        </w:trPr>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w:t>
            </w:r>
          </w:p>
        </w:tc>
      </w:tr>
      <w:tr>
        <w:trPr>
          <w:trHeight w:val="230"/>
        </w:trPr>
        <w:tc>
          <w:tcPr>
            <w:tcW w:w="59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32,089</w:t>
            </w:r>
          </w:p>
        </w:tc>
      </w:tr>
      <w:tr>
        <w:trPr>
          <w:trHeight w:val="223"/>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EMEA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53,627</w:t>
            </w:r>
          </w:p>
        </w:tc>
      </w:tr>
      <w:tr>
        <w:trPr>
          <w:trHeight w:val="230"/>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w:t>
            </w: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163,287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370,567</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country or region, other than those presented above, accounted for more than 10% of total revenue during the three and six months ended January 31, 2023 and 2022.</w:t>
      </w:r>
    </w:p>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Customer Contract </w:t>
      </w:r>
      <w:r>
        <w:rPr>
          <w:rFonts w:ascii="Arial" w:cs="Arial" w:eastAsia="Arial" w:hAnsi="Arial"/>
          <w:sz w:val="21"/>
          <w:szCs w:val="21"/>
          <w:color w:val="008080"/>
        </w:rPr>
        <w:t>–</w:t>
      </w:r>
      <w:r>
        <w:rPr>
          <w:rFonts w:ascii="Arial" w:cs="Arial" w:eastAsia="Arial" w:hAnsi="Arial"/>
          <w:sz w:val="18"/>
          <w:szCs w:val="18"/>
          <w:b w:val="1"/>
          <w:bCs w:val="1"/>
          <w:i w:val="1"/>
          <w:iCs w:val="1"/>
          <w:color w:val="auto"/>
        </w:rPr>
        <w:t xml:space="preserve"> Related Balance Sheet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related to customer contract-related arrangements are included on the condensed consolidated balance sheets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2023</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2022</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receivable,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114,889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Contract costs,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42,060</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44,235</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178,276</w:t>
            </w:r>
          </w:p>
        </w:tc>
      </w:tr>
    </w:tbl>
    <w:p>
      <w:pPr>
        <w:spacing w:after="0" w:line="229" w:lineRule="exact"/>
        <w:rPr>
          <w:sz w:val="20"/>
          <w:szCs w:val="20"/>
          <w:color w:val="auto"/>
        </w:rPr>
      </w:pPr>
    </w:p>
    <w:p>
      <w:pPr>
        <w:ind w:left="340" w:right="1660"/>
        <w:spacing w:after="0" w:line="438" w:lineRule="auto"/>
        <w:rPr>
          <w:sz w:val="20"/>
          <w:szCs w:val="20"/>
          <w:color w:val="auto"/>
        </w:rPr>
      </w:pPr>
      <w:r>
        <w:rPr>
          <w:rFonts w:ascii="Arial" w:cs="Arial" w:eastAsia="Arial" w:hAnsi="Arial"/>
          <w:sz w:val="18"/>
          <w:szCs w:val="18"/>
          <w:color w:val="auto"/>
        </w:rPr>
        <w:t xml:space="preserve">As of January 31, 2023 and July 31, 2022, there was no allowance for credit losses associated with unbilled accounts receivable. </w:t>
      </w:r>
      <w:r>
        <w:rPr>
          <w:rFonts w:ascii="Arial" w:cs="Arial" w:eastAsia="Arial" w:hAnsi="Arial"/>
          <w:sz w:val="18"/>
          <w:szCs w:val="18"/>
          <w:i w:val="1"/>
          <w:iCs w:val="1"/>
          <w:color w:val="auto"/>
        </w:rPr>
        <w:t>Contract costs</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current portion of contract costs of $15.2 million and $14.8 million is included in prepaid and other current assets in the Company’s condensed consolidated balance sheets as of January 31, 2023 and July 31, 2022, respectively. The non-current portion of contract costs of $26.9 million and $29.4 million is included in other assets in the Company’s condensed consolidated balance sheets as of January 31, 2023 and July 31, 2022, respectively. The Company amortized $4.1 million and $3.3 million of contract costs during the three months ended January 31, 2023 and 2022, respectively, and amortized $8.6 million and $6.3 million during the six months ended January 31, 2023 and 2022,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revenue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six months ended January 31, 2023, the Company recognized revenue of approximately $42.4 million and $124.3 million, respectively, related to the Company’s deferred revenue balance reported as of July 31,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amount of consideration allocated to remaining performance obligations either not satisfied or partially satisfied was approximately $1.2 billion as of January 31, 2023. Subscription services are typically satisfied over three to five years, support services are generally satisfied within one year, and professional services are typically satisfied within one year. Professional services under time and material contracts are not included in the remaining performance obligations calculation as these arrangements can be cancelled at any time.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investments within cash equivalents and investments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January 31, 2023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Unrealized</w:t>
            </w:r>
          </w:p>
        </w:tc>
        <w:tc>
          <w:tcPr>
            <w:tcW w:w="12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5"/>
              </w:rPr>
              <w:t>Estimated Fair</w:t>
            </w:r>
          </w:p>
        </w:tc>
      </w:tr>
      <w:tr>
        <w:trPr>
          <w:trHeight w:val="243"/>
        </w:trPr>
        <w:tc>
          <w:tcPr>
            <w:tcW w:w="594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204,128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204,128</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262,385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259,134</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50,358</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85,108</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12,700</w:t>
            </w:r>
          </w:p>
        </w:tc>
      </w:tr>
      <w:tr>
        <w:trPr>
          <w:trHeight w:val="248"/>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762,185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July 31, 2022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Unrealized</w:t>
            </w:r>
          </w:p>
        </w:tc>
        <w:tc>
          <w:tcPr>
            <w:tcW w:w="12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5"/>
              </w:rPr>
              <w:t>Estimated Fair</w:t>
            </w:r>
          </w:p>
        </w:tc>
      </w:tr>
      <w:tr>
        <w:trPr>
          <w:trHeight w:val="243"/>
        </w:trPr>
        <w:tc>
          <w:tcPr>
            <w:tcW w:w="594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197,998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315,602</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43,715</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45,702</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349,492</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36,986</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54,171</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1,066,361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1,058,619</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does not consider any portion of the unrealized losses at January 31, 2023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the condensed consolidated statements of comprehensive income (loss).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contractual maturities of the Company’s available-for-sale investments measured at fair value (in thousands):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96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January 31, 2023</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87"/>
              </w:rPr>
              <w:t>Less Than 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w w:val="92"/>
              </w:rPr>
              <w:t>12 Months or</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Greater</w:t>
            </w: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23"/>
        </w:trPr>
        <w:tc>
          <w:tcPr>
            <w:tcW w:w="7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204,128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204,128</w:t>
            </w:r>
          </w:p>
        </w:tc>
      </w:tr>
      <w:tr>
        <w:trPr>
          <w:trHeight w:val="229"/>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197,154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259,134</w:t>
            </w:r>
          </w:p>
        </w:tc>
      </w:tr>
      <w:tr>
        <w:trPr>
          <w:trHeight w:val="23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51,048</w:t>
            </w:r>
          </w:p>
        </w:tc>
      </w:tr>
      <w:tr>
        <w:trPr>
          <w:trHeight w:val="229"/>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U.S. Government bonds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50,358</w:t>
            </w:r>
          </w:p>
        </w:tc>
      </w:tr>
      <w:tr>
        <w:trPr>
          <w:trHeight w:val="23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r>
      <w:tr>
        <w:trPr>
          <w:trHeight w:val="229"/>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85,108</w:t>
            </w:r>
          </w:p>
        </w:tc>
      </w:tr>
      <w:tr>
        <w:trPr>
          <w:trHeight w:val="229"/>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30"/>
        </w:trPr>
        <w:tc>
          <w:tcPr>
            <w:tcW w:w="73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Foreign government bonds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w:t>
            </w:r>
          </w:p>
        </w:tc>
      </w:tr>
      <w:tr>
        <w:trPr>
          <w:trHeight w:val="248"/>
        </w:trPr>
        <w:tc>
          <w:tcPr>
            <w:tcW w:w="73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762,185</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investments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the Company’s available-for-sale investments measured at fair value, by level within the fair value hierarchy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January 31, 2023</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95,991</w:t>
            </w:r>
          </w:p>
        </w:tc>
        <w:tc>
          <w:tcPr>
            <w:tcW w:w="8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20,346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equivalents</w:t>
            </w:r>
          </w:p>
        </w:tc>
        <w:tc>
          <w:tcPr>
            <w:tcW w:w="18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116,337</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197,154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U.S. Government bonds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14,363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 bonds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Total short-term investments</w:t>
            </w:r>
          </w:p>
        </w:tc>
        <w:tc>
          <w:tcPr>
            <w:tcW w:w="18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439,833</w:t>
            </w: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61,980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bonds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80"/>
              <w:spacing w:after="0"/>
              <w:rPr>
                <w:sz w:val="20"/>
                <w:szCs w:val="20"/>
                <w:color w:val="auto"/>
              </w:rPr>
            </w:pPr>
            <w:r>
              <w:rPr>
                <w:rFonts w:ascii="Arial" w:cs="Arial" w:eastAsia="Arial" w:hAnsi="Arial"/>
                <w:sz w:val="18"/>
                <w:szCs w:val="18"/>
                <w:color w:val="auto"/>
              </w:rPr>
              <w:t>Foreign government bonds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long-term investments</w:t>
            </w:r>
          </w:p>
        </w:tc>
        <w:tc>
          <w:tcPr>
            <w:tcW w:w="18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711,476</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0" w:type="dxa"/>
            <w:vAlign w:val="bottom"/>
            <w:vMerge w:val="restart"/>
          </w:tcPr>
          <w:p>
            <w:pPr>
              <w:jc w:val="right"/>
              <w:ind w:right="13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1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6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July 31, 2022</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132,066</w:t>
            </w:r>
          </w:p>
        </w:tc>
        <w:tc>
          <w:tcPr>
            <w:tcW w:w="8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132,066</w:t>
            </w:r>
          </w:p>
        </w:tc>
      </w:tr>
      <w:tr>
        <w:trPr>
          <w:trHeight w:val="230"/>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r>
      <w:tr>
        <w:trPr>
          <w:trHeight w:val="229"/>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349,492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349,492</w:t>
            </w:r>
          </w:p>
        </w:tc>
      </w:tr>
      <w:tr>
        <w:trPr>
          <w:trHeight w:val="230"/>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594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 cash equivalents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349,492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151,755</w:t>
            </w: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501,247</w:t>
            </w:r>
          </w:p>
        </w:tc>
      </w:tr>
      <w:tr>
        <w:trPr>
          <w:trHeight w:val="230"/>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65,932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65,932</w:t>
            </w:r>
          </w:p>
        </w:tc>
      </w:tr>
      <w:tr>
        <w:trPr>
          <w:trHeight w:val="229"/>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203,960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203,960</w:t>
            </w:r>
          </w:p>
        </w:tc>
      </w:tr>
      <w:tr>
        <w:trPr>
          <w:trHeight w:val="230"/>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34,026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34,026</w:t>
            </w:r>
          </w:p>
        </w:tc>
      </w:tr>
      <w:tr>
        <w:trPr>
          <w:trHeight w:val="229"/>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w:t>
            </w:r>
          </w:p>
        </w:tc>
      </w:tr>
      <w:tr>
        <w:trPr>
          <w:trHeight w:val="229"/>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26,986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26,986</w:t>
            </w:r>
          </w:p>
        </w:tc>
      </w:tr>
      <w:tr>
        <w:trPr>
          <w:trHeight w:val="230"/>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r>
      <w:tr>
        <w:trPr>
          <w:trHeight w:val="229"/>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30"/>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594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 short-term investments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369,865</w:t>
            </w: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369,865</w:t>
            </w:r>
          </w:p>
        </w:tc>
      </w:tr>
      <w:tr>
        <w:trPr>
          <w:trHeight w:val="230"/>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111,642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111,642</w:t>
            </w:r>
          </w:p>
        </w:tc>
      </w:tr>
      <w:tr>
        <w:trPr>
          <w:trHeight w:val="229"/>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w:t>
            </w:r>
          </w:p>
        </w:tc>
      </w:tr>
      <w:tr>
        <w:trPr>
          <w:trHeight w:val="230"/>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45,544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45,544</w:t>
            </w:r>
          </w:p>
        </w:tc>
      </w:tr>
      <w:tr>
        <w:trPr>
          <w:trHeight w:val="229"/>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government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223"/>
        </w:trPr>
        <w:tc>
          <w:tcPr>
            <w:tcW w:w="59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b w:val="1"/>
                <w:bCs w:val="1"/>
                <w:color w:val="auto"/>
              </w:rPr>
              <w:t>Total long-term investments</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187,507</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187,507</w:t>
            </w: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349,492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709,127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1,058,619</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Notes</w:t>
      </w:r>
    </w:p>
    <w:p>
      <w:pPr>
        <w:spacing w:after="0" w:line="2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the Convertible Senior Notes was $387.0 million and $387.6 million at January 31, 2023 and July 31, 2022, respectively. The Company estimates the fair value of the Convertible Senior Notes using commonly accepted valuation methodologies and market-based risk measurements that are directly observable, such as unadjusted quoted prices in markets that are not active (Level 2). Effective August 1, 2022 with the adoption of ASU 2020-06, the Company carries the Convertible Senior Notes at par value less unamortized debt issuance costs on its condensed consolidated balance sheets. For further information on the Convertible Senior Notes, see Note 5.</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Strategic Equity Investments</w:t>
      </w:r>
    </w:p>
    <w:p>
      <w:pPr>
        <w:spacing w:after="0" w:line="2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During the three and six months ended January 31, 2023, the Company invested $5.9 million and $6.1 million in existing strategic equity investments, respectively. At January 31, 2023 and July 31, 2022, the Company’s total strategic equity investments was $23.9 million and $18.0 million, respectively.</w:t>
      </w:r>
    </w:p>
    <w:p>
      <w:pPr>
        <w:spacing w:after="0" w:line="2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impairment charge or unrealized gain or loss related to strategic investments were recognized during the three and six months ended January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Share</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calculates basic earnings per share by dividing the net income (loss) by the weighted average number of shares of common stock outstanding for the period. For options to purchase common stock and Stock Awards, the Company uses the treasury stock method for calculating diluted earnings per share in all periods presented. Effective August 1, 2022, the Company adopted ASU 2020-06 which requires the use of the if-converted method for the Convertible Senior Notes. Prior to August 1, 2022, the Company used the treasury stock method for the Convertible Senior Notes.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computation of the Company’s basic and diluted net income (loss) per share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and 2022 (in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January</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5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January 31,</w:t>
            </w:r>
          </w:p>
        </w:tc>
      </w:tr>
      <w:tr>
        <w:trPr>
          <w:trHeight w:val="223"/>
        </w:trPr>
        <w:tc>
          <w:tcPr>
            <w:tcW w:w="5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(91,957)</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(loss) per share: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940" w:type="dxa"/>
            <w:vAlign w:val="bottom"/>
          </w:tcPr>
          <w:p>
            <w:pPr>
              <w:ind w:left="200"/>
              <w:spacing w:after="0" w:line="202" w:lineRule="exact"/>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(0.49)</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w w:val="98"/>
              </w:rPr>
              <w:t>Weighted average shares used in computing net income (loss) per share: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5"/>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82,051,867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83,413,643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82,686,420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83,430,693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weighted average shares of potential common stock were excluded from the computation of diluted net income (loss) per share for the periods presented because including them would have been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Arial" w:cs="Arial" w:eastAsia="Arial" w:hAnsi="Arial"/>
                <w:sz w:val="18"/>
                <w:szCs w:val="18"/>
                <w:b w:val="1"/>
                <w:bCs w:val="1"/>
                <w:color w:val="auto"/>
                <w:w w:val="99"/>
              </w:rPr>
              <w:t>Three Months Ended January</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59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8"/>
                <w:szCs w:val="18"/>
                <w:b w:val="1"/>
                <w:bCs w:val="1"/>
                <w:color w:val="auto"/>
                <w:w w:val="79"/>
              </w:rPr>
              <w:t>31,</w:t>
            </w:r>
          </w:p>
        </w:tc>
        <w:tc>
          <w:tcPr>
            <w:tcW w:w="80" w:type="dxa"/>
            <w:vAlign w:val="bottom"/>
          </w:tcPr>
          <w:p>
            <w:pPr>
              <w:spacing w:after="0"/>
              <w:rPr>
                <w:sz w:val="21"/>
                <w:szCs w:val="21"/>
                <w:color w:val="auto"/>
              </w:rPr>
            </w:pPr>
          </w:p>
        </w:tc>
        <w:tc>
          <w:tcPr>
            <w:tcW w:w="2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4"/>
              </w:rPr>
              <w:t>Six Months Ended January 31,</w:t>
            </w:r>
          </w:p>
        </w:tc>
      </w:tr>
      <w:tr>
        <w:trPr>
          <w:trHeight w:val="223"/>
        </w:trPr>
        <w:tc>
          <w:tcPr>
            <w:tcW w:w="594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260" w:type="dxa"/>
            <w:vAlign w:val="bottom"/>
          </w:tcPr>
          <w:p>
            <w:pPr>
              <w:ind w:left="44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200" w:type="dxa"/>
            <w:vAlign w:val="bottom"/>
          </w:tcPr>
          <w:p>
            <w:pPr>
              <w:jc w:val="right"/>
              <w:spacing w:after="0"/>
              <w:rPr>
                <w:sz w:val="20"/>
                <w:szCs w:val="20"/>
                <w:color w:val="auto"/>
              </w:rPr>
            </w:pPr>
            <w:r>
              <w:rPr>
                <w:rFonts w:ascii="Arial" w:cs="Arial" w:eastAsia="Arial" w:hAnsi="Arial"/>
                <w:sz w:val="18"/>
                <w:szCs w:val="18"/>
                <w:color w:val="auto"/>
              </w:rPr>
              <w:t>1,960,572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3,268,003</w:t>
            </w:r>
          </w:p>
        </w:tc>
        <w:tc>
          <w:tcPr>
            <w:tcW w:w="80" w:type="dxa"/>
            <w:vAlign w:val="bottom"/>
          </w:tcPr>
          <w:p>
            <w:pPr>
              <w:spacing w:after="0"/>
              <w:rPr>
                <w:sz w:val="19"/>
                <w:szCs w:val="19"/>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w w:val="97"/>
              </w:rPr>
              <w:t>1,664,469</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3,126,378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3,516,480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3,516,480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66,834</w:t>
            </w: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three and six months ended January 31, 2023, the average market price of the Company’s common stock did not exceed the outstanding principal of the Convertible Senior Notes. During the three months ended January 31, 2022, the average market price of the Company’s common stock did not exceed the initial conversion price of the Convertible Senior Notes and the conversion premium was anti-dilutive under the treasury stock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Senior Notes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net carrying value of the liability component, unamortized debt discount and unamortized debt issuance costs of the Convertible Senior Notes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70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2023</w:t>
            </w:r>
          </w:p>
        </w:tc>
        <w:tc>
          <w:tcPr>
            <w:tcW w:w="32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2022</w:t>
            </w:r>
          </w:p>
        </w:tc>
      </w:tr>
      <w:tr>
        <w:trPr>
          <w:trHeight w:val="223"/>
        </w:trPr>
        <w:tc>
          <w:tcPr>
            <w:tcW w:w="70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Less unamortized:</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000" w:type="dxa"/>
            <w:vAlign w:val="bottom"/>
            <w:gridSpan w:val="3"/>
            <w:shd w:val="clear" w:color="auto" w:fill="CCEEFF"/>
          </w:tcPr>
          <w:p>
            <w:pPr>
              <w:ind w:left="140"/>
              <w:spacing w:after="0" w:line="230" w:lineRule="exact"/>
              <w:rPr>
                <w:sz w:val="20"/>
                <w:szCs w:val="20"/>
                <w:color w:val="auto"/>
              </w:rPr>
            </w:pPr>
            <w:r>
              <w:rPr>
                <w:rFonts w:ascii="Arial" w:cs="Arial" w:eastAsia="Arial" w:hAnsi="Arial"/>
                <w:sz w:val="18"/>
                <w:szCs w:val="18"/>
                <w:color w:val="auto"/>
              </w:rPr>
              <w:t>Debt discount</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37,253</w:t>
            </w:r>
          </w:p>
        </w:tc>
      </w:tr>
      <w:tr>
        <w:trPr>
          <w:trHeight w:val="229"/>
        </w:trPr>
        <w:tc>
          <w:tcPr>
            <w:tcW w:w="70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w:t>
            </w:r>
          </w:p>
        </w:tc>
      </w:tr>
      <w:tr>
        <w:trPr>
          <w:trHeight w:val="248"/>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358,216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8"/>
        <w:spacing w:after="0" w:line="257" w:lineRule="auto"/>
        <w:tabs>
          <w:tab w:leader="none" w:pos="165" w:val="left"/>
        </w:tabs>
        <w:numPr>
          <w:ilvl w:val="0"/>
          <w:numId w:val="5"/>
        </w:numPr>
        <w:rPr>
          <w:rFonts w:ascii="Arial" w:cs="Arial" w:eastAsia="Arial" w:hAnsi="Arial"/>
          <w:sz w:val="19"/>
          <w:szCs w:val="19"/>
          <w:color w:val="auto"/>
          <w:vertAlign w:val="superscript"/>
        </w:rPr>
      </w:pPr>
      <w:r>
        <w:rPr>
          <w:rFonts w:ascii="Arial" w:cs="Arial" w:eastAsia="Arial" w:hAnsi="Arial"/>
          <w:sz w:val="12"/>
          <w:szCs w:val="12"/>
          <w:color w:val="auto"/>
        </w:rPr>
        <w:t>Effective August 1, 2022, the Company adopted ASU 2020-06 using the modified retrospective method which resulted in the accounting for the Convertible Senior Notes as a single liability and no longer required the liability and equity components to be accounted for separately. The prior period has not been retrospectively adjusted and continues to be reported under the accounting standards in effect for that period.</w:t>
      </w:r>
    </w:p>
    <w:p>
      <w:pPr>
        <w:spacing w:after="0" w:line="2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effective interest rate of the Convertible Senior Notes after the adoption of ASU 2020-06 on August 1, 2022 is 1.69%. Prior to the adoption of ASU 2020-06, the effective interest rate of the Convertible Senior Notes was 5.53%.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interest expense recognized related to the Convertible Senior Notes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January</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79"/>
              </w:rPr>
              <w:t>31,</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0"/>
              </w:rPr>
              <w:t>Six Months Ended January 31,</w:t>
            </w:r>
          </w:p>
        </w:tc>
      </w:tr>
      <w:tr>
        <w:trPr>
          <w:trHeight w:val="223"/>
        </w:trPr>
        <w:tc>
          <w:tcPr>
            <w:tcW w:w="5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debt discount</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6,391</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w:t>
            </w:r>
          </w:p>
        </w:tc>
      </w:tr>
      <w:tr>
        <w:trPr>
          <w:trHeight w:val="21"/>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8"/>
        <w:spacing w:after="0" w:line="457" w:lineRule="auto"/>
        <w:tabs>
          <w:tab w:leader="none" w:pos="165" w:val="left"/>
        </w:tabs>
        <w:numPr>
          <w:ilvl w:val="0"/>
          <w:numId w:val="6"/>
        </w:numPr>
        <w:rPr>
          <w:rFonts w:ascii="Arial" w:cs="Arial" w:eastAsia="Arial" w:hAnsi="Arial"/>
          <w:sz w:val="19"/>
          <w:szCs w:val="19"/>
          <w:color w:val="auto"/>
          <w:vertAlign w:val="superscript"/>
        </w:rPr>
      </w:pPr>
      <w:r>
        <w:rPr>
          <w:rFonts w:ascii="Arial" w:cs="Arial" w:eastAsia="Arial" w:hAnsi="Arial"/>
          <w:sz w:val="12"/>
          <w:szCs w:val="12"/>
          <w:color w:val="auto"/>
        </w:rPr>
        <w:t>Effective August 1, 2022, the Company adopted ASU 2020-06 using the modified retrospective method which resulted in the accounting for the Convertible Senior Notes as a single liability and no longer required the amortization of debt discount. The prior period has not been retrospectively adjusted and continues to be reported under the accounting standards in effect for that period.</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January 31, 2023, the if-converted value did not exceed the outstanding principal of the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Except as discussed below, there has been no material change in the Company’s contractual obligations and commitments other than in the ordinary course of business since the Company’s fiscal year ended July 31, 2022.</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Effective during the six months ended January 31, 2023, the Company terminated its existing agreement and entered into a new agreement with a cloud infrastructure services provider for a total obligation of $600 million over a five-year period.</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the Company’s Annual Report on Form 10-K for the fiscal year ended July 31, 2022 for additional information regarding the Company’s contractual obligations.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the Company is involved in various legal proceedings and receives claims, arising from the normal course of business activities. The Company has not recorded any accrual for claims as of January 31, 2023 or July 31, 2022.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2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not had to reimburse any of its customers for Losses related to indemnification provisions and no material claims against the Company were outstanding as of January 31, 2023 or July 31, 2022.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2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99" w:lineRule="exact"/>
        <w:rPr>
          <w:sz w:val="20"/>
          <w:szCs w:val="20"/>
          <w:color w:val="auto"/>
        </w:rPr>
      </w:pPr>
    </w:p>
    <w:p>
      <w:pPr>
        <w:ind w:left="340" w:right="6240" w:hanging="332"/>
        <w:spacing w:after="0" w:line="550" w:lineRule="auto"/>
        <w:tabs>
          <w:tab w:leader="none" w:pos="19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Expense and Shareholders’ Equity </w:t>
      </w:r>
      <w:r>
        <w:rPr>
          <w:rFonts w:ascii="Arial" w:cs="Arial" w:eastAsia="Arial" w:hAnsi="Arial"/>
          <w:sz w:val="18"/>
          <w:szCs w:val="18"/>
          <w:b w:val="1"/>
          <w:bCs w:val="1"/>
          <w:i w:val="1"/>
          <w:iCs w:val="1"/>
          <w:color w:val="auto"/>
        </w:rPr>
        <w:t>Stock-Based Compensation Expense</w:t>
      </w:r>
    </w:p>
    <w:p>
      <w:pPr>
        <w:ind w:right="20" w:firstLine="324"/>
        <w:spacing w:after="0" w:line="277" w:lineRule="auto"/>
        <w:rPr>
          <w:sz w:val="20"/>
          <w:szCs w:val="20"/>
          <w:color w:val="auto"/>
        </w:rPr>
      </w:pPr>
      <w:r>
        <w:rPr>
          <w:rFonts w:ascii="Arial" w:cs="Arial" w:eastAsia="Arial" w:hAnsi="Arial"/>
          <w:sz w:val="18"/>
          <w:szCs w:val="18"/>
          <w:color w:val="auto"/>
        </w:rPr>
        <w:t>Stock-based compensation expense related to stock options and Stock Awards is included in the Company’s condensed consolidated statements of operations as follows (in thousands):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January</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79"/>
              </w:rPr>
              <w:t>31,</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0"/>
              </w:rPr>
              <w:t>Six Months Ended January 31,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70,680</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impact of deferred stock-based compensation</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w w:val="99"/>
              </w:rPr>
              <w:t>Stock-based compensation expense is included in the following categories: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Cost of subscription and support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30"/>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Cost of license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Cost of services revenue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16,716</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Total unrecognized stock-based compensation expense related to the Company’s stock options and Stock Awards as of January 31, 2023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7"/>
              </w:rPr>
              <w:t>Unrecognized Expense</w:t>
            </w: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Expected</w:t>
            </w:r>
          </w:p>
        </w:tc>
        <w:tc>
          <w:tcPr>
            <w:tcW w:w="0" w:type="dxa"/>
            <w:vAlign w:val="bottom"/>
          </w:tcPr>
          <w:p>
            <w:pPr>
              <w:spacing w:after="0"/>
              <w:rPr>
                <w:sz w:val="1"/>
                <w:szCs w:val="1"/>
                <w:color w:val="auto"/>
              </w:rPr>
            </w:pPr>
          </w:p>
        </w:tc>
      </w:tr>
      <w:tr>
        <w:trPr>
          <w:trHeight w:val="144"/>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97"/>
        </w:trPr>
        <w:tc>
          <w:tcPr>
            <w:tcW w:w="7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Awards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317,904</w:t>
            </w:r>
          </w:p>
        </w:tc>
        <w:tc>
          <w:tcPr>
            <w:tcW w:w="2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unrecognized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321,571</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Awards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Awards activity under the Company’s equity incentive plans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4420" w:type="dxa"/>
            <w:vAlign w:val="bottom"/>
            <w:tcBorders>
              <w:bottom w:val="single" w:sz="8" w:color="auto"/>
            </w:tcBorders>
            <w:gridSpan w:val="7"/>
          </w:tcPr>
          <w:p>
            <w:pPr>
              <w:jc w:val="right"/>
              <w:ind w:right="1070"/>
              <w:spacing w:after="0"/>
              <w:rPr>
                <w:sz w:val="20"/>
                <w:szCs w:val="20"/>
                <w:color w:val="auto"/>
              </w:rPr>
            </w:pPr>
            <w:r>
              <w:rPr>
                <w:rFonts w:ascii="Arial" w:cs="Arial" w:eastAsia="Arial" w:hAnsi="Arial"/>
                <w:sz w:val="18"/>
                <w:szCs w:val="18"/>
                <w:b w:val="1"/>
                <w:bCs w:val="1"/>
                <w:color w:val="auto"/>
              </w:rPr>
              <w:t>Stock Awards Outstanding</w:t>
            </w:r>
          </w:p>
        </w:tc>
      </w:tr>
      <w:tr>
        <w:trPr>
          <w:trHeight w:val="169"/>
        </w:trPr>
        <w:tc>
          <w:tcPr>
            <w:tcW w:w="682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4"/>
              </w:rPr>
              <w:t>Number of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4"/>
                <w:szCs w:val="14"/>
                <w:color w:val="auto"/>
              </w:rPr>
            </w:pPr>
          </w:p>
        </w:tc>
        <w:tc>
          <w:tcPr>
            <w:tcW w:w="126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Aggregate</w:t>
            </w:r>
          </w:p>
        </w:tc>
      </w:tr>
      <w:tr>
        <w:trPr>
          <w:trHeight w:val="175"/>
        </w:trPr>
        <w:tc>
          <w:tcPr>
            <w:tcW w:w="6820" w:type="dxa"/>
            <w:vAlign w:val="bottom"/>
          </w:tcPr>
          <w:p>
            <w:pPr>
              <w:spacing w:after="0"/>
              <w:rPr>
                <w:sz w:val="15"/>
                <w:szCs w:val="15"/>
                <w:color w:val="auto"/>
              </w:rPr>
            </w:pPr>
          </w:p>
        </w:tc>
        <w:tc>
          <w:tcPr>
            <w:tcW w:w="140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3"/>
              </w:rPr>
              <w:t>Intrinsic Value (in</w:t>
            </w:r>
          </w:p>
        </w:tc>
      </w:tr>
      <w:tr>
        <w:trPr>
          <w:trHeight w:val="243"/>
        </w:trPr>
        <w:tc>
          <w:tcPr>
            <w:tcW w:w="682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1"/>
                <w:szCs w:val="21"/>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Date Fair Value</w:t>
            </w:r>
          </w:p>
        </w:tc>
        <w:tc>
          <w:tcPr>
            <w:tcW w:w="180" w:type="dxa"/>
            <w:vAlign w:val="bottom"/>
          </w:tcPr>
          <w:p>
            <w:pPr>
              <w:spacing w:after="0"/>
              <w:rPr>
                <w:sz w:val="21"/>
                <w:szCs w:val="21"/>
                <w:color w:val="auto"/>
              </w:rPr>
            </w:pPr>
          </w:p>
        </w:tc>
        <w:tc>
          <w:tcPr>
            <w:tcW w:w="1260" w:type="dxa"/>
            <w:vAlign w:val="bottom"/>
          </w:tcPr>
          <w:p>
            <w:pPr>
              <w:jc w:val="right"/>
              <w:ind w:right="130"/>
              <w:spacing w:after="0" w:line="243" w:lineRule="exact"/>
              <w:rPr>
                <w:sz w:val="20"/>
                <w:szCs w:val="20"/>
                <w:color w:val="auto"/>
              </w:rPr>
            </w:pPr>
            <w:r>
              <w:rPr>
                <w:rFonts w:ascii="Arial" w:cs="Arial" w:eastAsia="Arial" w:hAnsi="Arial"/>
                <w:sz w:val="18"/>
                <w:szCs w:val="18"/>
                <w:b w:val="1"/>
                <w:bCs w:val="1"/>
                <w:color w:val="auto"/>
                <w:w w:val="88"/>
              </w:rPr>
              <w:t>thousands)</w:t>
            </w:r>
            <w:r>
              <w:rPr>
                <w:rFonts w:ascii="Arial" w:cs="Arial" w:eastAsia="Arial" w:hAnsi="Arial"/>
                <w:sz w:val="23"/>
                <w:szCs w:val="23"/>
                <w:b w:val="1"/>
                <w:bCs w:val="1"/>
                <w:color w:val="auto"/>
                <w:w w:val="88"/>
                <w:vertAlign w:val="superscript"/>
              </w:rPr>
              <w:t>(1)</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2022</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2,785,353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216,478</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2,140,537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47,089</w:t>
            </w:r>
          </w:p>
        </w:tc>
      </w:tr>
      <w:tr>
        <w:trPr>
          <w:trHeight w:val="230"/>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(184,411)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103.07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4,031,659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295,279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4"/>
        </w:trPr>
        <w:tc>
          <w:tcPr>
            <w:tcW w:w="6820" w:type="dxa"/>
            <w:vAlign w:val="bottom"/>
          </w:tcPr>
          <w:p>
            <w:pPr>
              <w:ind w:left="20"/>
              <w:spacing w:after="0" w:line="203" w:lineRule="exact"/>
              <w:rPr>
                <w:sz w:val="20"/>
                <w:szCs w:val="20"/>
                <w:color w:val="auto"/>
              </w:rPr>
            </w:pPr>
            <w:r>
              <w:rPr>
                <w:rFonts w:ascii="Arial" w:cs="Arial" w:eastAsia="Arial" w:hAnsi="Arial"/>
                <w:sz w:val="18"/>
                <w:szCs w:val="18"/>
                <w:color w:val="auto"/>
              </w:rPr>
              <w:t>Expected to vest as of January 31, 2023</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4,031,659</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87.94</w:t>
            </w:r>
          </w:p>
        </w:tc>
        <w:tc>
          <w:tcPr>
            <w:tcW w:w="80" w:type="dxa"/>
            <w:vAlign w:val="bottom"/>
          </w:tcPr>
          <w:p>
            <w:pPr>
              <w:spacing w:after="0"/>
              <w:rPr>
                <w:sz w:val="17"/>
                <w:szCs w:val="17"/>
                <w:color w:val="auto"/>
              </w:rPr>
            </w:pPr>
          </w:p>
        </w:tc>
        <w:tc>
          <w:tcPr>
            <w:tcW w:w="18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295,279</w:t>
            </w:r>
          </w:p>
        </w:tc>
      </w:tr>
      <w:tr>
        <w:trPr>
          <w:trHeight w:val="20"/>
        </w:trPr>
        <w:tc>
          <w:tcPr>
            <w:tcW w:w="6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5" w:lineRule="exact"/>
        <w:rPr>
          <w:sz w:val="20"/>
          <w:szCs w:val="20"/>
          <w:color w:val="auto"/>
        </w:rPr>
      </w:pPr>
    </w:p>
    <w:p>
      <w:pPr>
        <w:ind w:firstLine="8"/>
        <w:spacing w:after="0" w:line="293" w:lineRule="auto"/>
        <w:tabs>
          <w:tab w:leader="none" w:pos="132" w:val="left"/>
        </w:tabs>
        <w:numPr>
          <w:ilvl w:val="0"/>
          <w:numId w:val="8"/>
        </w:numPr>
        <w:rPr>
          <w:rFonts w:ascii="Arial" w:cs="Arial" w:eastAsia="Arial" w:hAnsi="Arial"/>
          <w:sz w:val="9"/>
          <w:szCs w:val="9"/>
          <w:color w:val="auto"/>
        </w:rPr>
      </w:pPr>
      <w:r>
        <w:rPr>
          <w:rFonts w:ascii="Arial" w:cs="Arial" w:eastAsia="Arial" w:hAnsi="Arial"/>
          <w:sz w:val="14"/>
          <w:szCs w:val="14"/>
          <w:color w:val="auto"/>
        </w:rPr>
        <w:t>Aggregate intrinsic value at each period end represents the total market value of Stock Awards at the Company’s closing stock price of $73.24 and $77.72 on January 31, 2023 and July 31, 2022, respectively. Aggregate intrinsic value for released Stock Awards represents the total market value of released Stock Awards at date of release.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under the Company’s equity incentive plans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ind w:left="100"/>
              <w:spacing w:after="0"/>
              <w:rPr>
                <w:sz w:val="20"/>
                <w:szCs w:val="20"/>
                <w:color w:val="auto"/>
              </w:rPr>
            </w:pPr>
            <w:r>
              <w:rPr>
                <w:rFonts w:ascii="Arial" w:cs="Arial" w:eastAsia="Arial" w:hAnsi="Arial"/>
                <w:sz w:val="14"/>
                <w:szCs w:val="14"/>
                <w:b w:val="1"/>
                <w:bCs w:val="1"/>
                <w:color w:val="auto"/>
              </w:rPr>
              <w:t>Stock Options Outstanding</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7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6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7"/>
                <w:szCs w:val="17"/>
                <w:color w:val="auto"/>
              </w:rPr>
            </w:pPr>
          </w:p>
        </w:tc>
        <w:tc>
          <w:tcPr>
            <w:tcW w:w="960" w:type="dxa"/>
            <w:vAlign w:val="bottom"/>
          </w:tcPr>
          <w:p>
            <w:pPr>
              <w:jc w:val="center"/>
              <w:ind w:right="23"/>
              <w:spacing w:after="0" w:line="202"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(1)</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July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75,706</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61.93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121,168</w:t>
            </w:r>
          </w:p>
        </w:tc>
        <w:tc>
          <w:tcPr>
            <w:tcW w:w="26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66.76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2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69.60</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193,937</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64.90</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tcPr>
          <w:p>
            <w:pPr>
              <w:ind w:left="20"/>
              <w:spacing w:after="0"/>
              <w:rPr>
                <w:sz w:val="20"/>
                <w:szCs w:val="20"/>
                <w:color w:val="auto"/>
              </w:rPr>
            </w:pPr>
            <w:r>
              <w:rPr>
                <w:rFonts w:ascii="Arial" w:cs="Arial" w:eastAsia="Arial" w:hAnsi="Arial"/>
                <w:sz w:val="16"/>
                <w:szCs w:val="16"/>
                <w:color w:val="auto"/>
              </w:rPr>
              <w:t>Vested and expected to vest as of January 31, 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193,937</w:t>
            </w:r>
          </w:p>
        </w:tc>
        <w:tc>
          <w:tcPr>
            <w:tcW w:w="26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64.90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January 31, 2023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14,589</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22.01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firstLine="8"/>
        <w:spacing w:after="0" w:line="382" w:lineRule="auto"/>
        <w:tabs>
          <w:tab w:leader="none" w:pos="132" w:val="left"/>
        </w:tabs>
        <w:numPr>
          <w:ilvl w:val="0"/>
          <w:numId w:val="9"/>
        </w:numPr>
        <w:rPr>
          <w:rFonts w:ascii="Arial" w:cs="Arial" w:eastAsia="Arial" w:hAnsi="Arial"/>
          <w:sz w:val="8"/>
          <w:szCs w:val="8"/>
          <w:color w:val="auto"/>
        </w:rPr>
      </w:pPr>
      <w:r>
        <w:rPr>
          <w:rFonts w:ascii="Arial" w:cs="Arial" w:eastAsia="Arial" w:hAnsi="Arial"/>
          <w:sz w:val="12"/>
          <w:szCs w:val="12"/>
          <w:color w:val="auto"/>
        </w:rPr>
        <w:t>Aggregate intrinsic value at each period end represents the difference between the Company’s closing stock price of $73.24 and $77.72 on January 31, 2023 and July 31, 2022, respectively, and the exercise price of outstanding options. Aggregate intrinsic value for exercised options represents the difference between the Company’s stock price at date of exercise and the exercise price.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2022, the Company's board of directors authorized and approved a share repurchase program of up to $400.0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22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September 2022, the Company entered into an accelerated share repurchase (“ASR”) agreement with a large financial institution whereupon the Company provided them with a prepayment of $200.0 million and received an initial delivery of 2,581,478 shares of the Company’s common stock. Under the terms of the ASR, the total number of shares delivered and average price paid per share will be determined upon settlement based on the volume weighted average price over the term of the ASR, less an agreed upon discount. At settlement, the financial institution may be required to deliver additional shares of the Company’s common stock to the Company or, under certain circumstances, the Company may be required to make a cash payment or deliver shares of the Company’s common stock to the financial institution, with the method of settlement at the Company’s election. As of January 31, 2023, a portion of the ASR prepayment was evaluated as an unsettled forward contract indexed to the Company’s stock, classified within stockholders’ equity. Subsequent to January 31, 2023, the ASR was settled in full with the delivery of an additional 648,001 shares of common stock which resulted in total repurchases under the ASR of 3,229,479 shares of common stock at an average purchase price of $61.93.</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2023, the Company had approximately $200.0 million remaining for future share repurchases under the share repurchase program. The share repurchase program does not obligate the Company to repurchase any dollar amount or number of shares, and the program may be modified, suspended or discontinued at any time. There is no stated expiration date for the program.</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January 31, 2023, the Company did not repurchase any shares of common stock. During the six months ended January 31, 2023, the Company repurchased 2,581,478 shares of common stock under the ASR program described above.</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 and six months ended January 31, 2022, the Company repurchased 96,373 and 322,545 shares of common stock, respectively, at an average price of $116.09 and $116.11 per share, respectively, under a previously completed share repurchase program.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February 2023, the Company assigned the remaining lease term of its existing headquarters consisting of 179,496 square feet in San Mateo, California, with remaining lease payments of approximately $90 million due through December 2029, and concurrently entered into a sublease for 78,911 square feet of office space also in San Mateo, California with the same third party for its new worldwide headquarters. The term of the sublease is approximately 4 years with total lease payments of approximately $22 million. The Company is still evaluating the accounting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Guidewire delivers a leading platform that property and casualty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13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core operational services and products are InsuranceSuite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11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Guidewire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InsuranceNow is a complete, cloud-based application that offers policy, billing, and claims management functionality to insurers.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InsuranceSuite for self-managed installations is comprised of three core applications (PolicyCenter, BillingCenter, and ClaimCenter) that can be licensed separately or together and can be deployed and updated by our customers and their implementation partners.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customers range from some of the largest global insurance companies or their subsidiaries to predominantly national or local insurers that serve</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9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Because our platform is critical to our new and existing customers’ businesses, their decision-making and product evaluation process is thorough, which often results in an extended sales cycle. These evaluation periods can extend further if a customer purchases multiple services and products or is considering a move to a cloud-based subscription for the first time.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 and migrations.</w:t>
      </w:r>
    </w:p>
    <w:p>
      <w:pPr>
        <w:spacing w:after="0" w:line="12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sell our cloud-delivered offerings through subscription services and our self-managed products through term licenses. We generally price our services and products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We also offer professional services, both directly and through SI partners, to help our customers deploy, migrate, and utilize our platform, services, and products. A majority of our services revenue is billed monthly on a time and materials basis.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spacing w:after="0" w:line="13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10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3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and migrating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4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and securely managing the infrastructure of our cloud-based customers. In response to these and other risks we might face, we continue to invest in many areas of our business, including product development, cloud operations, cybersecurity, implementation and migration services, and sales and marketing.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term license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comparison with our second quarter of fiscal year 2021 and created a challenging comparable period for the first quarter of fiscal year 2022.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20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Global Events</w:t>
      </w:r>
    </w:p>
    <w:p>
      <w:pPr>
        <w:spacing w:after="0" w:line="1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Recent global events have adversely affected and are continuing to adversely affect workforces, organizations, economies, and financial markets globally, leading to economic downturns, inflation, and increased market volatility. 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Additionally, the ongoing conflict between Russia and Ukraine, inflation higher than we have seen in decades, and supply chain issues have added to global economic and market volatility. While we are unable to accurately predict the full impact that these global events will have on our results of operations, financial condition, liquidity, and cash flows due to numerous uncertainties, including the duration and severity of the pandemic, and containment measures and if there are any periods of increases in the number of COVID-19 cases or future variants of the virus in areas in which we operate, our compliance with containment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our employees continue to work remotely a majority of the time. In addition, many of our existing and potential customers are working remotely, which may continue to extend our sales cycle, to delay the timing of new orders, and increase the time to complete professional services engagements in the future.</w:t>
      </w:r>
    </w:p>
    <w:p>
      <w:pPr>
        <w:spacing w:after="0" w:line="12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business and financial results since the third quarter of fiscal year 2020 have been impacted due to these disruptions, which has affected our ARR growth rates, services revenue and margins, operating cash flow and expenses, potentially higher employee attrition, challenges in hiring and onboarding necessary personnel, and the change in fair value of strategic investments. Our sales cycles, ARR growth rates and revenue, especially services revenue, continued to be impacted as a result of these disruptions and challenges. Additionally, in recent quarters, inflation has reached levels that have not been seen for decades, which is impacting the global economy and magnifying the impact of these disruptions.</w:t>
      </w:r>
    </w:p>
    <w:p>
      <w:pPr>
        <w:spacing w:after="0" w:line="12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Although vaccines have made progress against the COVID-19 pandemic in the United States and certain other parts of the world where vaccinations are widely available, the economic impact of the pandemic and other disruptions on our business and the businesses of our customers, SI partners, and vendors may continue. We believe that new sales activities are being delayed, not cancelled, and implementation engagements are being rescheduled to later periods or being completed over a longer period of time. Certain marketing events have been cancelled or postponed, while others are being hosted both in-person and virtually, like our customer conference, Connections. 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or goodwill.</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continue to evaluate the nature and extent of the impact of COVID-19 and other global events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six months ended January 31, 2023, the recurring license and support or subscription contract value recognized as services revenue was $19.7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31, 2023, ARR was $707 million, compared to $664 million as of July 31, 2022. We measure ARR results on a constant currency basis during the fiscal year and revalue ARR at year end to current currency rates.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payments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and leasehold improvements, and capitalized software development costs. Free cash flow in the six months ended January 31, 2023, was impacted by severance payments of $2.9 million. Free cash flow in the six months ended January 31, 2022 was impacted by payments of $18.1 million related to settling accrued vacation balances in countries in which we adopted a non-accrual vacation policy. For a further discussion of our operating cash flows, see “Liquidity and Capital Resources –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Six Months Ended January 31,</w:t>
            </w:r>
          </w:p>
        </w:tc>
        <w:tc>
          <w:tcPr>
            <w:tcW w:w="76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(86,215)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(110,052)</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(6,990)</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(6,118)</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(6,197)</w:t>
            </w:r>
          </w:p>
        </w:tc>
      </w:tr>
      <w:tr>
        <w:trPr>
          <w:trHeight w:val="212"/>
        </w:trPr>
        <w:tc>
          <w:tcPr>
            <w:tcW w:w="7000" w:type="dxa"/>
            <w:vAlign w:val="bottom"/>
          </w:tcPr>
          <w:p>
            <w:pPr>
              <w:ind w:left="140"/>
              <w:spacing w:after="0"/>
              <w:rPr>
                <w:sz w:val="20"/>
                <w:szCs w:val="20"/>
                <w:color w:val="auto"/>
              </w:rPr>
            </w:pPr>
            <w:r>
              <w:rPr>
                <w:rFonts w:ascii="Arial" w:cs="Arial" w:eastAsia="Arial" w:hAnsi="Arial"/>
                <w:sz w:val="16"/>
                <w:szCs w:val="16"/>
                <w:color w:val="auto"/>
              </w:rPr>
              <w:t>Free cash flow</w:t>
            </w: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(94,270)</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(123,239)</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consolidated financial statements included in our Annual Report on Form 10-K for the fiscal year ended July 31, 2022, our revenue recognition policies are critical to the periods presented.</w:t>
      </w:r>
    </w:p>
    <w:p>
      <w:pPr>
        <w:spacing w:after="0" w:line="11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as described in “Management's Discussion and Analysis of Financial Condition and Results of Operations – Critical Accounting Policies and Estimates” in our Annual Report on Form 10-K for the fiscal year ended July 31,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w w:val="92"/>
              </w:rPr>
              <w:t>Three Months Ended January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120"/>
              <w:spacing w:after="0" w:line="177" w:lineRule="exact"/>
              <w:rPr>
                <w:sz w:val="20"/>
                <w:szCs w:val="20"/>
                <w:color w:val="auto"/>
              </w:rPr>
            </w:pPr>
            <w:r>
              <w:rPr>
                <w:rFonts w:ascii="Arial" w:cs="Arial" w:eastAsia="Arial" w:hAnsi="Arial"/>
                <w:sz w:val="18"/>
                <w:szCs w:val="18"/>
                <w:b w:val="1"/>
                <w:bCs w:val="1"/>
                <w:color w:val="auto"/>
              </w:rPr>
              <w:t>As a % of total</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3"/>
              </w:rPr>
              <w:t>As a % of 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revenue</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w w:val="87"/>
              </w:rPr>
              <w:t>(in thousands, except percentages)</w:t>
            </w: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Subscription and support</w:t>
            </w: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105,754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84,297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Services</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232,611</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204,633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and support</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License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2,254</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51,912</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Subscription and support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56,830</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36,021</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Services</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gross profit</w:t>
            </w: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102,191</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44,781</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48,507</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40,196</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37,337</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146,679</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141,648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5,392</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Provision for (benefit from) income taxes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(10,955)</w:t>
            </w:r>
          </w:p>
        </w:tc>
        <w:tc>
          <w:tcPr>
            <w:tcW w:w="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0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3"/>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6"/>
              </w:rPr>
              <w:t>Six Months Ended January 31,</w:t>
            </w:r>
          </w:p>
        </w:tc>
        <w:tc>
          <w:tcPr>
            <w:tcW w:w="1380" w:type="dxa"/>
            <w:vAlign w:val="bottom"/>
            <w:tcBorders>
              <w:bottom w:val="single" w:sz="8" w:color="auto"/>
            </w:tcBorders>
          </w:tcPr>
          <w:p>
            <w:pPr>
              <w:spacing w:after="0"/>
              <w:rPr>
                <w:sz w:val="24"/>
                <w:szCs w:val="24"/>
                <w:color w:val="auto"/>
              </w:rPr>
            </w:pPr>
          </w:p>
        </w:tc>
      </w:tr>
      <w:tr>
        <w:trPr>
          <w:trHeight w:val="169"/>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As a % of total</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ind w:right="10"/>
              <w:spacing w:after="0" w:line="169" w:lineRule="exact"/>
              <w:rPr>
                <w:sz w:val="20"/>
                <w:szCs w:val="20"/>
                <w:color w:val="auto"/>
              </w:rPr>
            </w:pPr>
            <w:r>
              <w:rPr>
                <w:rFonts w:ascii="Arial" w:cs="Arial" w:eastAsia="Arial" w:hAnsi="Arial"/>
                <w:sz w:val="18"/>
                <w:szCs w:val="18"/>
                <w:b w:val="1"/>
                <w:bCs w:val="1"/>
                <w:color w:val="auto"/>
              </w:rPr>
              <w:t>As a % of total</w:t>
            </w:r>
          </w:p>
        </w:tc>
      </w:tr>
      <w:tr>
        <w:trPr>
          <w:trHeight w:val="243"/>
        </w:trPr>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revenue</w:t>
            </w:r>
          </w:p>
        </w:tc>
      </w:tr>
      <w:tr>
        <w:trPr>
          <w:trHeight w:val="223"/>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5"/>
          </w:tcPr>
          <w:p>
            <w:pPr>
              <w:ind w:left="100"/>
              <w:spacing w:after="0"/>
              <w:rPr>
                <w:sz w:val="20"/>
                <w:szCs w:val="20"/>
                <w:color w:val="auto"/>
              </w:rPr>
            </w:pPr>
            <w:r>
              <w:rPr>
                <w:rFonts w:ascii="Arial" w:cs="Arial" w:eastAsia="Arial" w:hAnsi="Arial"/>
                <w:sz w:val="18"/>
                <w:szCs w:val="18"/>
                <w:b w:val="1"/>
                <w:bCs w:val="1"/>
                <w:color w:val="auto"/>
                <w:w w:val="87"/>
              </w:rPr>
              <w:t>(in thousands, except percentages)</w:t>
            </w:r>
          </w:p>
        </w:tc>
        <w:tc>
          <w:tcPr>
            <w:tcW w:w="1380" w:type="dxa"/>
            <w:vAlign w:val="bottom"/>
          </w:tcPr>
          <w:p>
            <w:pPr>
              <w:spacing w:after="0"/>
              <w:rPr>
                <w:sz w:val="19"/>
                <w:szCs w:val="19"/>
                <w:color w:val="auto"/>
              </w:rPr>
            </w:pPr>
          </w:p>
        </w:tc>
      </w:tr>
      <w:tr>
        <w:trPr>
          <w:trHeight w:val="229"/>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204,822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163,287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r>
      <w:tr>
        <w:trPr>
          <w:trHeight w:val="230"/>
        </w:trPr>
        <w:tc>
          <w:tcPr>
            <w:tcW w:w="3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97,329</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w:t>
            </w:r>
          </w:p>
        </w:tc>
      </w:tr>
      <w:tr>
        <w:trPr>
          <w:trHeight w:val="223"/>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427,893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370,567</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r>
      <w:tr>
        <w:trPr>
          <w:trHeight w:val="210"/>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r>
      <w:tr>
        <w:trPr>
          <w:trHeight w:val="229"/>
        </w:trPr>
        <w:tc>
          <w:tcPr>
            <w:tcW w:w="32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License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4,593</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30"/>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23"/>
        </w:trPr>
        <w:tc>
          <w:tcPr>
            <w:tcW w:w="3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232,278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199,982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w:t>
            </w:r>
          </w:p>
        </w:tc>
      </w:tr>
      <w:tr>
        <w:trPr>
          <w:trHeight w:val="210"/>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32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Subscription and support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100,207</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66,961</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29"/>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30"/>
        </w:trPr>
        <w:tc>
          <w:tcPr>
            <w:tcW w:w="3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(14,941)</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23"/>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10"/>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r>
      <w:tr>
        <w:trPr>
          <w:trHeight w:val="230"/>
        </w:trPr>
        <w:tc>
          <w:tcPr>
            <w:tcW w:w="32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91,249</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89,512</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29"/>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23"/>
        </w:trPr>
        <w:tc>
          <w:tcPr>
            <w:tcW w:w="3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293,384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275,419</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w:t>
            </w:r>
          </w:p>
        </w:tc>
      </w:tr>
      <w:tr>
        <w:trPr>
          <w:trHeight w:val="223"/>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30"/>
        </w:trPr>
        <w:tc>
          <w:tcPr>
            <w:tcW w:w="32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1,373</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3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29"/>
        </w:trPr>
        <w:tc>
          <w:tcPr>
            <w:tcW w:w="3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29"/>
        </w:trPr>
        <w:tc>
          <w:tcPr>
            <w:tcW w:w="3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r>
      <w:tr>
        <w:trPr>
          <w:trHeight w:val="248"/>
        </w:trPr>
        <w:tc>
          <w:tcPr>
            <w:tcW w:w="5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(78,507)</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(91,957)</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derive our revenue primarily from delivering cloud-based services, licensing our software applications, providing support, and delivering professional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Support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implementation period. Under these migration agreements, a portion of the total contract value related to subscription services could be allocated and recognized as term license and support revenue in the period renewed or delivered.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9"/>
          </w:tcPr>
          <w:p>
            <w:pPr>
              <w:jc w:val="center"/>
              <w:ind w:left="790"/>
              <w:spacing w:after="0"/>
              <w:rPr>
                <w:sz w:val="20"/>
                <w:szCs w:val="20"/>
                <w:color w:val="auto"/>
              </w:rPr>
            </w:pPr>
            <w:r>
              <w:rPr>
                <w:rFonts w:ascii="Arial" w:cs="Arial" w:eastAsia="Arial" w:hAnsi="Arial"/>
                <w:sz w:val="18"/>
                <w:szCs w:val="18"/>
                <w:b w:val="1"/>
                <w:bCs w:val="1"/>
                <w:color w:val="auto"/>
                <w:w w:val="92"/>
              </w:rPr>
              <w:t>Three Months Ended January 31,</w:t>
            </w: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w w:val="84"/>
              </w:rPr>
              <w:t>2023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w w:val="93"/>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80"/>
              <w:spacing w:after="0" w:line="184" w:lineRule="exact"/>
              <w:rPr>
                <w:sz w:val="20"/>
                <w:szCs w:val="20"/>
                <w:color w:val="auto"/>
              </w:rPr>
            </w:pPr>
            <w:r>
              <w:rPr>
                <w:rFonts w:ascii="Arial" w:cs="Arial" w:eastAsia="Arial" w:hAnsi="Arial"/>
                <w:sz w:val="18"/>
                <w:szCs w:val="18"/>
                <w:b w:val="1"/>
                <w:bCs w:val="1"/>
                <w:color w:val="auto"/>
                <w:w w:val="89"/>
              </w:rPr>
              <w:t>total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80"/>
              <w:spacing w:after="0" w:line="184" w:lineRule="exact"/>
              <w:rPr>
                <w:sz w:val="20"/>
                <w:szCs w:val="20"/>
                <w:color w:val="auto"/>
              </w:rPr>
            </w:pPr>
            <w:r>
              <w:rPr>
                <w:rFonts w:ascii="Arial" w:cs="Arial" w:eastAsia="Arial" w:hAnsi="Arial"/>
                <w:sz w:val="18"/>
                <w:szCs w:val="18"/>
                <w:b w:val="1"/>
                <w:bCs w:val="1"/>
                <w:color w:val="auto"/>
                <w:w w:val="89"/>
              </w:rPr>
              <w:t>total</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9"/>
              </w:rPr>
              <w:t>revenue</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80" w:type="dxa"/>
            <w:vAlign w:val="bottom"/>
            <w:gridSpan w:val="9"/>
          </w:tcPr>
          <w:p>
            <w:pPr>
              <w:jc w:val="center"/>
              <w:ind w:left="770"/>
              <w:spacing w:after="0"/>
              <w:rPr>
                <w:sz w:val="20"/>
                <w:szCs w:val="20"/>
                <w:color w:val="auto"/>
              </w:rPr>
            </w:pPr>
            <w:r>
              <w:rPr>
                <w:rFonts w:ascii="Arial" w:cs="Arial" w:eastAsia="Arial" w:hAnsi="Arial"/>
                <w:sz w:val="18"/>
                <w:szCs w:val="18"/>
                <w:b w:val="1"/>
                <w:bCs w:val="1"/>
                <w:color w:val="auto"/>
                <w:w w:val="86"/>
              </w:rPr>
              <w:t>(in thousands, except percentages)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86,015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62,871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23,144</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Support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19,739</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License: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license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73,067</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Perpetual license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50,538</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232,611</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27,978</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gridSpan w:val="3"/>
          </w:tcPr>
          <w:p>
            <w:pPr>
              <w:jc w:val="right"/>
              <w:ind w:right="75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8"/>
                <w:szCs w:val="18"/>
                <w:b w:val="1"/>
                <w:bCs w:val="1"/>
                <w:color w:val="auto"/>
                <w:w w:val="91"/>
              </w:rPr>
              <w:t>Six Months Ended January 31,</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w w:val="84"/>
              </w:rPr>
              <w:t>2023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w w:val="93"/>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total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80"/>
              <w:spacing w:after="0" w:line="184" w:lineRule="exact"/>
              <w:rPr>
                <w:sz w:val="20"/>
                <w:szCs w:val="20"/>
                <w:color w:val="auto"/>
              </w:rPr>
            </w:pPr>
            <w:r>
              <w:rPr>
                <w:rFonts w:ascii="Arial" w:cs="Arial" w:eastAsia="Arial" w:hAnsi="Arial"/>
                <w:sz w:val="18"/>
                <w:szCs w:val="18"/>
                <w:b w:val="1"/>
                <w:bCs w:val="1"/>
                <w:color w:val="auto"/>
                <w:w w:val="89"/>
              </w:rPr>
              <w:t>total</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revenue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4280" w:type="dxa"/>
            <w:vAlign w:val="bottom"/>
            <w:gridSpan w:val="3"/>
            <w:vMerge w:val="restart"/>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80" w:type="dxa"/>
            <w:vAlign w:val="bottom"/>
            <w:gridSpan w:val="9"/>
          </w:tcPr>
          <w:p>
            <w:pPr>
              <w:jc w:val="center"/>
              <w:ind w:left="770"/>
              <w:spacing w:after="0"/>
              <w:rPr>
                <w:sz w:val="20"/>
                <w:szCs w:val="20"/>
                <w:color w:val="auto"/>
              </w:rPr>
            </w:pPr>
            <w:r>
              <w:rPr>
                <w:rFonts w:ascii="Arial" w:cs="Arial" w:eastAsia="Arial" w:hAnsi="Arial"/>
                <w:sz w:val="18"/>
                <w:szCs w:val="18"/>
                <w:b w:val="1"/>
                <w:bCs w:val="1"/>
                <w:color w:val="auto"/>
                <w:w w:val="86"/>
              </w:rPr>
              <w:t>(in thousands, except percentages)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Subscription and support: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Subscription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164,992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44,992</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Support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39,830</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80" w:type="dxa"/>
            <w:vAlign w:val="bottom"/>
            <w:gridSpan w:val="3"/>
          </w:tcPr>
          <w:p>
            <w:pPr>
              <w:ind w:left="140"/>
              <w:spacing w:after="0"/>
              <w:rPr>
                <w:sz w:val="20"/>
                <w:szCs w:val="20"/>
                <w:color w:val="auto"/>
              </w:rPr>
            </w:pPr>
            <w:r>
              <w:rPr>
                <w:rFonts w:ascii="Arial" w:cs="Arial" w:eastAsia="Arial" w:hAnsi="Arial"/>
                <w:sz w:val="18"/>
                <w:szCs w:val="18"/>
                <w:color w:val="auto"/>
              </w:rPr>
              <w:t>License: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license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113,956</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109,855</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Perpetual license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109,004</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97,329</w:t>
            </w: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4280" w:type="dxa"/>
            <w:vAlign w:val="bottom"/>
            <w:gridSpan w:val="3"/>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427,893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370,567</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57,326</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Subscription and Support</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in a given period, our short-term growth rates will be negatively impacted. Due to the seasonal nature of our business, the impact of new subscription orders in the fourth fiscal quarter, our historically largest quarter for new orders, is not fully reflected in revenues until the following fiscal year.</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Subscription revenue increased by $23.1 million and $45.0 million during the three and six months ended January 31, 2023, respectively, compared to the same periods a year ago, primarily due to new subscription agreements entered into and provisioned since January 31, 2022, the impact of cloud transition agreements, and, to a lesser extent, the renewal or extension of subscription services at the fully ramped annual fees after the initial committed term.</w:t>
      </w:r>
    </w:p>
    <w:p>
      <w:pPr>
        <w:spacing w:after="0" w:line="13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Support revenue decreased by $1.7 million and $3.5 million during the three and six months ended January 31, 2023, respectively, compared to the same periods a year ago, primarily due to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Term license revenue increased by $3.3 million during the three months ended January 31, 2023, compared to the same period a year ago. The increase is primarily driven by an increase of $2.7 million in new deals, and to a lesser extent, the net impact of agreements that migrated from a term license to a subscription service and renewals. The impact on term license revenue from contracts with an initial term of greater than two years or a renewal term of greater than one year was $0.3 million during the three months ended January 31, 2023 compared with $1.1 million in the prior year period.</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Term license revenue increased by $4.1 million during the six months ended January 31, 2023, compared to the same period a year ago. The increase is primarily driven by an increase of $6.4 million in new deals and $2.1 million in renewals, which was partially offset by a $4.1 million decrease due to agreements that migrated from a term license to a subscription service in the prior year period. Ongoing revenue related to migration agreements is recorded as subscription revenue. The impact on term license revenue from contracts with an initial term of greater than two years or a renewal term of greater than one year was $3.7 million during the six months ended January 31, 2023 compared with $1.1 million in the prior year period.</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Perpetual license revenue accounted for less than 1% of total revenue during the three and six months ended January 31, 2023.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Services revenue increased by $3.2 million and $11.7 million during the three and six months ended January 31, 2023, respectively, compared to the same periods a year ago. The increase is primarily driven by an increase in the number and size of subscription implementation and migration projects, but services revenue overall continues to be impacted by contracts with lower average services billing rates and increased investments in customer implementations, including fixed fee or capped arrangements, to accelerate customer transition to the cloud. In these arrangements when a project extends longer than originally anticipated, the average billing rate we recognize may decrease, which can result in revenue adjustments and lower gross profit.</w:t>
      </w:r>
    </w:p>
    <w:p>
      <w:pPr>
        <w:spacing w:after="0" w:line="10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expect some level of variability in our services revenue in future periods. As we successfully leverage our SI partners to lead more implementations and migrations, our services revenue could decrease. We expect challenges related to global events including inflation and our ability to hire additional services professionals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services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00" w:type="dxa"/>
            <w:vAlign w:val="bottom"/>
            <w:gridSpan w:val="2"/>
          </w:tcPr>
          <w:p>
            <w:pPr>
              <w:jc w:val="center"/>
              <w:ind w:right="5040"/>
              <w:spacing w:after="0"/>
              <w:rPr>
                <w:sz w:val="20"/>
                <w:szCs w:val="20"/>
                <w:color w:val="auto"/>
              </w:rPr>
            </w:pPr>
            <w:r>
              <w:rPr>
                <w:rFonts w:ascii="Arial" w:cs="Arial" w:eastAsia="Arial" w:hAnsi="Arial"/>
                <w:sz w:val="18"/>
                <w:szCs w:val="18"/>
                <w:color w:val="0000FF"/>
                <w:w w:val="88"/>
              </w:rPr>
              <w:t>Table of Contents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31"/>
        </w:trPr>
        <w:tc>
          <w:tcPr>
            <w:tcW w:w="340" w:type="dxa"/>
            <w:vAlign w:val="bottom"/>
          </w:tcPr>
          <w:p>
            <w:pPr>
              <w:spacing w:after="0"/>
              <w:rPr>
                <w:sz w:val="24"/>
                <w:szCs w:val="24"/>
                <w:color w:val="auto"/>
              </w:rPr>
            </w:pPr>
          </w:p>
        </w:tc>
        <w:tc>
          <w:tcPr>
            <w:tcW w:w="6300" w:type="dxa"/>
            <w:vAlign w:val="bottom"/>
            <w:gridSpan w:val="2"/>
          </w:tcPr>
          <w:p>
            <w:pPr>
              <w:jc w:val="center"/>
              <w:ind w:right="5040"/>
              <w:spacing w:after="0"/>
              <w:rPr>
                <w:sz w:val="20"/>
                <w:szCs w:val="20"/>
                <w:color w:val="auto"/>
              </w:rPr>
            </w:pPr>
            <w:r>
              <w:rPr>
                <w:rFonts w:ascii="Arial" w:cs="Arial" w:eastAsia="Arial" w:hAnsi="Arial"/>
                <w:sz w:val="18"/>
                <w:szCs w:val="18"/>
                <w:b w:val="1"/>
                <w:bCs w:val="1"/>
                <w:i w:val="1"/>
                <w:iCs w:val="1"/>
                <w:color w:val="auto"/>
                <w:w w:val="85"/>
              </w:rPr>
              <w:t>Cost of 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8"/>
                <w:szCs w:val="18"/>
                <w:b w:val="1"/>
                <w:bCs w:val="1"/>
                <w:color w:val="auto"/>
                <w:w w:val="92"/>
              </w:rPr>
              <w:t>Three Months Ended January 31,</w:t>
            </w:r>
          </w:p>
        </w:tc>
        <w:tc>
          <w:tcPr>
            <w:tcW w:w="78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6"/>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6"/>
              </w:rPr>
              <w:t>(in thousands, except percentages)</w:t>
            </w:r>
          </w:p>
        </w:tc>
        <w:tc>
          <w:tcPr>
            <w:tcW w:w="78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640" w:type="dxa"/>
            <w:vAlign w:val="bottom"/>
            <w:gridSpan w:val="3"/>
          </w:tcPr>
          <w:p>
            <w:pPr>
              <w:ind w:left="140"/>
              <w:spacing w:after="0"/>
              <w:rPr>
                <w:sz w:val="20"/>
                <w:szCs w:val="20"/>
                <w:color w:val="auto"/>
              </w:rPr>
            </w:pPr>
            <w:r>
              <w:rPr>
                <w:rFonts w:ascii="Arial" w:cs="Arial" w:eastAsia="Arial" w:hAnsi="Arial"/>
                <w:sz w:val="18"/>
                <w:szCs w:val="18"/>
                <w:color w:val="auto"/>
              </w:rPr>
              <w:t>Subscription and support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48,924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48,276</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6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(18)%</w:t>
            </w:r>
          </w:p>
        </w:tc>
      </w:tr>
      <w:tr>
        <w:trPr>
          <w:trHeight w:val="229"/>
        </w:trPr>
        <w:tc>
          <w:tcPr>
            <w:tcW w:w="66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r>
      <w:tr>
        <w:trPr>
          <w:trHeight w:val="248"/>
        </w:trPr>
        <w:tc>
          <w:tcPr>
            <w:tcW w:w="6640" w:type="dxa"/>
            <w:vAlign w:val="bottom"/>
            <w:tcBorders>
              <w:bottom w:val="single" w:sz="8" w:color="CCEEFF"/>
            </w:tcBorders>
            <w:gridSpan w:val="3"/>
            <w:shd w:val="clear" w:color="auto" w:fill="CCEEFF"/>
          </w:tcPr>
          <w:p>
            <w:pPr>
              <w:jc w:val="center"/>
              <w:ind w:right="4680"/>
              <w:spacing w:after="0"/>
              <w:rPr>
                <w:sz w:val="20"/>
                <w:szCs w:val="20"/>
                <w:color w:val="auto"/>
              </w:rPr>
            </w:pPr>
            <w:r>
              <w:rPr>
                <w:rFonts w:ascii="Arial" w:cs="Arial" w:eastAsia="Arial" w:hAnsi="Arial"/>
                <w:sz w:val="18"/>
                <w:szCs w:val="18"/>
                <w:color w:val="auto"/>
                <w:w w:val="90"/>
              </w:rPr>
              <w:t>Total cost of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664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95"/>
        </w:trPr>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Cost of subscription and support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3,406</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34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license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Cost of services revenue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4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8"/>
                <w:szCs w:val="18"/>
                <w:b w:val="1"/>
                <w:bCs w:val="1"/>
                <w:color w:val="auto"/>
                <w:w w:val="91"/>
              </w:rPr>
              <w:t>Six Months Ended January 31,</w:t>
            </w:r>
          </w:p>
        </w:tc>
        <w:tc>
          <w:tcPr>
            <w:tcW w:w="78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6"/>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6"/>
              </w:rPr>
              <w:t>(in thousands, except percentages)</w:t>
            </w:r>
          </w:p>
        </w:tc>
        <w:tc>
          <w:tcPr>
            <w:tcW w:w="78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640" w:type="dxa"/>
            <w:vAlign w:val="bottom"/>
            <w:gridSpan w:val="3"/>
          </w:tcPr>
          <w:p>
            <w:pPr>
              <w:ind w:left="140"/>
              <w:spacing w:after="0"/>
              <w:rPr>
                <w:sz w:val="20"/>
                <w:szCs w:val="20"/>
                <w:color w:val="auto"/>
              </w:rPr>
            </w:pPr>
            <w:r>
              <w:rPr>
                <w:rFonts w:ascii="Arial" w:cs="Arial" w:eastAsia="Arial" w:hAnsi="Arial"/>
                <w:sz w:val="18"/>
                <w:szCs w:val="18"/>
                <w:color w:val="auto"/>
              </w:rPr>
              <w:t>Subscription and support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104,615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96,326</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8,289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6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(19)</w:t>
            </w:r>
          </w:p>
        </w:tc>
      </w:tr>
      <w:tr>
        <w:trPr>
          <w:trHeight w:val="230"/>
        </w:trPr>
        <w:tc>
          <w:tcPr>
            <w:tcW w:w="66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24,882</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25</w:t>
            </w:r>
          </w:p>
        </w:tc>
      </w:tr>
      <w:tr>
        <w:trPr>
          <w:trHeight w:val="248"/>
        </w:trPr>
        <w:tc>
          <w:tcPr>
            <w:tcW w:w="6640" w:type="dxa"/>
            <w:vAlign w:val="bottom"/>
            <w:tcBorders>
              <w:bottom w:val="single" w:sz="8" w:color="CCEEFF"/>
            </w:tcBorders>
            <w:gridSpan w:val="3"/>
            <w:shd w:val="clear" w:color="auto" w:fill="CCEEFF"/>
          </w:tcPr>
          <w:p>
            <w:pPr>
              <w:jc w:val="center"/>
              <w:ind w:right="4680"/>
              <w:spacing w:after="0"/>
              <w:rPr>
                <w:sz w:val="20"/>
                <w:szCs w:val="20"/>
                <w:color w:val="auto"/>
              </w:rPr>
            </w:pPr>
            <w:r>
              <w:rPr>
                <w:rFonts w:ascii="Arial" w:cs="Arial" w:eastAsia="Arial" w:hAnsi="Arial"/>
                <w:sz w:val="18"/>
                <w:szCs w:val="18"/>
                <w:color w:val="auto"/>
                <w:w w:val="90"/>
              </w:rPr>
              <w:t>Total cost of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232,278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32,296</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0"/>
        </w:trPr>
        <w:tc>
          <w:tcPr>
            <w:tcW w:w="664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55"/>
        </w:trPr>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Cost of subscription and support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6,908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6,436</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4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license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Cost of services revenue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5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Cost of subscription and support revenue during the three months ended January 31, 2023, increased by $0.6 million compared to the same period a year ago, primarily due to an increase in cloud infrastructure expense of $3.5 million for our growing cloud customer base. This increase was partially offset by decreases in amortization of intangibles of $1.4 million due to certain acquired intangible assets being fully amortized, personnel costs of $0.8 million, and professional services of $0.6 million. As a result of efficiencies that we are seeing from our previous investments in cloud operations and development efforts along with the macroeconomic environment, we have slowed hiring and are critically evaluating professional services contracts and third-party software costs.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subscription and support revenue during the six months ended January 31, 2023, increased by $8.3 million compared to the same period a year ago, primarily due to an increase in cloud infrastructure expense of $10.8 million for our growing cloud customer base, royalties of $0.3 million, and personnel of $0.1 million. These increases were partially offset by decreases in professional services of $1.6 million and $1.3 million in amortization of intangibles due to certain acquired intangible assets being fully amortized.</w:t>
      </w:r>
    </w:p>
    <w:p>
      <w:pPr>
        <w:spacing w:after="0" w:line="133"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Due to our continued investment in cloud-based operations, increase in new cloud-based customers, and increased usage from existing cloud-based customers, the costs to provide our subscription and support services increased. We expect our cost of subscription and support revenue to decrease as a percentage of revenue, but increase in absolute dollars, due to inflation, platform and product investments, and more customers utilizing our cloud product. To address cloud infrastructure costs, we entered into a five-year amendment with our cloud infrastructure provider. However, we believe that the cost of subscription and support revenue will grow at a slower rate than subscription and support revenue in future years as we achieve economies of scale and other efficiencies. The short-term impact of these trends along with mix within subscription and support revenue may result in a decline in subscription and support gross margin even though subscription and support gross profit increases in absolute dollars.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$0.4 million decrease in our cost of license revenue during the three months ended January 31, 2023, compared to the same period a year ago, was due to lower personnel costs associated with the development of online training curriculum included with the latest releases of InsuranceSuite.</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$0.9 million decrease in our cost of license revenue during the six months ended January 31, 2023, compared to the same period a year ago, was primarily due to lower personnel costs associated with the development of online training curriculum included with the latest releases of InsuranceSuite of $0.7 million, and to a lesser extent, a decrease of $0.1 million in amortization of intangibles due to certain acquired intangible assets being fully amortized.</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continue to anticipate lower cost of license revenue over time as our term license customers transition to cloud subscription agreements.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$6.5 million increase in cost of services revenue during the three months ended January 31, 2023, compared to the same period a year ago, was primarily due to increases of $5.3 million in subcontractor expenses and $1.3 million in personnel expenses associated with an increase in headcount. Both of these increases are to staff the increase in cloud migration and implementation projects.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$24.9 million increase in cost of services revenue during the six months ended January 31, 2023, compared to the same period a year ago, was primarily due to increases of $18.6 million in subcontractor expenses to staff cloud migration and implementation projects and $6.7 million in personnel expenses associated with an increase in headcount, partially offset by a decrease of $0.5 million in professional services.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had 649 cloud operations and technical support employees and 804 professional services employees at January 31, 2023, compared to 666 cloud operations and technical support employees and 678 professional services employees at January 31,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Gross Profit: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92"/>
              </w:rPr>
              <w:t>Three Months Ended January 31,</w:t>
            </w: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w w:val="93"/>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80" w:type="dxa"/>
            <w:vAlign w:val="bottom"/>
            <w:gridSpan w:val="8"/>
          </w:tcPr>
          <w:p>
            <w:pPr>
              <w:jc w:val="center"/>
              <w:ind w:left="770"/>
              <w:spacing w:after="0"/>
              <w:rPr>
                <w:sz w:val="20"/>
                <w:szCs w:val="20"/>
                <w:color w:val="auto"/>
              </w:rPr>
            </w:pPr>
            <w:r>
              <w:rPr>
                <w:rFonts w:ascii="Arial" w:cs="Arial" w:eastAsia="Arial" w:hAnsi="Arial"/>
                <w:sz w:val="18"/>
                <w:szCs w:val="18"/>
                <w:b w:val="1"/>
                <w:bCs w:val="1"/>
                <w:color w:val="auto"/>
                <w:w w:val="86"/>
              </w:rPr>
              <w:t>(in thousands, except percentages)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56,830</w:t>
            </w:r>
          </w:p>
        </w:tc>
        <w:tc>
          <w:tcPr>
            <w:tcW w:w="8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2"/>
              </w:rPr>
              <w:t>54 %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36,021</w:t>
            </w:r>
          </w:p>
        </w:tc>
        <w:tc>
          <w:tcPr>
            <w:tcW w:w="8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Arial" w:cs="Arial" w:eastAsia="Arial" w:hAnsi="Arial"/>
                <w:sz w:val="18"/>
                <w:szCs w:val="18"/>
                <w:color w:val="auto"/>
                <w:w w:val="92"/>
              </w:rPr>
              <w:t>43 %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20,809</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4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(237)%</w:t>
            </w:r>
          </w:p>
        </w:tc>
      </w:tr>
      <w:tr>
        <w:trPr>
          <w:trHeight w:val="248"/>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2"/>
              </w:rPr>
              <w:t>53 %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2"/>
              </w:rPr>
              <w:t>50 %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21,272</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gross profit increased $21.3 million during the three months ended January 31, 2023, compared to the same period a year ago. Gross profit was impacted by an increase in subscription and support gross profit due to the increase in subscription revenue and cloud operations efficiencies, partially offset by a decrease in services gross profit due to the investments that we are making in our customers' transition to subscription services.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gross margin increased to 53% during the three months ended January 31, 2023 from 50% during the same period a year ago. Gross margin was primarily impacted by the increase in subscription and support revenue at a higher margin due to cloud operations efficiencies, partially offset by lower services margin due to the investments that we are making in our customers' transition to subscription services.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w w:val="91"/>
              </w:rPr>
              <w:t>Six Months Ended January 31,</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w w:val="93"/>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8"/>
          </w:tcPr>
          <w:p>
            <w:pPr>
              <w:jc w:val="center"/>
              <w:ind w:left="790"/>
              <w:spacing w:after="0"/>
              <w:rPr>
                <w:sz w:val="20"/>
                <w:szCs w:val="20"/>
                <w:color w:val="auto"/>
              </w:rPr>
            </w:pPr>
            <w:r>
              <w:rPr>
                <w:rFonts w:ascii="Arial" w:cs="Arial" w:eastAsia="Arial" w:hAnsi="Arial"/>
                <w:sz w:val="18"/>
                <w:szCs w:val="18"/>
                <w:b w:val="1"/>
                <w:bCs w:val="1"/>
                <w:color w:val="auto"/>
                <w:w w:val="86"/>
              </w:rPr>
              <w:t>(in thousands, except percentages)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Subscription and support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200"/>
              <w:spacing w:after="0"/>
              <w:rPr>
                <w:sz w:val="20"/>
                <w:szCs w:val="20"/>
                <w:color w:val="auto"/>
              </w:rPr>
            </w:pPr>
            <w:r>
              <w:rPr>
                <w:rFonts w:ascii="Arial" w:cs="Arial" w:eastAsia="Arial" w:hAnsi="Arial"/>
                <w:sz w:val="18"/>
                <w:szCs w:val="18"/>
                <w:color w:val="auto"/>
                <w:w w:val="98"/>
              </w:rPr>
              <w:t>100,207</w:t>
            </w:r>
          </w:p>
        </w:tc>
        <w:tc>
          <w:tcPr>
            <w:tcW w:w="8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2"/>
              </w:rPr>
              <w:t>49 %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66,961</w:t>
            </w:r>
          </w:p>
        </w:tc>
        <w:tc>
          <w:tcPr>
            <w:tcW w:w="8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Arial" w:cs="Arial" w:eastAsia="Arial" w:hAnsi="Arial"/>
                <w:sz w:val="18"/>
                <w:szCs w:val="18"/>
                <w:color w:val="auto"/>
                <w:w w:val="92"/>
              </w:rPr>
              <w:t>41 %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33,246</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110,349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2"/>
              </w:rPr>
              <w:t>(14,941)</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(13,207)</w:t>
            </w:r>
          </w:p>
        </w:tc>
        <w:tc>
          <w:tcPr>
            <w:tcW w:w="4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(762)</w:t>
            </w:r>
          </w:p>
        </w:tc>
      </w:tr>
      <w:tr>
        <w:trPr>
          <w:trHeight w:val="248"/>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8"/>
              </w:rPr>
              <w:t>195,615</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2"/>
              </w:rPr>
              <w:t>46 %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2"/>
              </w:rPr>
              <w:t>47 %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25,030</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703"/>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gross profit increased $25.0 million during the six months ended January 31, 2023, compared to the same period a year ago. Gross profit was impacted by an increase in subscription and support gross profit due to the increase in subscription revenue and cloud operations efficiencies, partially offset by a decrease in services gross profit due to the investments that we are making in our customers' transition to subscription services.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gross margin decreased to 46% during the six months ended January 31, 2023, from 47% during the same period a year ago. Gross margin was primarily impacted by lower services margin due to the investments that we are making in our customers' transition to subscription services which offset the improvements in our subscription and support margins due to cloud operations efficiencies.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subscription and support gross margin to improve over the next several years as we gain efficiencies and increase the number of cloud customers. We expect services gross margin will improve as we lower our reliance on subcontractors and enter into fewer fixed fee arrangements. We expect license gross margin to fluctuate based on changes in revenue due to the timing of delivery of new multi-year term licenses and the execution of multi-year term license renewals, as cost of license revenue is expected to be relatively consistent from period to period in the future. Overall, we expect gross margins to improve as improvements in subscription and support gross margin and services gross margin will more than offset the negative impact of revenue shifts away from high margin license revenue.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infrastructure and software expenses, information security infrastructure and software expenses, and facilities expenses to all functional departments based on headcount. As a result, these general overhead expenses are reflected in cost of revenue and each functional operating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Three Months Ended January 31,</w:t>
            </w: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w w:val="93"/>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As a % of</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total revenue</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total revenue</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gridSpan w:val="8"/>
          </w:tcPr>
          <w:p>
            <w:pPr>
              <w:jc w:val="right"/>
              <w:ind w:right="30"/>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61,702</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27%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55,804</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28%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5,898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44,781</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48,507</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40,196</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37,337</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10,301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8,719</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1,582</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810"/>
              <w:spacing w:after="0"/>
              <w:rPr>
                <w:sz w:val="20"/>
                <w:szCs w:val="20"/>
                <w:color w:val="auto"/>
              </w:rPr>
            </w:pPr>
            <w:r>
              <w:rPr>
                <w:rFonts w:ascii="Arial" w:cs="Arial" w:eastAsia="Arial" w:hAnsi="Arial"/>
                <w:sz w:val="18"/>
                <w:szCs w:val="18"/>
                <w:color w:val="auto"/>
                <w:w w:val="99"/>
              </w:rPr>
              <w:t>34</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8"/>
                <w:szCs w:val="18"/>
                <w:b w:val="1"/>
                <w:bCs w:val="1"/>
                <w:color w:val="auto"/>
                <w:w w:val="91"/>
              </w:rPr>
              <w:t>Six Months Ended January 31,</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w w:val="84"/>
              </w:rPr>
              <w:t>2023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w w:val="96"/>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As a %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total revenue</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9"/>
              </w:rPr>
              <w:t>total revenue</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4280" w:type="dxa"/>
            <w:vAlign w:val="bottom"/>
            <w:gridSpan w:val="3"/>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80" w:type="dxa"/>
            <w:vAlign w:val="bottom"/>
            <w:gridSpan w:val="9"/>
          </w:tcPr>
          <w:p>
            <w:pPr>
              <w:jc w:val="center"/>
              <w:ind w:left="770"/>
              <w:spacing w:after="0"/>
              <w:rPr>
                <w:sz w:val="20"/>
                <w:szCs w:val="20"/>
                <w:color w:val="auto"/>
              </w:rPr>
            </w:pPr>
            <w:r>
              <w:rPr>
                <w:rFonts w:ascii="Arial" w:cs="Arial" w:eastAsia="Arial" w:hAnsi="Arial"/>
                <w:sz w:val="18"/>
                <w:szCs w:val="18"/>
                <w:b w:val="1"/>
                <w:bCs w:val="1"/>
                <w:color w:val="auto"/>
                <w:w w:val="86"/>
              </w:rPr>
              <w:t>(in thousands, except percentages)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119,872</w:t>
            </w:r>
          </w:p>
        </w:tc>
        <w:tc>
          <w:tcPr>
            <w:tcW w:w="13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w w:val="92"/>
              </w:rPr>
              <w:t>28 %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110,928</w:t>
            </w:r>
          </w:p>
        </w:tc>
        <w:tc>
          <w:tcPr>
            <w:tcW w:w="13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w w:val="92"/>
              </w:rPr>
              <w:t>30 %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280" w:type="dxa"/>
            <w:vAlign w:val="bottom"/>
            <w:gridSpan w:val="3"/>
          </w:tcPr>
          <w:p>
            <w:pPr>
              <w:ind w:left="14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91,249</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89,512</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1,737</w:t>
            </w:r>
          </w:p>
        </w:tc>
        <w:tc>
          <w:tcPr>
            <w:tcW w:w="4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13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13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280" w:type="dxa"/>
            <w:vAlign w:val="bottom"/>
            <w:gridSpan w:val="3"/>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293,384</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275,419</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17,965</w:t>
            </w:r>
          </w:p>
        </w:tc>
        <w:tc>
          <w:tcPr>
            <w:tcW w:w="4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Includes stock-based compensation of:</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20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(2,581)</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54,355</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52,557</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research and development expenses primarily consist of personnel costs for our technical staff and consultants providing professional services.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$5.9 million increase in research and development expenses during the three months ended January 31, 2023, compared to the same period a year ago, was primarily due to increases of $7.2 million in personnel costs associated with higher headcount and $0.4 million in software subscription costs. These increases are partially offset by decreases of $0.9 million in professional services costs, $0.6 million in cloud hosting costs for our development environments, and $0.1 million in travel costs.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$8.9 million increase in research and development expenses during the six months ended January 31, 2023, compared to the same period a year ago, was primarily due to increases of $10.1 million in personnel costs associated with higher headcount and $0.3 million in both travel and software subscription costs, respectively. These increases were partially offset by decreases of $1.0 million in professional services costs and $0.8 million in cloud hosting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headcount was 1,002 at January 31, 2023, compared with 875 at January 31, 2022.</w:t>
      </w:r>
    </w:p>
    <w:p>
      <w:pPr>
        <w:spacing w:after="0" w:line="12" w:lineRule="exact"/>
        <w:rPr>
          <w:sz w:val="20"/>
          <w:szCs w:val="20"/>
          <w:color w:val="auto"/>
        </w:rPr>
      </w:pPr>
    </w:p>
    <w:p>
      <w:pPr>
        <w:ind w:right="320" w:firstLine="324"/>
        <w:spacing w:after="0" w:line="271" w:lineRule="auto"/>
        <w:rPr>
          <w:sz w:val="20"/>
          <w:szCs w:val="20"/>
          <w:color w:val="auto"/>
        </w:rPr>
      </w:pPr>
      <w:r>
        <w:rPr>
          <w:rFonts w:ascii="Arial" w:cs="Arial" w:eastAsia="Arial" w:hAnsi="Arial"/>
          <w:sz w:val="17"/>
          <w:szCs w:val="17"/>
          <w:color w:val="auto"/>
        </w:rPr>
        <w:t>We expect our research and development expenses to increase in absolute dollars due to inflation and investments to support our growing customer base, but decrease as a percentage of revenue as overall hiring slows after a period of investment in cloud platform capabilities.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$3.7 million decrease in sales and marketing expenses during the three months ended January 31, 2023, compared to the same period a year ago, was primarily due to decreases of $3.0 million in marketing and advertising expense associated with the timing of Connections Reimagined, our annual customer conference, which was held in the first quarter of fiscal year 2023 compared to the second quarter of fiscal year 2022, $1.0 million in amortization of intangibles due to certain acquired intangible assets being fully amortized, $0.2 million in personnel costs, and $0.1 million in professional services. These decreases were partially offset by an increase of $0.6 million in travel expenses due to a higher volume of in-person client interactions.</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$1.7 million increase in sales and marketing expenses during the six months ended January 31, 2023, compared to the same period a year ago, was primarily due to increases of $2.4 million in travel costs due to a higher volume of in-person client interactions, $1.6 million in personnel costs, which includes $1.5 million of severance expense incurred in the first quarter of fiscal year 2023, and $0.2 million in professional services. These increases were partially offset by decreases of $1.9 million in amortization of intangibles due to certain acquired intangible assets being fully amortized and $0.5 million in marketing and advertising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sales and marketing headcount was 470 at January 31, 2023, compared with 463 at January 31, 2022.</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sales and marketing expenses to increase in absolute dollars due to inflation and investments to support ongoing growth, but decrease as a percentage of revenue as overall hiring slows after a period of investment in building out our customer success team and adding analytics and cloud sales capabilities.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general and administrative expenses include executive, finance, human resources, legal, information technology and security, and corporate development and strategy functions, and primarily consist of personnel costs, as well as professional services.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$2.9 million increase in general and administrative expenses during the three months ended January 31, 2023, compared to the same period a year ago, was primarily due to increases of $1.7 million in software subscriptions, $0.7 million in personnel costs due to higher headcount, and $0.3 million in professional services.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$7.3 million increase in general and administrative expenses during the six months ended January 31, 2023, compared to the same period a year ago, was primarily due to increases of $4.0 million in personnel costs, which includes $1.0 million of severance expense incurred in the first quarter of fiscal year 2023, $3.1 million in software subscriptions and cloud hosting costs, and $0.1 million in professional services.</w:t>
      </w:r>
    </w:p>
    <w:p>
      <w:pPr>
        <w:spacing w:after="0" w:line="1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general and administrative headcount was 449 at January 31, 2023, compared with 435 at January 31, 2022. General and administrative headcount includes facilities personnel whose expenses are allocated across all functional departments.</w:t>
      </w:r>
    </w:p>
    <w:p>
      <w:pPr>
        <w:spacing w:after="0" w:line="2"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We expect our general and administrative expenses to increase in absolute dollars due to inflation and investments required to support our strategic initiatives, grow our business, and meet our security, compliance and reporting obligations, but decrease as a percentage of revenue as overall hiring and investments slow.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Other Income (Expense)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7"/>
        </w:trPr>
        <w:tc>
          <w:tcPr>
            <w:tcW w:w="66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11"/>
          </w:tcPr>
          <w:p>
            <w:pPr>
              <w:jc w:val="center"/>
              <w:ind w:left="510"/>
              <w:spacing w:after="0"/>
              <w:rPr>
                <w:sz w:val="20"/>
                <w:szCs w:val="20"/>
                <w:color w:val="auto"/>
              </w:rPr>
            </w:pPr>
            <w:r>
              <w:rPr>
                <w:rFonts w:ascii="Arial" w:cs="Arial" w:eastAsia="Arial" w:hAnsi="Arial"/>
                <w:sz w:val="18"/>
                <w:szCs w:val="18"/>
                <w:b w:val="1"/>
                <w:bCs w:val="1"/>
                <w:color w:val="auto"/>
                <w:w w:val="92"/>
              </w:rPr>
              <w:t>Three Months Ended January 31,</w:t>
            </w:r>
          </w:p>
        </w:tc>
        <w:tc>
          <w:tcPr>
            <w:tcW w:w="780" w:type="dxa"/>
            <w:vAlign w:val="bottom"/>
            <w:tcBorders>
              <w:bottom w:val="single" w:sz="8" w:color="auto"/>
            </w:tcBorders>
          </w:tcPr>
          <w:p>
            <w:pPr>
              <w:spacing w:after="0"/>
              <w:rPr>
                <w:sz w:val="22"/>
                <w:szCs w:val="22"/>
                <w:color w:val="auto"/>
              </w:rPr>
            </w:pPr>
          </w:p>
        </w:tc>
      </w:tr>
      <w:tr>
        <w:trPr>
          <w:trHeight w:val="223"/>
        </w:trPr>
        <w:tc>
          <w:tcPr>
            <w:tcW w:w="6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6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11"/>
          </w:tcPr>
          <w:p>
            <w:pPr>
              <w:jc w:val="center"/>
              <w:ind w:left="530"/>
              <w:spacing w:after="0"/>
              <w:rPr>
                <w:sz w:val="20"/>
                <w:szCs w:val="20"/>
                <w:color w:val="auto"/>
              </w:rPr>
            </w:pPr>
            <w:r>
              <w:rPr>
                <w:rFonts w:ascii="Arial" w:cs="Arial" w:eastAsia="Arial" w:hAnsi="Arial"/>
                <w:sz w:val="18"/>
                <w:szCs w:val="18"/>
                <w:b w:val="1"/>
                <w:bCs w:val="1"/>
                <w:color w:val="auto"/>
                <w:w w:val="86"/>
              </w:rPr>
              <w:t>(in thousands, except percentages)</w:t>
            </w:r>
          </w:p>
        </w:tc>
        <w:tc>
          <w:tcPr>
            <w:tcW w:w="78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340"/>
              <w:spacing w:after="0"/>
              <w:rPr>
                <w:sz w:val="20"/>
                <w:szCs w:val="20"/>
                <w:color w:val="auto"/>
              </w:rPr>
            </w:pPr>
            <w:r>
              <w:rPr>
                <w:rFonts w:ascii="Arial" w:cs="Arial" w:eastAsia="Arial" w:hAnsi="Arial"/>
                <w:sz w:val="18"/>
                <w:szCs w:val="18"/>
                <w:color w:val="auto"/>
                <w:w w:val="91"/>
              </w:rPr>
              <w:t>(1,677)</w:t>
            </w:r>
          </w:p>
        </w:tc>
        <w:tc>
          <w:tcPr>
            <w:tcW w:w="2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3,156</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19,336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499"/>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center"/>
              <w:ind w:right="190"/>
              <w:spacing w:after="0"/>
              <w:rPr>
                <w:sz w:val="20"/>
                <w:szCs w:val="20"/>
                <w:color w:val="auto"/>
              </w:rPr>
            </w:pPr>
            <w:r>
              <w:rPr>
                <w:rFonts w:ascii="Arial" w:cs="Arial" w:eastAsia="Arial" w:hAnsi="Arial"/>
                <w:sz w:val="18"/>
                <w:szCs w:val="18"/>
                <w:b w:val="1"/>
                <w:bCs w:val="1"/>
                <w:color w:val="auto"/>
                <w:w w:val="91"/>
              </w:rPr>
              <w:t>Six Months Ended January 31,</w:t>
            </w:r>
          </w:p>
        </w:tc>
        <w:tc>
          <w:tcPr>
            <w:tcW w:w="780" w:type="dxa"/>
            <w:vAlign w:val="bottom"/>
            <w:tcBorders>
              <w:bottom w:val="single" w:sz="8" w:color="auto"/>
            </w:tcBorders>
          </w:tcPr>
          <w:p>
            <w:pPr>
              <w:spacing w:after="0"/>
              <w:rPr>
                <w:sz w:val="24"/>
                <w:szCs w:val="24"/>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11"/>
          </w:tcPr>
          <w:p>
            <w:pPr>
              <w:jc w:val="center"/>
              <w:ind w:left="530"/>
              <w:spacing w:after="0"/>
              <w:rPr>
                <w:sz w:val="20"/>
                <w:szCs w:val="20"/>
                <w:color w:val="auto"/>
              </w:rPr>
            </w:pPr>
            <w:r>
              <w:rPr>
                <w:rFonts w:ascii="Arial" w:cs="Arial" w:eastAsia="Arial" w:hAnsi="Arial"/>
                <w:sz w:val="18"/>
                <w:szCs w:val="18"/>
                <w:b w:val="1"/>
                <w:bCs w:val="1"/>
                <w:color w:val="auto"/>
                <w:w w:val="86"/>
              </w:rPr>
              <w:t>(in thousands, except percentages)</w:t>
            </w:r>
          </w:p>
        </w:tc>
        <w:tc>
          <w:tcPr>
            <w:tcW w:w="78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10,030</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8,657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(3,351)</w:t>
            </w:r>
          </w:p>
        </w:tc>
        <w:tc>
          <w:tcPr>
            <w:tcW w:w="2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6,276</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represents interest earned on our cash, cash equivalents, and investments.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increased $4.7 million and $8.7 million during the three and six months ended January 31, 2023, compared to the same periods a year ago, primarily due to higher interest rates even though we had lower funds available for investment.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August 1, 2022 and adoption of ASU 2020-06, interest expense included both stated interest and the amortization of debt discount and issuance costs associated with our Convertible Senior Notes. Previously, the amortization of debt discount and issuance costs were recognized on an effective interest basis. For periods after August 1, 2022, there is no longer a debt discount component related to the Convertible Senior Notes as it was eliminated upon adoption. Stated interest expense is consistent in the comparative periods as the outstanding principal and stated interest rate have not changed.</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0" w:name="page41"/>
    <w:bookmarkEnd w:id="4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for the three months ended January 31, 2023 consists of stated interest of $1.3 million and non-cash interest expense of $0.4 million related to amortization of debt issuance costs. Interest expense for the three months ended January 31, 2022 consists of stated interest of $1.3 million and non-cash interest expense of $3.6 million related to the amortization of debt discount and issuance costs.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for the six months ended January 31, 2023 consists of stated interest of $2.5 million and non-cash interest expense of $0.8 million related to amortization of debt issuance costs. Interest expense for the six months ended January 31, 2022 consists of stated interest of $2.5 million and non-cash interest expense of $7.1 million related to the amortization of debt discount and issuance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Malaysian Ringgit, and Polish Zloty.</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(expense), net during the three and six months ended January 31, 2023 was income of $11.3 million and expense of $2.5 million, respectively, as compared to expense of $8.0 million and $6.9 million during the respective periods a year ago, due to fluctuations in foreign currency exchange rates.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taxes in the United States as well as other tax jurisdictions and countries in which we conduct business. Earnings from our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country income tax and may also be subject to U.S. income tax.</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left="470"/>
              <w:spacing w:after="0"/>
              <w:rPr>
                <w:sz w:val="20"/>
                <w:szCs w:val="20"/>
                <w:color w:val="auto"/>
              </w:rPr>
            </w:pPr>
            <w:r>
              <w:rPr>
                <w:rFonts w:ascii="Arial" w:cs="Arial" w:eastAsia="Arial" w:hAnsi="Arial"/>
                <w:sz w:val="18"/>
                <w:szCs w:val="18"/>
                <w:b w:val="1"/>
                <w:bCs w:val="1"/>
                <w:color w:val="auto"/>
                <w:w w:val="91"/>
              </w:rPr>
              <w:t>Three Months Ended January 31,</w:t>
            </w:r>
          </w:p>
        </w:tc>
        <w:tc>
          <w:tcPr>
            <w:tcW w:w="760" w:type="dxa"/>
            <w:vAlign w:val="bottom"/>
            <w:tcBorders>
              <w:bottom w:val="single" w:sz="8" w:color="auto"/>
            </w:tcBorders>
          </w:tcPr>
          <w:p>
            <w:pPr>
              <w:spacing w:after="0"/>
              <w:rPr>
                <w:sz w:val="20"/>
                <w:szCs w:val="20"/>
                <w:color w:val="auto"/>
              </w:rPr>
            </w:pPr>
          </w:p>
        </w:tc>
      </w:tr>
      <w:tr>
        <w:trPr>
          <w:trHeight w:val="223"/>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6"/>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23"/>
        </w:trPr>
        <w:tc>
          <w:tcPr>
            <w:tcW w:w="6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w w:val="86"/>
              </w:rPr>
              <w:t>(in thousands, except percentages)</w:t>
            </w:r>
          </w:p>
        </w:tc>
        <w:tc>
          <w:tcPr>
            <w:tcW w:w="760" w:type="dxa"/>
            <w:vAlign w:val="bottom"/>
          </w:tcPr>
          <w:p>
            <w:pPr>
              <w:spacing w:after="0"/>
              <w:rPr>
                <w:sz w:val="19"/>
                <w:szCs w:val="19"/>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(10,955)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11,934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w w:val="92"/>
              </w:rPr>
              <w:t>21 %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12"/>
        </w:trPr>
        <w:tc>
          <w:tcPr>
            <w:tcW w:w="6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330"/>
              <w:spacing w:after="0"/>
              <w:rPr>
                <w:sz w:val="20"/>
                <w:szCs w:val="20"/>
                <w:color w:val="auto"/>
              </w:rPr>
            </w:pPr>
            <w:r>
              <w:rPr>
                <w:rFonts w:ascii="Arial" w:cs="Arial" w:eastAsia="Arial" w:hAnsi="Arial"/>
                <w:sz w:val="18"/>
                <w:szCs w:val="18"/>
                <w:b w:val="1"/>
                <w:bCs w:val="1"/>
                <w:color w:val="auto"/>
                <w:w w:val="91"/>
              </w:rPr>
              <w:t>Six Months Ended January 31,</w:t>
            </w:r>
          </w:p>
        </w:tc>
        <w:tc>
          <w:tcPr>
            <w:tcW w:w="760" w:type="dxa"/>
            <w:vAlign w:val="bottom"/>
            <w:tcBorders>
              <w:bottom w:val="single" w:sz="8" w:color="auto"/>
            </w:tcBorders>
          </w:tcPr>
          <w:p>
            <w:pPr>
              <w:spacing w:after="0"/>
              <w:rPr>
                <w:sz w:val="24"/>
                <w:szCs w:val="24"/>
                <w:color w:val="auto"/>
              </w:rPr>
            </w:pPr>
          </w:p>
        </w:tc>
      </w:tr>
      <w:tr>
        <w:trPr>
          <w:trHeight w:val="223"/>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6"/>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6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w w:val="86"/>
              </w:rPr>
              <w:t>(in thousands, except percentages)</w:t>
            </w:r>
          </w:p>
        </w:tc>
        <w:tc>
          <w:tcPr>
            <w:tcW w:w="760" w:type="dxa"/>
            <w:vAlign w:val="bottom"/>
          </w:tcPr>
          <w:p>
            <w:pPr>
              <w:spacing w:after="0"/>
              <w:rPr>
                <w:sz w:val="19"/>
                <w:szCs w:val="19"/>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(27,993)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12,877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w w:val="92"/>
              </w:rPr>
              <w:t>23 %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3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recognized an income tax expense of $1.0 million and an income tax benefit of $11.0 million for the three months ended January 31, 2023 and 2022, respectively; and an income tax benefit of $15.1 million and $28.0 million for the six months ended January 31, 2023 and 2022, respectively. The change in the amount of income tax recorded for the three and six months ended January 31, 2023, compared to the same periods a year ago, was primarily due to a decrease in the loss before taxes and a decrease in tax deductions from stock-based compensation, offset by an increase in research and development credits.</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effective tax rate of (12)% and 16% for the three and six months ended January 31, 2023, respectively, differs from the statutory U.S. federal income tax rate of 21% mainly due to state taxes, tax deficiencies related to stock-based compensation, research and development credits, foreign earnings taxed in the United States, and certain non-deductible expenses, including executive compensation limitation.</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six months ended January 31, 2023, unrecognized tax benefits increased by $0.7 million and $1.2 million, respectively. As of January 31, 2023, we had unrecognized tax benefits of $12.6 million that, if recognized, would affect our effective tax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Tax Cuts and Jobs Act of 2017 (the “Tax Act”) amended Internal Revenue Code Section 174 to require that specific research and experimental (“R&amp;E”) expenditures be capitalized and amortized over five years (U.S. R&amp;E) or fifteen years (non-U.S. R&amp;E) beginning in the Company’s fiscal year 2023. Although Congress has considered legislation that would defer, modify, or repeal the capitalization and amortization requirement, there is no assurance that the provision will be deferred, modified, or otherwise repealed. If the requirement is not modified, the Company may be required to utilize some of its federal and state tax attributes and there may be increases to state cash taxes or tax expense.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202"/>
        <w:spacing w:after="0" w:line="271" w:lineRule="auto"/>
        <w:rPr>
          <w:sz w:val="20"/>
          <w:szCs w:val="20"/>
          <w:color w:val="auto"/>
        </w:rPr>
      </w:pPr>
      <w:r>
        <w:rPr>
          <w:rFonts w:ascii="Arial" w:cs="Arial" w:eastAsia="Arial" w:hAnsi="Arial"/>
          <w:sz w:val="17"/>
          <w:szCs w:val="17"/>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12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141" w:lineRule="exact"/>
        <w:rPr>
          <w:sz w:val="20"/>
          <w:szCs w:val="20"/>
          <w:color w:val="auto"/>
        </w:rPr>
      </w:pPr>
    </w:p>
    <w:p>
      <w:pPr>
        <w:jc w:val="both"/>
        <w:ind w:right="20" w:firstLine="202"/>
        <w:spacing w:after="0" w:line="277" w:lineRule="auto"/>
        <w:rPr>
          <w:sz w:val="20"/>
          <w:szCs w:val="20"/>
          <w:color w:val="auto"/>
        </w:rPr>
      </w:pPr>
      <w:r>
        <w:rPr>
          <w:rFonts w:ascii="Arial" w:cs="Arial" w:eastAsia="Arial" w:hAnsi="Arial"/>
          <w:sz w:val="18"/>
          <w:szCs w:val="18"/>
          <w:color w:val="auto"/>
        </w:rPr>
        <w:t>The following table reconciles the specific items excluded from GAAP in the calculation of non-GAAP financial measures for the periods indicated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January 31,</w:t>
            </w:r>
          </w:p>
        </w:tc>
        <w:tc>
          <w:tcPr>
            <w:tcW w:w="180" w:type="dxa"/>
            <w:vAlign w:val="bottom"/>
          </w:tcPr>
          <w:p>
            <w:pPr>
              <w:spacing w:after="0"/>
              <w:rPr>
                <w:sz w:val="18"/>
                <w:szCs w:val="18"/>
                <w:color w:val="auto"/>
              </w:rPr>
            </w:pPr>
          </w:p>
        </w:tc>
        <w:tc>
          <w:tcPr>
            <w:tcW w:w="24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4"/>
              </w:rPr>
              <w:t>Six Months Ended January 31,</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Gross profit reconciliation:</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170,585</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17,548</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intangibles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131,904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113,243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191,982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 reconciliation: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GAAP income (loss) from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(23,216)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(39,457)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(97,769)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(104,834)</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37,865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71,275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70,105</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 consideration holdback</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income (loss)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(25,696)</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reconciliation: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GAAP net income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(9,189)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(40,681)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(78,507)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(91,957)</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37,865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71,275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70,105</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0" w:type="dxa"/>
            <w:vAlign w:val="bottom"/>
          </w:tcPr>
          <w:p>
            <w:pPr>
              <w:spacing w:after="0"/>
              <w:rPr>
                <w:sz w:val="1"/>
                <w:szCs w:val="1"/>
                <w:color w:val="auto"/>
              </w:rPr>
            </w:pP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Acquisition consideration holdback</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discount and issuance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impact of non-GAAP adjustments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(46,863)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(17,131)</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(27,212)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Tax provision (benefit) reconciliation: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GAAP tax provision (benefit)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(10,955)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(15,116)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(27,993)</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56,765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84,391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16,895</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Acquisition consideration holdback</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issuance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Tax impact of non-GAAP adjustments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(64,998)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tax provision (benefit)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47,842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share reconciliation: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GAAP net income (loss) per share — 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Acquisition consideration holdback</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issuance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Tax impact of non-GAAP adjustments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Non-GAAP dilutive shares excluded from GAAP net income (loss) per share</w:t>
            </w: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calculation</w:t>
            </w: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Non-GAAP net income (loss) per share —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Shares used in computing Non-GAAP net income (loss) per share amounts: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tcPr>
          <w:p>
            <w:pPr>
              <w:ind w:left="20"/>
              <w:spacing w:after="0"/>
              <w:rPr>
                <w:sz w:val="20"/>
                <w:szCs w:val="20"/>
                <w:color w:val="auto"/>
              </w:rPr>
            </w:pPr>
            <w:r>
              <w:rPr>
                <w:rFonts w:ascii="Arial" w:cs="Arial" w:eastAsia="Arial" w:hAnsi="Arial"/>
                <w:sz w:val="16"/>
                <w:szCs w:val="16"/>
                <w:color w:val="auto"/>
              </w:rPr>
              <w:t>GAAP and pro forma weighted average shares — diluted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82,051,867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83,413,643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82,686,420</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83,430,693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7000" w:type="dxa"/>
            <w:vAlign w:val="bottom"/>
            <w:gridSpan w:val="3"/>
          </w:tcPr>
          <w:p>
            <w:pPr>
              <w:spacing w:after="0"/>
              <w:rPr>
                <w:sz w:val="20"/>
                <w:szCs w:val="20"/>
                <w:color w:val="auto"/>
              </w:rPr>
            </w:pPr>
            <w:r>
              <w:rPr>
                <w:rFonts w:ascii="Arial" w:cs="Arial" w:eastAsia="Arial" w:hAnsi="Arial"/>
                <w:sz w:val="18"/>
                <w:szCs w:val="18"/>
                <w:color w:val="auto"/>
              </w:rPr>
              <w:t>Our principal sources of liquidity are as follows (in thousands)</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0" w:type="dxa"/>
            <w:vAlign w:val="bottom"/>
            <w:gridSpan w:val="3"/>
            <w:vMerge w:val="restart"/>
          </w:tcPr>
          <w:p>
            <w:pPr>
              <w:ind w:left="20"/>
              <w:spacing w:after="0"/>
              <w:rPr>
                <w:sz w:val="20"/>
                <w:szCs w:val="20"/>
                <w:color w:val="auto"/>
              </w:rPr>
            </w:pPr>
            <w:r>
              <w:rPr>
                <w:rFonts w:ascii="Arial" w:cs="Arial" w:eastAsia="Arial" w:hAnsi="Arial"/>
                <w:sz w:val="18"/>
                <w:szCs w:val="18"/>
                <w:color w:val="auto"/>
              </w:rPr>
              <w:t>Cash, cash equivalents, and investments</w:t>
            </w:r>
          </w:p>
        </w:tc>
        <w:tc>
          <w:tcPr>
            <w:tcW w:w="24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 2023</w:t>
            </w:r>
          </w:p>
        </w:tc>
        <w:tc>
          <w:tcPr>
            <w:tcW w:w="32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2022</w:t>
            </w:r>
          </w:p>
        </w:tc>
        <w:tc>
          <w:tcPr>
            <w:tcW w:w="0" w:type="dxa"/>
            <w:vAlign w:val="bottom"/>
          </w:tcPr>
          <w:p>
            <w:pPr>
              <w:spacing w:after="0"/>
              <w:rPr>
                <w:sz w:val="1"/>
                <w:szCs w:val="1"/>
                <w:color w:val="auto"/>
              </w:rPr>
            </w:pPr>
          </w:p>
        </w:tc>
      </w:tr>
      <w:tr>
        <w:trPr>
          <w:trHeight w:val="223"/>
        </w:trPr>
        <w:tc>
          <w:tcPr>
            <w:tcW w:w="7000" w:type="dxa"/>
            <w:vAlign w:val="bottom"/>
            <w:gridSpan w:val="3"/>
            <w:vMerge w:val="continue"/>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870,038</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1,163,675</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915,185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2023, approximately $47.5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2022, our board of directors authorized and approved a share repurchase program of up to $400.0 million of our outstanding common stock. We entered into an accelerated share repurchase (“ASR”) agreement with a large financial institution whereupon we provided them with a prepayment of $200.0 million and received an initial delivery of 2,581,478 shares of our common stock. Subsequent to January 31, 2023, the ASR was settled in full with the delivery of 648,001 shares of common stock which resulted in total repurchases under the ASR of 3,229,479 shares of common stock at an average purchase price of $61.93.</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2023, $200.0 million remains under the September 2022 authorized and approved share repurchase program. The share repurchase program does not obligate us to repurchase any dollar amount or number of shares, and the program may be modified, suspended or discontinued at any time. There is no stated expiration date for the program.</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January 31, 2023, we did not repurchase any shares of common stock. During the six months ended January 31, 2023, we repurchased 2,581,478 shares of common stock under the ASR program described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the first fiscal quarter, which ends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cybersecurity, cloud operations, operating costs, and expansion into other markets. We also may invest in or acquire complementary businesses, applications or technologies, or may execute on the board-authorized share repurchase program, which may require the use of significant cash resources and/or additional financing.</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Quarterly Report on Form 10-Q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Six Months Ended January 31,</w:t>
            </w:r>
          </w:p>
        </w:tc>
      </w:tr>
      <w:tr>
        <w:trPr>
          <w:trHeight w:val="223"/>
        </w:trPr>
        <w:tc>
          <w:tcPr>
            <w:tcW w:w="70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(48,842)</w:t>
            </w:r>
          </w:p>
        </w:tc>
        <w:tc>
          <w:tcPr>
            <w:tcW w:w="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30,974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(37,353)</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4" w:name="page45"/>
    <w:bookmarkEnd w:id="4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used in operating activities was $86.2 million for the six months ended January 31, 2023 compared to net cash used by operating activities of $110.1 million during the six months ended January 31, 2022. This $23.8 million improvement in operating cash used was attributable to a $15.1 million decrease in net loss after excluding the impact of non-cash charges such as deferred taxes, stock-based compensation expense, depreciation and amortization expense, and other non-cash items and by a $8.7 million decrease in cash used by working capital activities. During the first quarter of fiscal year 2023, changes in working capital included severance payments of $2.9 million. During the first quarter of fiscal year 2022, changes in working capital included payments of $18.1 million related to the settlement of accrued vacation balances in countries in which we adopted a non-accrual vacation policy.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by investing activities was $48.8 million for the six months ended January 31, 2023 compared to net cash provided by investing activities of $31.0 million during the six months ended January 31, 2022. The $79.8 million decrease in cash provided by investing activities was primarily due to increased net purchases of available-for-sale securities of $133.5 million. This increase was offset by decreases of $43.8 million related to the acquisition of HazardHub during the first quarter of fiscal year 2022, a $4.7 million decrease in amounts paid for strategic investments, and lower capital expenditures and capitalized software development costs of $5.2 million.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for the six months ended January 31, 2023 was $200.0 million, compared to $37.4 million for the six months ended January 31, 2022. This $162.6 million increase in cash used was primarily because of the accelerated share repurchase transaction we entered into under our share repurchase program that resulted in $162.5 million more of our common stock being repurchased during the first quarter of fiscal year 2023, compared to the same period a year ago.</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Except as discussed below, there has been no material change in our contractual obligations and commitments other than in the ordinary course of business since our fiscal year ended July 31, 2022.</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Effective during the six months ended January 31, 2023, we terminated our existing agreement and entered into a new agreement with a cloud infrastructure services provider for a total obligation of $600 million over a five-year period.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our Annual Report on Form 10-K for the fiscal year ended July 31, 2022 for additional information regarding our contractual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January 31, 2023,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exposure to market risk for changes in interest rates relates primarily to our cash, cash equivalents, and investments. Our cash, cash equivalents, and investments as of January 31, 2023 and July 31, 2022 were $870.0 million and $1,163.7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$3.3 million and $3.6 million in the market value of our available-for-sale securities as of January 31, 2023 and July 31, 2022, respectively. Any realized gains or losses resulting from such interest rate changes would only occur if we sold the investments prior to maturity.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results of operations and cash flows are subject to fluctuations due to changes in foreign currency exchange rates, particularly changes in the Australian Dollar, British Pound, Canadian Dollar, Euro, Indian Rupee, Japanese Yen, Malaysian Ringgit, and Polish Zloty, the currency of the locations within which we currently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six months ended January 31, 2023 and 2022, we recorded a foreign currency loss of $2.5 million and $6.8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is estimated to be approximately $32.3 million. As our international operations grow, we will continue to assess our approach to managing our risk relating to fluctuations in currency rates.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have material exposure to market risk with respect to investments in financial instruments, as our investments primarily consist of high-quality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strategic investments in privately held securities are in various classes of equity.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January 31, 2023 identified in management’s evaluation pursuant to Rules 13a-15(d) or 15d-15(d) of the Exchange Act that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described in Note 6 “Commitments and Contingencies,” to our condensed consolidated financial statements included elsewhere in this Quarterly Report on Form 10-Q, which are incorporated by reference herein, we are not party to any material pending legal proceedings.</w:t>
      </w:r>
    </w:p>
    <w:p>
      <w:pPr>
        <w:spacing w:after="0" w:line="3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37"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104" w:lineRule="exact"/>
        <w:rPr>
          <w:sz w:val="20"/>
          <w:szCs w:val="20"/>
          <w:color w:val="auto"/>
        </w:rPr>
      </w:pPr>
    </w:p>
    <w:p>
      <w:pPr>
        <w:ind w:left="1100" w:right="20" w:hanging="323"/>
        <w:spacing w:after="0" w:line="277" w:lineRule="auto"/>
        <w:tabs>
          <w:tab w:leader="none" w:pos="10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economic downturns and related market volatility caused by economic volatility, inflation, or other national and worldwide events on our business and the businesses of our customers, partners, and vendors;</w:t>
      </w:r>
    </w:p>
    <w:p>
      <w:pPr>
        <w:spacing w:after="0" w:line="35" w:lineRule="exact"/>
        <w:rPr>
          <w:rFonts w:ascii="Arial" w:cs="Arial" w:eastAsia="Arial" w:hAnsi="Arial"/>
          <w:sz w:val="18"/>
          <w:szCs w:val="18"/>
          <w:color w:val="auto"/>
        </w:rPr>
      </w:pPr>
    </w:p>
    <w:p>
      <w:pPr>
        <w:ind w:left="1100" w:hanging="32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new domestic and international customers and renew existing customers;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seasonal buying patterns of our potential customers and our ability to sell additional software and services to existing customers;</w:t>
      </w:r>
    </w:p>
    <w:p>
      <w:pPr>
        <w:spacing w:after="0" w:line="115" w:lineRule="exact"/>
        <w:rPr>
          <w:rFonts w:ascii="Arial" w:cs="Arial" w:eastAsia="Arial" w:hAnsi="Arial"/>
          <w:sz w:val="17"/>
          <w:szCs w:val="17"/>
          <w:color w:val="auto"/>
        </w:rPr>
      </w:pPr>
    </w:p>
    <w:p>
      <w:pPr>
        <w:ind w:left="1100" w:hanging="323"/>
        <w:spacing w:after="0" w:line="277" w:lineRule="auto"/>
        <w:tabs>
          <w:tab w:leader="none" w:pos="10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proportion and timing of subscription sales as opposed to term or perpetual software licenses, and the variations in revenue recognition between these contract types;</w:t>
      </w:r>
    </w:p>
    <w:p>
      <w:pPr>
        <w:spacing w:after="0" w:line="35" w:lineRule="exact"/>
        <w:rPr>
          <w:rFonts w:ascii="Arial" w:cs="Arial" w:eastAsia="Arial" w:hAnsi="Arial"/>
          <w:sz w:val="18"/>
          <w:szCs w:val="18"/>
          <w:color w:val="auto"/>
        </w:rPr>
      </w:pPr>
    </w:p>
    <w:p>
      <w:pPr>
        <w:ind w:left="1100" w:hanging="32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contract durations of term software licenses and renewals;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costs related to cloud operations, product development, and services;</w:t>
      </w:r>
    </w:p>
    <w:p>
      <w:pPr>
        <w:spacing w:after="0" w:line="103" w:lineRule="exact"/>
        <w:rPr>
          <w:rFonts w:ascii="Arial" w:cs="Arial" w:eastAsia="Arial" w:hAnsi="Arial"/>
          <w:sz w:val="18"/>
          <w:szCs w:val="18"/>
          <w:color w:val="auto"/>
        </w:rPr>
      </w:pPr>
    </w:p>
    <w:p>
      <w:pPr>
        <w:ind w:left="1100" w:right="20" w:hanging="323"/>
        <w:spacing w:after="0" w:line="277" w:lineRule="auto"/>
        <w:tabs>
          <w:tab w:leader="none" w:pos="10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cloud-based services, including the impact of our customers transitioning from term software licenses to subscription services;</w:t>
      </w:r>
    </w:p>
    <w:p>
      <w:pPr>
        <w:spacing w:after="0" w:line="35"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erosion in services margins or significant fluctuations in services revenue caused by changing customer demand, negotiated professional services billing rates, investments in customer implementation and migration projects, or fixed fee contracts;</w:t>
      </w:r>
    </w:p>
    <w:p>
      <w:pPr>
        <w:spacing w:after="0" w:line="48" w:lineRule="exact"/>
        <w:rPr>
          <w:rFonts w:ascii="Arial" w:cs="Arial" w:eastAsia="Arial" w:hAnsi="Arial"/>
          <w:sz w:val="18"/>
          <w:szCs w:val="18"/>
          <w:color w:val="auto"/>
        </w:rPr>
      </w:pPr>
    </w:p>
    <w:p>
      <w:pPr>
        <w:ind w:left="1100" w:hanging="323"/>
        <w:spacing w:after="0" w:line="308" w:lineRule="auto"/>
        <w:tabs>
          <w:tab w:leader="none" w:pos="10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spacing w:after="0" w:line="24" w:lineRule="exact"/>
        <w:rPr>
          <w:rFonts w:ascii="Arial" w:cs="Arial" w:eastAsia="Arial" w:hAnsi="Arial"/>
          <w:sz w:val="17"/>
          <w:szCs w:val="17"/>
          <w:color w:val="auto"/>
        </w:rPr>
      </w:pPr>
    </w:p>
    <w:p>
      <w:pPr>
        <w:ind w:left="1100" w:hanging="323"/>
        <w:spacing w:after="0" w:line="277" w:lineRule="auto"/>
        <w:tabs>
          <w:tab w:leader="none" w:pos="10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incurrence of penalties or having to renegotiate contract terms for failing to meet certain contractual obligations, including service levels, product development cycles and functionality, and implementation times and objectives;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1100" w:hanging="323"/>
        <w:spacing w:after="0" w:line="277"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and privacy concerns related to employee data, customer data, and systems that are accessed or otherwise used by our hybrid workforce and customers;</w:t>
      </w:r>
    </w:p>
    <w:p>
      <w:pPr>
        <w:spacing w:after="0" w:line="35" w:lineRule="exact"/>
        <w:rPr>
          <w:rFonts w:ascii="Arial" w:cs="Arial" w:eastAsia="Arial" w:hAnsi="Arial"/>
          <w:sz w:val="18"/>
          <w:szCs w:val="18"/>
          <w:color w:val="auto"/>
        </w:rPr>
      </w:pPr>
    </w:p>
    <w:p>
      <w:pPr>
        <w:ind w:left="1100" w:hanging="323"/>
        <w:spacing w:after="0"/>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employee retention, the ability to hire and onboard appropriate personnel, and the timing of hiring personnel and employee related expenses;</w:t>
      </w:r>
    </w:p>
    <w:p>
      <w:pPr>
        <w:spacing w:after="0" w:line="126" w:lineRule="exact"/>
        <w:rPr>
          <w:rFonts w:ascii="Arial" w:cs="Arial" w:eastAsia="Arial" w:hAnsi="Arial"/>
          <w:sz w:val="16"/>
          <w:szCs w:val="16"/>
          <w:color w:val="auto"/>
        </w:rPr>
      </w:pPr>
    </w:p>
    <w:p>
      <w:pPr>
        <w:ind w:left="1100" w:hanging="32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realize expected benefits from our acquisitions and other strategic business transactions;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our customers’ budgets for information technology purchases and delays in their purchasing decisions;</w:t>
      </w:r>
    </w:p>
    <w:p>
      <w:pPr>
        <w:spacing w:after="0" w:line="90" w:lineRule="exact"/>
        <w:rPr>
          <w:rFonts w:ascii="Arial" w:cs="Arial" w:eastAsia="Arial" w:hAnsi="Arial"/>
          <w:sz w:val="18"/>
          <w:szCs w:val="18"/>
          <w:color w:val="auto"/>
        </w:rPr>
      </w:pPr>
    </w:p>
    <w:p>
      <w:pPr>
        <w:jc w:val="both"/>
        <w:ind w:left="1100" w:hanging="323"/>
        <w:spacing w:after="0" w:line="263"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 on our business, including pandemics, geographic and political conflicts, trade tariffs, trade agreements, and other uncertainties that may cause a delay in entering into, a failure to enter into, or cancel significant customer agreements or the fulfillment of professional service arrangements;</w:t>
      </w:r>
    </w:p>
    <w:p>
      <w:pPr>
        <w:spacing w:after="0" w:line="62" w:lineRule="exact"/>
        <w:rPr>
          <w:rFonts w:ascii="Arial" w:cs="Arial" w:eastAsia="Arial" w:hAnsi="Arial"/>
          <w:sz w:val="18"/>
          <w:szCs w:val="18"/>
          <w:color w:val="auto"/>
        </w:rPr>
      </w:pPr>
    </w:p>
    <w:p>
      <w:pPr>
        <w:ind w:left="1100" w:hanging="32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litigation judgments, dispute-related settlement payments, or litigation-related costs;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future accounting pronouncements or changes in accounting rules and our related accounting policies, interpretations, and controls;</w:t>
      </w:r>
    </w:p>
    <w:p>
      <w:pPr>
        <w:spacing w:after="0" w:line="101" w:lineRule="exact"/>
        <w:rPr>
          <w:rFonts w:ascii="Arial" w:cs="Arial" w:eastAsia="Arial" w:hAnsi="Arial"/>
          <w:sz w:val="17"/>
          <w:szCs w:val="17"/>
          <w:color w:val="auto"/>
        </w:rPr>
      </w:pPr>
    </w:p>
    <w:p>
      <w:pPr>
        <w:ind w:left="1100" w:hanging="32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103"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inflation or deflation in the economies in which we operate and its impact on our revenues given the multi-year term of most customer agreements.</w:t>
      </w:r>
    </w:p>
    <w:p>
      <w:pPr>
        <w:spacing w:after="0" w:line="116"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w:t>
      </w:r>
    </w:p>
    <w:p>
      <w:pPr>
        <w:spacing w:after="0" w:line="9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4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spacing w:after="0" w:line="14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49" w:lineRule="exact"/>
        <w:rPr>
          <w:sz w:val="20"/>
          <w:szCs w:val="20"/>
          <w:color w:val="auto"/>
        </w:rPr>
      </w:pPr>
    </w:p>
    <w:p>
      <w:pPr>
        <w:ind w:left="1100" w:hanging="323"/>
        <w:spacing w:after="0" w:line="277" w:lineRule="auto"/>
        <w:tabs>
          <w:tab w:leader="none" w:pos="10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subscription arrangements are recognized ratably and only a portion, if any, of the revenue from an order is recognized in the same fiscal period of the order;</w:t>
      </w:r>
    </w:p>
    <w:p>
      <w:pPr>
        <w:spacing w:after="0" w:line="48" w:lineRule="exact"/>
        <w:rPr>
          <w:rFonts w:ascii="Arial" w:cs="Arial" w:eastAsia="Arial" w:hAnsi="Arial"/>
          <w:sz w:val="18"/>
          <w:szCs w:val="18"/>
          <w:color w:val="auto"/>
        </w:rPr>
      </w:pPr>
    </w:p>
    <w:p>
      <w:pPr>
        <w:ind w:left="1100" w:right="20" w:hanging="323"/>
        <w:spacing w:after="0" w:line="277" w:lineRule="auto"/>
        <w:tabs>
          <w:tab w:leader="none" w:pos="10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subscription arrangements generally have ramped invoicing schedules over the initial term, which affects ARR, but revenue is recognized ratably over the initial term;</w:t>
      </w:r>
    </w:p>
    <w:p>
      <w:pPr>
        <w:spacing w:after="0" w:line="35"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term license agreements and multi-year term license renewals generally have annual billing arrangements even though revenue is recognized upfront for the entire committed term;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1100" w:right="20" w:hanging="323"/>
        <w:spacing w:after="0" w:line="263" w:lineRule="auto"/>
        <w:tabs>
          <w:tab w:leader="none" w:pos="10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48" w:lineRule="exact"/>
        <w:rPr>
          <w:rFonts w:ascii="Arial" w:cs="Arial" w:eastAsia="Arial" w:hAnsi="Arial"/>
          <w:sz w:val="18"/>
          <w:szCs w:val="18"/>
          <w:color w:val="auto"/>
        </w:rPr>
      </w:pPr>
    </w:p>
    <w:p>
      <w:pPr>
        <w:ind w:left="1100" w:hanging="323"/>
        <w:spacing w:after="0" w:line="342" w:lineRule="auto"/>
        <w:tabs>
          <w:tab w:leader="none" w:pos="10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spacing w:after="0" w:line="2" w:lineRule="exact"/>
        <w:rPr>
          <w:rFonts w:ascii="Arial" w:cs="Arial" w:eastAsia="Arial" w:hAnsi="Arial"/>
          <w:sz w:val="16"/>
          <w:szCs w:val="16"/>
          <w:color w:val="auto"/>
        </w:rPr>
      </w:pPr>
    </w:p>
    <w:p>
      <w:pPr>
        <w:ind w:left="1100" w:hanging="323"/>
        <w:spacing w:after="0" w:line="277" w:lineRule="auto"/>
        <w:tabs>
          <w:tab w:leader="none" w:pos="10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five-year renewal of a single license agreement, which resulted in the first quarter of fiscal year 2021 lacking comparability to the prior year and creating a challenging comparable for the first quarter of fiscal year 2022.</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30"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9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w:t>
      </w:r>
    </w:p>
    <w:p>
      <w:pPr>
        <w:jc w:val="both"/>
        <w:spacing w:after="0" w:line="286" w:lineRule="auto"/>
        <w:rPr>
          <w:sz w:val="20"/>
          <w:szCs w:val="20"/>
          <w:color w:val="auto"/>
        </w:rPr>
      </w:pPr>
      <w:r>
        <w:rPr>
          <w:rFonts w:ascii="Arial" w:cs="Arial" w:eastAsia="Arial" w:hAnsi="Arial"/>
          <w:sz w:val="16"/>
          <w:szCs w:val="16"/>
          <w:color w:val="auto"/>
        </w:rPr>
        <w:t>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Revenue under our cloud-based subscription model will generally be recognized ratably over the term of the contract. The transition to ratable revenue recognition will result in lower revenue than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124"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116"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6"/>
          <w:szCs w:val="16"/>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 2020, our ten largest customers accounted for 27% of our revenue, in fiscal year 2021 they accounted for 28%, and in fiscal year 2022 they accounted for 23%. Additionally, our ten largest customers based on ARR accounted for 26% of total ARR at July 31, 2022.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Failure of any of our established services or products to satisfy customer demands or to maintain market acceptance could harm our business, results of operations, financial condition, and growth prospects.</w:t>
      </w:r>
    </w:p>
    <w:p>
      <w:pPr>
        <w:spacing w:after="0" w:line="1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derive a significant majority of our revenue and cash flows from our established product offerings, including Guidewire InsuranceSuite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enhancements,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Recent global events have adversely affected, and may continue to adversely affect, our business, results of operations, and financial condition.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7"/>
          <w:szCs w:val="17"/>
          <w:color w:val="auto"/>
        </w:rPr>
        <w:t>Recent global events have adversely affected and are continuing to adversely affect workforces, organizations, economies, and financial markets globally, leading to economic downturns, inflation, and increased market volatility. The continuing COVID-19 pandemic, the ongoing conflict between Russia and Ukraine, inflation higher than we have seen in decades, and supply chain issues have added to global economic and market volatility. Our business and financial results during fiscal year 2022, including our ARR growth rates, services revenue, and margins, were adversely impacted due to the disruptions resulting from these events. The pandemic, as well as measures undertaken to contain the spread of COVID-19 variants, have affected and could further affect our ability to travel to customers and prospects, resulting in delays in services delivery, delays in implementations, and interruptions or modifications in our sales and marketing activities, including Connections, our annual user conference, which has adversely affected, and may continue to adversely affect, our business, results of operations, and financial condition. These global events have also disrupted the normal operations of our customers’ businesses and our SI partners’ businesses. The related impacts of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these global events and related implementation delays. In the third quarter of our fiscal year 2022, the ongoing conflict between Russia and Ukraine resulted in our ceasing operations in Russia, which resulted in our recording $3.0 million of bad debt expense and removing $3.1 million of ARR due to our cancellation of contracts with customers in Russia. As a result of these developments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Due to the continuing and evolving nature of these global events, it is not possible for us to accurately predict the duration or magnitude of the adverse impacts and effects on our business, results of operations, or financial condition. Further, to the extent recent global events adversely affects our business, results of operations, or financial condition, it may also have the effect of heightening many of the other risks described in this “Risk Factors” section.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in the process of transitioning to a hybrid in-person and remote workforce, which will subject us to certain operational challenges and risks and potential harm to our business.</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response to the COVID-19 pandemic, our workforce shifted from in-person to remote work. We have announced our intention to transition to a hybrid work environment in which a significant portion of our workforce will work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1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knowledge, and pre-built content applicable to that jurisdiction. We also compete with vendors of horizontal software products that may be customized to address needs of the P&amp;C insurance industry.</w:t>
      </w:r>
    </w:p>
    <w:p>
      <w:pPr>
        <w:spacing w:after="0" w:line="11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spacing w:after="0" w:line="11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1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2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w:t>
      </w:r>
    </w:p>
    <w:p>
      <w:pPr>
        <w:spacing w:after="0" w:line="12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1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and the potential cost savings achievable by organizations deploying our services and products.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implementation and testing of our services and products by our customers typically lasts six to 24 months or longer and unexpected implementation delays and difficulties can occur. Implementing our services and products typically involves integration with our customers’ and third parties’ systems and creating or updating the digital experience,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licenses and services, potential reversals of previously recognized revenue, renegotiating existing customer’s contractual terms,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11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Furthermore, our sales and implementation cycles could be interrupted or affected by other factors outside of our control. For example, the COVID-19 pandemic caused sales and implementation cycles to lengthen, along with other impacts on our business. We have had, and may in the future have, restrictions on travel,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continue to affect services delivery, delay implementations, and interrupt sales activity. We cannot predict the duration or the extent of adverse impacts from the COVID-19 pandemic and other global events on our business, results of operations, and financial condition.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Failure to manage our expanding operations effectively could harm our business.</w:t>
      </w:r>
    </w:p>
    <w:p>
      <w:pPr>
        <w:spacing w:after="0" w:line="1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We have experienced consistent growth and expect to continue to expand our operations, including the number of employees and the locations and scope of our international operations. Additionally, we have announced our intention to transition to a hybrid work environment in which a large portion of our workforce will work either in-person on a part-time basis or remotely on a permanent basis, which brings new challenges to managing our business and workforce.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11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1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Our subscription and support revenue was 42% and 34% of total revenue for fiscal years 2022 and 2021, respectively. Our subscription and support revenue produces lower gross margins than our license revenue. The gross margin of our subscription and support revenue was 41% and 38% for fiscal years 2022 and 2021, respectively, while the gross margin for license revenue was 97% and 97% for fiscal years 2022 and 2021,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not result in an improvement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customers with their migration to our cloud services, continued growth and efficiency of our cloud operations and technical support teams, and the impact on the global economy as a result of the COVID-19 pandemic, inflation, or other global events and disasters.</w:t>
      </w:r>
    </w:p>
    <w:p>
      <w:pPr>
        <w:spacing w:after="0" w:line="11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Further, our services revenue was 26% and 25% of total revenue for fiscal years 2022 and 2021, respectively. Our services revenue produces lower gross margin than either our license revenue or our subscription and support revenue. The gross margin of our services revenue was less than 1% in both fiscal years 2022 and 2021.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economic volatility,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11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7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These customers may also delay making payments under existing agreements or at renewal in an attempt to obtain more favorable terms from us. We have been required to, and may continue to be required to, reduce the average selling price and ARR of our services and products in response to these pressures. If we are unable to avoid reducing our average selling prices or ARR, our results of operations could be harmed.</w:t>
      </w:r>
    </w:p>
    <w:p>
      <w:pPr>
        <w:spacing w:after="0" w:line="12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renewing and expanding their license, support, and subscription contracts for our services and products. A decline in our customer renewals and expansions could harm our future results of operations.</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 in our customers’ business including their DWP, reductions in our customers’ spending levels due to the macroeconomic environment or other factors, or the sale of their operations to a buyer that is not a current customer.</w:t>
      </w:r>
    </w:p>
    <w:p>
      <w:pPr>
        <w:spacing w:after="0" w:line="11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1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If we are unable to develop, introduce, and market new and enhanced versions of our services and products, we may be put at a competitive disadvantage.</w:t>
      </w:r>
    </w:p>
    <w:p>
      <w:pPr>
        <w:spacing w:after="0" w:line="116"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color w:val="auto"/>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w:t>
      </w:r>
    </w:p>
    <w:p>
      <w:pPr>
        <w:jc w:val="both"/>
        <w:spacing w:after="0" w:line="273" w:lineRule="auto"/>
        <w:rPr>
          <w:sz w:val="20"/>
          <w:szCs w:val="20"/>
          <w:color w:val="auto"/>
        </w:rPr>
      </w:pPr>
      <w:r>
        <w:rPr>
          <w:rFonts w:ascii="Arial" w:cs="Arial" w:eastAsia="Arial" w:hAnsi="Arial"/>
          <w:sz w:val="17"/>
          <w:szCs w:val="17"/>
          <w:color w:val="auto"/>
        </w:rPr>
        <w:t>updates to our existing products and services can take significant time and resources to develop and bring to market. 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regulations, and customer requirements and to successfully introduce new, enhanced, and competitive services and products to meet our customers’ and prospective customers’ needs on a timely basis. We have invested and intend</w:t>
      </w:r>
    </w:p>
    <w:p>
      <w:pPr>
        <w:spacing w:after="0" w:line="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to increase investments in research and development and cloud operations to meet these challenges. Revenue may not be sufficient to support the future product development that is required for us to remain competitive. If we fail to develop services and products in a timely manner that are competitive in technology and price or develop services and products that fail to meet customer demands, our market share will decline and our business and results of</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could be harmed. If our development efforts do not develop services, products or features that our customers find valuable, then we might incur impairment charges related to our capitalized software development costs.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b w:val="1"/>
          <w:bCs w:val="1"/>
          <w:i w:val="1"/>
          <w:iCs w:val="1"/>
          <w:color w:val="auto"/>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spacing w:after="0" w:line="130"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 bugs in some of our offerings after their introduction. Additionally, our Guidewire Cloud offerings rely on third-party hosting</w:t>
      </w:r>
    </w:p>
    <w:p>
      <w:pPr>
        <w:spacing w:after="0" w:line="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services, primarily Amazon Web Services (“AWS”). Any material disruption or slowdown in these services or the systems of third parties who we depend upon could cause outages or delays in our services, which could harm our reputation and adversely affect our results of operations.</w:t>
      </w:r>
    </w:p>
    <w:p>
      <w:pPr>
        <w:spacing w:after="0" w:line="120"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provide our customers with upfront estimates regarding the duration, resources, and costs associated with the migration and 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renegotiation or modification of existing contracts that could potentially result in reversals of previously recognized revenue, or a customer’s refusal to pay its contractually-obligated fees. In addition, time-consuming or difficult migrations and implementations may also increase the amount of services personnel we must allocate to the project, potentially without commensurate compensation, thereby increasing our costs, lowering our services margin, and adversely affecting our business, results of operations, and financial condition.</w:t>
      </w:r>
    </w:p>
    <w:p>
      <w:pPr>
        <w:spacing w:after="0" w:line="11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b w:val="1"/>
          <w:bCs w:val="1"/>
          <w:i w:val="1"/>
          <w:iCs w:val="1"/>
          <w:color w:val="auto"/>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7"/>
          <w:szCs w:val="17"/>
          <w:color w:val="auto"/>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13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16"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most recently in August 2021, we acquired HazardHub, Inc., a leading insurtech provider of API-driven property risk insights. Acquisitions and alliances, such as our strategic partnership with One Inc.,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spacing w:after="0" w:line="12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0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b w:val="1"/>
          <w:bCs w:val="1"/>
          <w:i w:val="1"/>
          <w:iCs w:val="1"/>
          <w:color w:val="auto"/>
        </w:rPr>
        <w:t>If we are unable to continue the successful development of our global direct sales force and the expansion of our relationships with our strategic partners, sales of our services and products will suffer and our growth could be slower than we project.</w:t>
      </w:r>
    </w:p>
    <w:p>
      <w:pPr>
        <w:spacing w:after="0" w:line="9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 resources that our SI partners commit to migrating or implementing our services and products, the quality or timeliness of such migrations and implementations, or the effects of the COVID-19 pandemic and other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spacing w:after="0" w:line="13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sell our services and products to customers located outside the United States, and we are continuing to expand our international operations as part of our growth strategy. In fiscal years 2022, 2021, and 2020, $296.2 million, $271.1 million, and $279.8 million of our revenue, respectively, was from customers outside of the United States. Our current international operations and our plans to expand our international operations subject us to a variety of risks, including:</w:t>
      </w:r>
    </w:p>
    <w:p>
      <w:pPr>
        <w:spacing w:after="0" w:line="65" w:lineRule="exact"/>
        <w:rPr>
          <w:sz w:val="20"/>
          <w:szCs w:val="20"/>
          <w:color w:val="auto"/>
        </w:rPr>
      </w:pPr>
    </w:p>
    <w:p>
      <w:pPr>
        <w:ind w:left="1100" w:hanging="323"/>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management, travel, infrastructure, and legal compliance costs associated with having multiple international operations;</w:t>
      </w:r>
    </w:p>
    <w:p>
      <w:pPr>
        <w:spacing w:after="0" w:line="101" w:lineRule="exact"/>
        <w:rPr>
          <w:rFonts w:ascii="Arial" w:cs="Arial" w:eastAsia="Arial" w:hAnsi="Arial"/>
          <w:sz w:val="17"/>
          <w:szCs w:val="17"/>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unique terms and conditions in contract negotiations imposed by customers in foreign countries;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contracts and collecting accounts receivable;</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localize our contracts and our services and products for international customers;</w:t>
      </w:r>
    </w:p>
    <w:p>
      <w:pPr>
        <w:spacing w:after="0" w:line="90"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exposure to fluctuations in currency exchange rates, especially on revenue and ARR;</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highly inflationary international economies, such as Argentina;</w:t>
      </w:r>
    </w:p>
    <w:p>
      <w:pPr>
        <w:spacing w:after="0" w:line="90"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geographic and political conflicts, such as that between Russia and Ukraine;</w:t>
      </w:r>
    </w:p>
    <w:p>
      <w:pPr>
        <w:spacing w:after="0" w:line="103"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burdens and costs of complying with a wide variety of foreign laws and legal standards, including the General Data Protection Regulation in the European Union (“EU”) and the U.K.;</w:t>
      </w:r>
    </w:p>
    <w:p>
      <w:pPr>
        <w:spacing w:after="0" w:line="48"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of 1977, as amended, the U.K. Bribery Act of 2010 and other anti-corruption regulations, particularly in emerging market countries;</w:t>
      </w:r>
    </w:p>
    <w:p>
      <w:pPr>
        <w:spacing w:after="0" w:line="35"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by international staff with accounting practices generally accepted in the United States, including adherence to our accounting policies and internal controls;</w:t>
      </w:r>
    </w:p>
    <w:p>
      <w:pPr>
        <w:spacing w:after="0" w:line="48"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and export license requirements, tariffs, taxes and other trade barriers;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financial accounting, tax and reporting burdens and complexities;</w:t>
      </w:r>
    </w:p>
    <w:p>
      <w:pPr>
        <w:spacing w:after="0" w:line="90"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weaker protection of intellectual property rights in some countries;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regimes;</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sanctions that may interfere with our ability to sell into particular countries, such as Russia;</w:t>
      </w:r>
    </w:p>
    <w:p>
      <w:pPr>
        <w:spacing w:after="0" w:line="90"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to our operations caused by epidemics or pandemics, such as COVID-19; and</w:t>
      </w:r>
    </w:p>
    <w:p>
      <w:pPr>
        <w:spacing w:after="0" w:line="103" w:lineRule="exact"/>
        <w:rPr>
          <w:rFonts w:ascii="Arial" w:cs="Arial" w:eastAsia="Arial" w:hAnsi="Arial"/>
          <w:sz w:val="18"/>
          <w:szCs w:val="18"/>
          <w:color w:val="auto"/>
        </w:rPr>
      </w:pPr>
    </w:p>
    <w:p>
      <w:pPr>
        <w:ind w:left="1100" w:hanging="32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13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b w:val="1"/>
          <w:bCs w:val="1"/>
          <w:i w:val="1"/>
          <w:iCs w:val="1"/>
          <w:color w:val="auto"/>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Our services and products are complex and are deployed in a wide variety of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spacing w:after="0" w:line="11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addition, if there is substantial turnover of customer personnel responsible, especially at the executive level,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may need additional financing to execute on our current or future business strategies, including to develop new or enhance existing services and products, acquire businesses and technologies, or otherwise to respond to competitive pressures.</w:t>
      </w:r>
    </w:p>
    <w:p>
      <w:pPr>
        <w:spacing w:after="0" w:line="11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spacing w:after="0" w:line="214"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u w:val="single" w:color="auto"/>
          <w:color w:val="auto"/>
        </w:rPr>
        <w:t>Risks Related to Data Security and Privacy, Intellectual Property, and Information Technology</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If our products or cloud-based services experience data security breaches or there is unauthorized access to our customers’ data, we may lose current or future customers and our reputation and business may be harmed.</w:t>
      </w:r>
    </w:p>
    <w:p>
      <w:pPr>
        <w:spacing w:after="0" w:line="116"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If our security measures are breached or unauthorized access to customer data is otherwise obtained,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w:t>
      </w:r>
    </w:p>
    <w:p>
      <w:pPr>
        <w:spacing w:after="0" w:line="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Company. While we have taken, and are continually updating and enhancing,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11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adoption of our cloud-based services occurs, the amount of customer data, including customer personal information, that we manage, hold, and/or</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collect continues to increase. 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spacing w:after="0" w:line="133"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substantially went into effect on January 1, 2023,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surveillance by U.S. state and law enforcement agencies, known as the Schrems II decision. Schrems II now requires companies to conduct case-by-case assessments of each data transfer to a non-EU, or non-UK, country in order to ensure that such data is adequately protected.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spacing w:after="0" w:line="12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b w:val="1"/>
          <w:bCs w:val="1"/>
          <w:i w:val="1"/>
          <w:iCs w:val="1"/>
          <w:color w:val="auto"/>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spacing w:after="0" w:line="130"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On April 27, 2016, the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spacing w:after="0" w:line="11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w:t>
      </w:r>
    </w:p>
    <w:p>
      <w:pPr>
        <w:spacing w:after="0" w:line="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We are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 for the transfer and receipt of personal data from the EU to the United States and other countries. As data protection authorities continue to issue further guidance and orders on personal data export mechanisms and/or continue taking enforcement action, we could suffer additional costs, complaints and/or regulatory investigations or fines, and/or if we are otherwise unable to transfer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133"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Given our current transition to more cloud-based services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12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longer provide adequate protection for personal data. These changes may lead to additional costs and increase our overall risk exposure.</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1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12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2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results of operations.</w:t>
      </w:r>
    </w:p>
    <w:p>
      <w:pPr>
        <w:spacing w:after="0" w:line="17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9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1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0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1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spacing w:after="0" w:line="13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We and our customers rely on technology and intellectual property of third parties, the loss of which could limit the functionality of our services and products and disrupt our business.</w:t>
      </w:r>
    </w:p>
    <w:p>
      <w:pPr>
        <w:spacing w:after="0" w:line="11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services and products, and we may license additional third-party technology and intellectual property in the future. Any errors or defects in this third-party technology and intellectual property or the integration of third-party technology and intellectual property with our services and products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services and products and might require us to redesign our services and products.</w:t>
      </w:r>
    </w:p>
    <w:p>
      <w:pPr>
        <w:spacing w:after="0" w:line="13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Some of our services and technologies may use “open source” software, which may restrict how we use or distribute our services or require that we release the source code of certain services and products subject to those licenses.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14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3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spacing w:after="0" w:line="1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Risks Related to Legal, Regulatory, Accounting, and Tax Matters</w:t>
      </w:r>
    </w:p>
    <w:p>
      <w:pPr>
        <w:spacing w:after="0" w:line="175" w:lineRule="exact"/>
        <w:rPr>
          <w:sz w:val="20"/>
          <w:szCs w:val="20"/>
          <w:color w:val="auto"/>
        </w:rPr>
      </w:pPr>
    </w:p>
    <w:p>
      <w:pPr>
        <w:jc w:val="both"/>
        <w:ind w:firstLine="445"/>
        <w:spacing w:after="0" w:line="328" w:lineRule="auto"/>
        <w:rPr>
          <w:sz w:val="20"/>
          <w:szCs w:val="20"/>
          <w:color w:val="auto"/>
        </w:rPr>
      </w:pPr>
      <w:r>
        <w:rPr>
          <w:rFonts w:ascii="Arial" w:cs="Arial" w:eastAsia="Arial" w:hAnsi="Arial"/>
          <w:sz w:val="15"/>
          <w:szCs w:val="15"/>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7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prepare our consolidated financial statements to conform to United States Generally Accepted Accounting Principles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13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our go-to-market strategy create new risks, then we may experience greater volatility in our quarterly and annual results, which may cause our stock price to decline.</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Further, revenue recognition standards require significant judgment and estimates that impact our reported revenue and results of operations.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reported revenue has and will vary from the ARR and cash flow associated with each customer agreement. 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134"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12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16"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Tax Cuts and Jobs Act of 2017 (the “Tax Act”), the Coronavirus Aid, Relief, Economic Security Act of 2020, and the Inflation Reduction Act of 2022.</w:t>
      </w:r>
    </w:p>
    <w:p>
      <w:pPr>
        <w:spacing w:after="0" w:line="9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24" w:lineRule="exact"/>
        <w:rPr>
          <w:sz w:val="20"/>
          <w:szCs w:val="20"/>
          <w:color w:val="auto"/>
        </w:rPr>
      </w:pPr>
    </w:p>
    <w:p>
      <w:pPr>
        <w:ind w:left="460" w:right="3480" w:firstLine="3366"/>
        <w:spacing w:after="0" w:line="528" w:lineRule="auto"/>
        <w:rPr>
          <w:sz w:val="20"/>
          <w:szCs w:val="20"/>
          <w:color w:val="auto"/>
        </w:rPr>
      </w:pPr>
      <w:r>
        <w:rPr>
          <w:rFonts w:ascii="Arial" w:cs="Arial" w:eastAsia="Arial" w:hAnsi="Arial"/>
          <w:sz w:val="15"/>
          <w:szCs w:val="15"/>
          <w:b w:val="1"/>
          <w:bCs w:val="1"/>
          <w:u w:val="single" w:color="auto"/>
          <w:color w:val="auto"/>
        </w:rPr>
        <w:t xml:space="preserve">Risks Related to Ownership of Our Common Stock </w:t>
      </w:r>
      <w:r>
        <w:rPr>
          <w:rFonts w:ascii="Arial" w:cs="Arial" w:eastAsia="Arial" w:hAnsi="Arial"/>
          <w:sz w:val="15"/>
          <w:szCs w:val="15"/>
          <w:b w:val="1"/>
          <w:bCs w:val="1"/>
          <w:i w:val="1"/>
          <w:iCs w:val="1"/>
          <w:color w:val="auto"/>
        </w:rPr>
        <w:t>Our stock price may be volatile, which could result in securities class action litigation against us.</w:t>
      </w:r>
    </w:p>
    <w:p>
      <w:pPr>
        <w:spacing w:after="0" w:line="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the valuation of companies perceived by investors to be comparable to us and research analyst coverage about our business.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or international currency fluctuations, have and may continue to affect the market price of our common stock.</w:t>
      </w:r>
    </w:p>
    <w:p>
      <w:pPr>
        <w:spacing w:after="0" w:line="14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In the past, we and many companies 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9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16"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65" w:lineRule="exact"/>
        <w:rPr>
          <w:sz w:val="20"/>
          <w:szCs w:val="20"/>
          <w:color w:val="auto"/>
        </w:rPr>
      </w:pPr>
    </w:p>
    <w:p>
      <w:pPr>
        <w:ind w:left="1100" w:hanging="323"/>
        <w:spacing w:after="0"/>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 providing for cumulative voting in the election of directors, which limits the ability of minority stockholders to elect director candidates;</w:t>
      </w:r>
    </w:p>
    <w:p>
      <w:pPr>
        <w:spacing w:after="0" w:line="126" w:lineRule="exact"/>
        <w:rPr>
          <w:rFonts w:ascii="Arial" w:cs="Arial" w:eastAsia="Arial" w:hAnsi="Arial"/>
          <w:sz w:val="16"/>
          <w:szCs w:val="16"/>
          <w:color w:val="auto"/>
        </w:rPr>
      </w:pPr>
    </w:p>
    <w:p>
      <w:pPr>
        <w:ind w:left="1100" w:hanging="323"/>
        <w:spacing w:after="0" w:line="277" w:lineRule="auto"/>
        <w:tabs>
          <w:tab w:leader="none" w:pos="10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acquirer;</w:t>
      </w:r>
    </w:p>
    <w:p>
      <w:pPr>
        <w:spacing w:after="0" w:line="35"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48"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which could delay the ability of our stockholders to force consideration of a proposal or to take action, including the removal of directors; and</w:t>
      </w:r>
    </w:p>
    <w:p>
      <w:pPr>
        <w:spacing w:after="0" w:line="35" w:lineRule="exact"/>
        <w:rPr>
          <w:rFonts w:ascii="Arial" w:cs="Arial" w:eastAsia="Arial" w:hAnsi="Arial"/>
          <w:sz w:val="18"/>
          <w:szCs w:val="18"/>
          <w:color w:val="auto"/>
        </w:rPr>
      </w:pPr>
    </w:p>
    <w:p>
      <w:pPr>
        <w:ind w:left="1100" w:hanging="323"/>
        <w:spacing w:after="0" w:line="308" w:lineRule="auto"/>
        <w:tabs>
          <w:tab w:leader="none" w:pos="10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9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9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130"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1100" w:hanging="32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0"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other employees to us or our stockholders;</w:t>
      </w:r>
    </w:p>
    <w:p>
      <w:pPr>
        <w:spacing w:after="0" w:line="48" w:lineRule="exact"/>
        <w:rPr>
          <w:rFonts w:ascii="Arial" w:cs="Arial" w:eastAsia="Arial" w:hAnsi="Arial"/>
          <w:sz w:val="18"/>
          <w:szCs w:val="18"/>
          <w:color w:val="auto"/>
        </w:rPr>
      </w:pPr>
    </w:p>
    <w:p>
      <w:pPr>
        <w:ind w:left="1100" w:hanging="323"/>
        <w:spacing w:after="0" w:line="277" w:lineRule="auto"/>
        <w:tabs>
          <w:tab w:leader="none" w:pos="10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48" w:lineRule="exact"/>
        <w:rPr>
          <w:rFonts w:ascii="Arial" w:cs="Arial" w:eastAsia="Arial" w:hAnsi="Arial"/>
          <w:sz w:val="18"/>
          <w:szCs w:val="18"/>
          <w:color w:val="auto"/>
        </w:rPr>
      </w:pPr>
    </w:p>
    <w:p>
      <w:pPr>
        <w:ind w:left="1100" w:hanging="32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2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4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We cannot guarantee that any share repurchase program will be fully consummated or it will enhance stockholder value, and share repurchases could affect the price of our common stock</w:t>
      </w:r>
    </w:p>
    <w:p>
      <w:pPr>
        <w:spacing w:after="0" w:line="116"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In September 2022, our board of directors authorized and approved a share repurchase program of up to $400 million of our outstanding common stock and entered into an ASR agreement to repurchase an aggregate $200 million of our common stock. As of January 31, 2023, $200 million of the share repurchase program remains available for future repurchases.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1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175" w:lineRule="exact"/>
        <w:rPr>
          <w:sz w:val="20"/>
          <w:szCs w:val="20"/>
          <w:color w:val="auto"/>
        </w:rPr>
      </w:pPr>
    </w:p>
    <w:p>
      <w:pPr>
        <w:jc w:val="both"/>
        <w:ind w:firstLine="445"/>
        <w:spacing w:after="0" w:line="340" w:lineRule="auto"/>
        <w:rPr>
          <w:sz w:val="20"/>
          <w:szCs w:val="20"/>
          <w:color w:val="auto"/>
        </w:rPr>
      </w:pPr>
      <w:r>
        <w:rPr>
          <w:rFonts w:ascii="Arial" w:cs="Arial" w:eastAsia="Arial" w:hAnsi="Arial"/>
          <w:sz w:val="15"/>
          <w:szCs w:val="15"/>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January 31, 2023,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13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122"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11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The conditional conversion feature of the Convertible Senior Notes, if triggered, may adversely affect our financial condition and results of operations.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relating to our Convertible Senior Notes may affect the value of our common stock.</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9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2020, the FASB issued Accounting Standards Update (“ASU”) 2020-06, Debt—Debt with Conversion and Other Options (Subtopic 470-</w:t>
      </w:r>
    </w:p>
    <w:p>
      <w:pPr>
        <w:spacing w:after="0" w:line="46" w:lineRule="exact"/>
        <w:rPr>
          <w:sz w:val="20"/>
          <w:szCs w:val="20"/>
          <w:color w:val="auto"/>
        </w:rPr>
      </w:pPr>
    </w:p>
    <w:p>
      <w:pPr>
        <w:jc w:val="both"/>
        <w:ind w:firstLine="8"/>
        <w:spacing w:after="0" w:line="269" w:lineRule="auto"/>
        <w:tabs>
          <w:tab w:leader="none" w:pos="3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and Derivatives and Hedging—Contracts in Entity’s Own Equity (Subtopic 815-40), which we adopted on August 1, 2022. The ASU simplifies the accounting for convertible instruments, and among other things, eliminates the treasury stock method to calculate diluted earnings per share for convertible instruments and requires the use of the if-converted method. When calculating diluted EPS, the if-converted method requires us to assume that convertible debt instruments (and any applicable conversion premium) are converted to common stock as of the beginning of the period presented regardless of the price of our stock in periods that we have net income. Additionally, the if-converted method does not allow us to offset the impact of our capped call transactions on the calculation. We expect that such calculations will negatively affect our reported diluted EPS in the periods that we have net income irrespective of actual conversion of the Convertible Senior Notes.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2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Our customers may defer or forego purchases of our services or products in the event of weakened global economic conditions, political transitions, and industry consolidation.</w:t>
      </w:r>
    </w:p>
    <w:p>
      <w:pPr>
        <w:spacing w:after="0" w:line="116"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General worldwide economic conditions remain unstable, and prolonged economic uncertainties or downturns could harm our business, results of operations, or financial condition. In particular, pursuant to a decision by referendum in June 2016, the U.K. voted to withdraw from the EU.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 to govern the U.K.’s future relationship with the EU.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Further, other global events such as global inflation concerns and the ongoing conflict between Russia and Ukraine,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spacing w:after="0" w:line="11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11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110"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w:t>
      </w:r>
    </w:p>
    <w:p>
      <w:pPr>
        <w:jc w:val="both"/>
        <w:spacing w:after="0" w:line="263" w:lineRule="auto"/>
        <w:rPr>
          <w:sz w:val="20"/>
          <w:szCs w:val="20"/>
          <w:color w:val="auto"/>
        </w:rPr>
      </w:pPr>
      <w:r>
        <w:rPr>
          <w:rFonts w:ascii="Arial" w:cs="Arial" w:eastAsia="Arial" w:hAnsi="Arial"/>
          <w:sz w:val="18"/>
          <w:szCs w:val="18"/>
          <w:color w:val="auto"/>
        </w:rPr>
        <w:t>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13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12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the COVID-19 pandemic,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which has increased in connection with the COVID-19 pandemic and its associated workplace-related ramifications, or we may be required to pay increased compensation in order to do so.</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b w:val="1"/>
          <w:bCs w:val="1"/>
          <w:i w:val="1"/>
          <w:iCs w:val="1"/>
          <w:color w:val="auto"/>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spacing w:after="0" w:line="13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conflict between Russia and Ukraine,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floods, severe heat and cold events, fires, and other natural disasters, Turkey and Syria have experienced severe earthquakes, Germany, Pakistan, and other parts of Europe have experienced flooding,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13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corporate headquarters and the majority of our operations are located in the San Francisco Bay Area, a region known for seismic activity and near an area subject to severe fire damage. A significant natural disaster, such as an earthquake, tsunami, fire, flood, epidemic, or pandemic, such as the COVID-19 pandemic, could have a material adverse impact on our business, results of operations, and financial condition.</w:t>
      </w:r>
    </w:p>
    <w:p>
      <w:pPr>
        <w:spacing w:after="0" w:line="11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11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b w:val="1"/>
          <w:bCs w:val="1"/>
          <w:i w:val="1"/>
          <w:iCs w:val="1"/>
          <w:color w:val="auto"/>
        </w:rPr>
        <w:t>Our revenue, results of operations and cash flows are subject to fluctuations due to changes in foreign currency exchange rates, particularly changes in the Australian Dollar, British Pound, Canadian Dollar, Euro, Indian Rupee, and Polish Zloty.</w:t>
      </w:r>
    </w:p>
    <w:p>
      <w:pPr>
        <w:spacing w:after="0" w:line="11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While we have limited currency exchange exposure to the Russian Ruble, we expect global exchange rates for various currencies may be more volatile than normal as a result of the ongoing conflict between Russia and Ukraine and related events. We will continue to experience fluctuations in foreign currency exchange rates, which, if material, may harm our revenue or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0" w:name="page71"/>
    <w:bookmarkEnd w:id="70"/>
    <w:tbl>
      <w:tblPr>
        <w:tblLayout w:type="fixed"/>
        <w:tblInd w:w="73"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7300" w:type="dxa"/>
            <w:vAlign w:val="bottom"/>
            <w:gridSpan w:val="4"/>
          </w:tcPr>
          <w:p>
            <w:pPr>
              <w:ind w:left="120"/>
              <w:spacing w:after="0"/>
              <w:rPr>
                <w:sz w:val="20"/>
                <w:szCs w:val="20"/>
                <w:color w:val="auto"/>
              </w:rPr>
            </w:pPr>
            <w:r>
              <w:rPr>
                <w:rFonts w:ascii="Arial" w:cs="Arial" w:eastAsia="Arial" w:hAnsi="Arial"/>
                <w:sz w:val="18"/>
                <w:szCs w:val="18"/>
                <w:color w:val="auto"/>
              </w:rPr>
              <w:t>The exhibits listed below are filed or incorporated by reference as part of this Report.</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00" w:type="dxa"/>
            <w:vAlign w:val="bottom"/>
            <w:vMerge w:val="restart"/>
          </w:tcPr>
          <w:p>
            <w:pPr>
              <w:jc w:val="center"/>
              <w:ind w:left="808"/>
              <w:spacing w:after="0"/>
              <w:rPr>
                <w:sz w:val="20"/>
                <w:szCs w:val="20"/>
                <w:color w:val="auto"/>
              </w:rPr>
            </w:pPr>
            <w:r>
              <w:rPr>
                <w:rFonts w:ascii="Arial" w:cs="Arial" w:eastAsia="Arial" w:hAnsi="Arial"/>
                <w:sz w:val="14"/>
                <w:szCs w:val="14"/>
                <w:b w:val="1"/>
                <w:bCs w:val="1"/>
                <w:color w:val="auto"/>
                <w:w w:val="94"/>
              </w:rPr>
              <w:t>Incorporated by</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From</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34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2600" w:type="dxa"/>
            <w:vAlign w:val="bottom"/>
          </w:tcPr>
          <w:p>
            <w:pPr>
              <w:jc w:val="center"/>
              <w:ind w:left="808"/>
              <w:spacing w:after="0" w:line="139" w:lineRule="exact"/>
              <w:rPr>
                <w:sz w:val="20"/>
                <w:szCs w:val="20"/>
                <w:color w:val="auto"/>
              </w:rPr>
            </w:pPr>
            <w:r>
              <w:rPr>
                <w:rFonts w:ascii="Arial" w:cs="Arial" w:eastAsia="Arial" w:hAnsi="Arial"/>
                <w:sz w:val="14"/>
                <w:szCs w:val="14"/>
                <w:b w:val="1"/>
                <w:bCs w:val="1"/>
                <w:color w:val="auto"/>
                <w:w w:val="93"/>
              </w:rPr>
              <w:t>Reference From</w:t>
            </w:r>
          </w:p>
        </w:tc>
        <w:tc>
          <w:tcPr>
            <w:tcW w:w="1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Exhibit</w:t>
            </w:r>
          </w:p>
        </w:tc>
        <w:tc>
          <w:tcPr>
            <w:tcW w:w="98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2"/>
              </w:rPr>
              <w:t>Date Filed</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2600" w:type="dxa"/>
            <w:vAlign w:val="bottom"/>
          </w:tcPr>
          <w:p>
            <w:pPr>
              <w:jc w:val="center"/>
              <w:ind w:left="808"/>
              <w:spacing w:after="0"/>
              <w:rPr>
                <w:sz w:val="20"/>
                <w:szCs w:val="20"/>
                <w:color w:val="auto"/>
              </w:rPr>
            </w:pPr>
            <w:r>
              <w:rPr>
                <w:rFonts w:ascii="Arial" w:cs="Arial" w:eastAsia="Arial" w:hAnsi="Arial"/>
                <w:sz w:val="14"/>
                <w:szCs w:val="14"/>
                <w:b w:val="1"/>
                <w:bCs w:val="1"/>
                <w:color w:val="auto"/>
              </w:rPr>
              <w:t>Form</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13"/>
          </w:cols>
          <w:pgMar w:left="247" w:top="270" w:right="339" w:bottom="1440" w:gutter="0" w:footer="0" w:header="0"/>
        </w:sectPr>
      </w:pPr>
    </w:p>
    <w:tbl>
      <w:tblPr>
        <w:tblLayout w:type="fixed"/>
        <w:tblInd w:w="513"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240" w:type="dxa"/>
            <w:vAlign w:val="bottom"/>
            <w:tcBorders>
              <w:bottom w:val="single" w:sz="8" w:color="0000FF"/>
            </w:tcBorders>
          </w:tcPr>
          <w:p>
            <w:pPr>
              <w:jc w:val="center"/>
              <w:spacing w:after="0" w:line="201"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20" w:type="dxa"/>
            <w:vAlign w:val="bottom"/>
          </w:tcPr>
          <w:p>
            <w:pPr>
              <w:ind w:left="260"/>
              <w:spacing w:after="0" w:line="201" w:lineRule="exact"/>
              <w:rPr>
                <w:sz w:val="20"/>
                <w:szCs w:val="20"/>
                <w:color w:val="auto"/>
              </w:rPr>
            </w:pPr>
            <w:r>
              <w:rPr>
                <w:rFonts w:ascii="Arial" w:cs="Arial" w:eastAsia="Arial" w:hAnsi="Arial"/>
                <w:sz w:val="18"/>
                <w:szCs w:val="18"/>
                <w:color w:val="auto"/>
                <w:w w:val="94"/>
              </w:rPr>
              <w:t>Amended and Restated Certificate of Incorporation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8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8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w w:val="92"/>
              </w:rPr>
              <w:t>Form of Common Stock Certificate of the Registrant</w:t>
            </w:r>
          </w:p>
        </w:tc>
        <w:tc>
          <w:tcPr>
            <w:tcW w:w="0" w:type="dxa"/>
            <w:vAlign w:val="bottom"/>
          </w:tcPr>
          <w:p>
            <w:pPr>
              <w:spacing w:after="0"/>
              <w:rPr>
                <w:sz w:val="1"/>
                <w:szCs w:val="1"/>
                <w:color w:val="auto"/>
              </w:rPr>
            </w:pPr>
          </w:p>
        </w:tc>
      </w:tr>
      <w:tr>
        <w:trPr>
          <w:trHeight w:val="209"/>
        </w:trPr>
        <w:tc>
          <w:tcPr>
            <w:tcW w:w="580" w:type="dxa"/>
            <w:vAlign w:val="bottom"/>
            <w:gridSpan w:val="4"/>
            <w:vMerge w:val="restart"/>
          </w:tcPr>
          <w:p>
            <w:pPr>
              <w:jc w:val="center"/>
              <w:ind w:right="260"/>
              <w:spacing w:after="0"/>
              <w:rPr>
                <w:sz w:val="20"/>
                <w:szCs w:val="20"/>
                <w:color w:val="auto"/>
              </w:rPr>
            </w:pPr>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p>
        </w:tc>
        <w:tc>
          <w:tcPr>
            <w:tcW w:w="4120" w:type="dxa"/>
            <w:vAlign w:val="bottom"/>
          </w:tcPr>
          <w:p>
            <w:pPr>
              <w:ind w:left="260"/>
              <w:spacing w:after="0"/>
              <w:rPr>
                <w:sz w:val="20"/>
                <w:szCs w:val="20"/>
                <w:color w:val="auto"/>
              </w:rPr>
            </w:pPr>
            <w:r>
              <w:rPr>
                <w:rFonts w:ascii="Arial" w:cs="Arial" w:eastAsia="Arial" w:hAnsi="Arial"/>
                <w:sz w:val="18"/>
                <w:szCs w:val="18"/>
                <w:color w:val="auto"/>
                <w:w w:val="89"/>
              </w:rPr>
              <w:t>Amended and Restated 2020 Stock Plan and forms of</w:t>
            </w:r>
          </w:p>
        </w:tc>
        <w:tc>
          <w:tcPr>
            <w:tcW w:w="0" w:type="dxa"/>
            <w:vAlign w:val="bottom"/>
          </w:tcPr>
          <w:p>
            <w:pPr>
              <w:spacing w:after="0"/>
              <w:rPr>
                <w:sz w:val="1"/>
                <w:szCs w:val="1"/>
                <w:color w:val="auto"/>
              </w:rPr>
            </w:pPr>
          </w:p>
        </w:tc>
      </w:tr>
      <w:tr>
        <w:trPr>
          <w:trHeight w:val="95"/>
        </w:trPr>
        <w:tc>
          <w:tcPr>
            <w:tcW w:w="580" w:type="dxa"/>
            <w:vAlign w:val="bottom"/>
            <w:gridSpan w:val="4"/>
            <w:vMerge w:val="continue"/>
          </w:tcPr>
          <w:p>
            <w:pPr>
              <w:spacing w:after="0"/>
              <w:rPr>
                <w:sz w:val="8"/>
                <w:szCs w:val="8"/>
                <w:color w:val="auto"/>
              </w:rPr>
            </w:pPr>
          </w:p>
        </w:tc>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agreement thereunder</w:t>
            </w:r>
          </w:p>
        </w:tc>
        <w:tc>
          <w:tcPr>
            <w:tcW w:w="0" w:type="dxa"/>
            <w:vAlign w:val="bottom"/>
          </w:tcPr>
          <w:p>
            <w:pPr>
              <w:spacing w:after="0"/>
              <w:rPr>
                <w:sz w:val="1"/>
                <w:szCs w:val="1"/>
                <w:color w:val="auto"/>
              </w:rPr>
            </w:pPr>
          </w:p>
        </w:tc>
      </w:tr>
      <w:tr>
        <w:trPr>
          <w:trHeight w:val="115"/>
        </w:trPr>
        <w:tc>
          <w:tcPr>
            <w:tcW w:w="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13" w:type="dxa"/>
        <w:tblCellMar>
          <w:top w:w="0" w:type="dxa"/>
          <w:left w:w="0" w:type="dxa"/>
          <w:bottom w:w="0" w:type="dxa"/>
          <w:right w:w="0" w:type="dxa"/>
        </w:tblCellMar>
      </w:tblPr>
      <w:tr>
        <w:trPr>
          <w:trHeight w:val="188"/>
        </w:trPr>
        <w:tc>
          <w:tcPr>
            <w:tcW w:w="5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260" w:type="dxa"/>
            <w:vAlign w:val="bottom"/>
          </w:tcPr>
          <w:p>
            <w:pPr>
              <w:ind w:left="260"/>
              <w:spacing w:after="0" w:line="189" w:lineRule="exact"/>
              <w:rPr>
                <w:sz w:val="20"/>
                <w:szCs w:val="20"/>
                <w:color w:val="auto"/>
              </w:rPr>
            </w:pPr>
            <w:r>
              <w:rPr>
                <w:rFonts w:ascii="Arial" w:cs="Arial" w:eastAsia="Arial" w:hAnsi="Arial"/>
                <w:sz w:val="18"/>
                <w:szCs w:val="18"/>
                <w:color w:val="auto"/>
                <w:w w:val="92"/>
              </w:rPr>
              <w:t>Certification of the Chief Executive Officer pursuant to</w:t>
            </w:r>
          </w:p>
        </w:tc>
        <w:tc>
          <w:tcPr>
            <w:tcW w:w="0" w:type="dxa"/>
            <w:vAlign w:val="bottom"/>
          </w:tcPr>
          <w:p>
            <w:pPr>
              <w:spacing w:after="0"/>
              <w:rPr>
                <w:sz w:val="1"/>
                <w:szCs w:val="1"/>
                <w:color w:val="auto"/>
              </w:rPr>
            </w:pPr>
          </w:p>
        </w:tc>
      </w:tr>
      <w:tr>
        <w:trPr>
          <w:trHeight w:val="95"/>
        </w:trPr>
        <w:tc>
          <w:tcPr>
            <w:tcW w:w="580" w:type="dxa"/>
            <w:vAlign w:val="bottom"/>
            <w:gridSpan w:val="2"/>
            <w:vMerge w:val="continue"/>
          </w:tcPr>
          <w:p>
            <w:pPr>
              <w:spacing w:after="0"/>
              <w:rPr>
                <w:sz w:val="8"/>
                <w:szCs w:val="8"/>
                <w:color w:val="auto"/>
              </w:rPr>
            </w:pPr>
          </w:p>
        </w:tc>
        <w:tc>
          <w:tcPr>
            <w:tcW w:w="4260" w:type="dxa"/>
            <w:vAlign w:val="bottom"/>
            <w:vMerge w:val="restart"/>
          </w:tcPr>
          <w:p>
            <w:pPr>
              <w:ind w:left="26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114"/>
        </w:trPr>
        <w:tc>
          <w:tcPr>
            <w:tcW w:w="32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260" w:type="dxa"/>
            <w:vAlign w:val="bottom"/>
          </w:tcPr>
          <w:p>
            <w:pPr>
              <w:ind w:left="260"/>
              <w:spacing w:after="0" w:line="189" w:lineRule="exact"/>
              <w:rPr>
                <w:sz w:val="20"/>
                <w:szCs w:val="20"/>
                <w:color w:val="auto"/>
              </w:rPr>
            </w:pPr>
            <w:r>
              <w:rPr>
                <w:rFonts w:ascii="Arial" w:cs="Arial" w:eastAsia="Arial" w:hAnsi="Arial"/>
                <w:sz w:val="18"/>
                <w:szCs w:val="18"/>
                <w:color w:val="auto"/>
                <w:w w:val="94"/>
              </w:rPr>
              <w:t>Certification of the Chief Financial Officer pursuant to</w:t>
            </w:r>
          </w:p>
        </w:tc>
        <w:tc>
          <w:tcPr>
            <w:tcW w:w="0" w:type="dxa"/>
            <w:vAlign w:val="bottom"/>
          </w:tcPr>
          <w:p>
            <w:pPr>
              <w:spacing w:after="0"/>
              <w:rPr>
                <w:sz w:val="1"/>
                <w:szCs w:val="1"/>
                <w:color w:val="auto"/>
              </w:rPr>
            </w:pPr>
          </w:p>
        </w:tc>
      </w:tr>
      <w:tr>
        <w:trPr>
          <w:trHeight w:val="95"/>
        </w:trPr>
        <w:tc>
          <w:tcPr>
            <w:tcW w:w="580" w:type="dxa"/>
            <w:vAlign w:val="bottom"/>
            <w:gridSpan w:val="2"/>
            <w:vMerge w:val="continue"/>
          </w:tcPr>
          <w:p>
            <w:pPr>
              <w:spacing w:after="0"/>
              <w:rPr>
                <w:sz w:val="8"/>
                <w:szCs w:val="8"/>
                <w:color w:val="auto"/>
              </w:rPr>
            </w:pPr>
          </w:p>
        </w:tc>
        <w:tc>
          <w:tcPr>
            <w:tcW w:w="4260" w:type="dxa"/>
            <w:vAlign w:val="bottom"/>
            <w:vMerge w:val="restart"/>
          </w:tcPr>
          <w:p>
            <w:pPr>
              <w:ind w:left="26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115"/>
        </w:trPr>
        <w:tc>
          <w:tcPr>
            <w:tcW w:w="32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00" w:type="dxa"/>
        <w:tblCellMar>
          <w:top w:w="0" w:type="dxa"/>
          <w:left w:w="0" w:type="dxa"/>
          <w:bottom w:w="0" w:type="dxa"/>
          <w:right w:w="0" w:type="dxa"/>
        </w:tblCellMar>
      </w:tblPr>
      <w:tr>
        <w:trPr>
          <w:trHeight w:val="230"/>
        </w:trPr>
        <w:tc>
          <w:tcPr>
            <w:tcW w:w="1080" w:type="dxa"/>
            <w:vAlign w:val="bottom"/>
          </w:tcPr>
          <w:p>
            <w:pPr>
              <w:jc w:val="center"/>
              <w:ind w:right="5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December 21, 2022</w:t>
            </w:r>
          </w:p>
        </w:tc>
      </w:tr>
      <w:tr>
        <w:trPr>
          <w:trHeight w:val="229"/>
        </w:trPr>
        <w:tc>
          <w:tcPr>
            <w:tcW w:w="1080" w:type="dxa"/>
            <w:vAlign w:val="bottom"/>
          </w:tcPr>
          <w:p>
            <w:pPr>
              <w:jc w:val="center"/>
              <w:ind w:right="5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1480" w:type="dxa"/>
            <w:vAlign w:val="bottom"/>
          </w:tcPr>
          <w:p>
            <w:pPr>
              <w:jc w:val="right"/>
              <w:spacing w:after="0"/>
              <w:rPr>
                <w:sz w:val="20"/>
                <w:szCs w:val="20"/>
                <w:color w:val="auto"/>
              </w:rPr>
            </w:pPr>
            <w:r>
              <w:rPr>
                <w:rFonts w:ascii="Arial" w:cs="Arial" w:eastAsia="Arial" w:hAnsi="Arial"/>
                <w:sz w:val="18"/>
                <w:szCs w:val="18"/>
                <w:color w:val="auto"/>
              </w:rPr>
              <w:t>December 21,</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2022</w:t>
            </w:r>
          </w:p>
        </w:tc>
      </w:tr>
      <w:tr>
        <w:trPr>
          <w:trHeight w:val="230"/>
        </w:trPr>
        <w:tc>
          <w:tcPr>
            <w:tcW w:w="1080" w:type="dxa"/>
            <w:vAlign w:val="bottom"/>
          </w:tcPr>
          <w:p>
            <w:pPr>
              <w:jc w:val="center"/>
              <w:ind w:right="550"/>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1480" w:type="dxa"/>
            <w:vAlign w:val="bottom"/>
          </w:tcPr>
          <w:p>
            <w:pPr>
              <w:jc w:val="right"/>
              <w:spacing w:after="0"/>
              <w:rPr>
                <w:sz w:val="20"/>
                <w:szCs w:val="20"/>
                <w:color w:val="auto"/>
              </w:rPr>
            </w:pPr>
            <w:r>
              <w:rPr>
                <w:rFonts w:ascii="Arial" w:cs="Arial" w:eastAsia="Arial" w:hAnsi="Arial"/>
                <w:sz w:val="18"/>
                <w:szCs w:val="18"/>
                <w:color w:val="auto"/>
              </w:rPr>
              <w:t>January 9,</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2012</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8" w:lineRule="exact"/>
        <w:rPr>
          <w:sz w:val="20"/>
          <w:szCs w:val="20"/>
          <w:color w:val="auto"/>
        </w:rPr>
      </w:pPr>
    </w:p>
    <w:p>
      <w:pPr>
        <w:sectPr>
          <w:pgSz w:w="11900" w:h="16838" w:orient="portrait"/>
          <w:cols w:equalWidth="0" w:num="2">
            <w:col w:w="5613" w:space="720"/>
            <w:col w:w="4980"/>
          </w:cols>
          <w:pgMar w:left="247" w:top="270" w:right="339" w:bottom="1440" w:gutter="0" w:footer="0" w:header="0"/>
          <w:type w:val="continuous"/>
        </w:sectPr>
      </w:pPr>
    </w:p>
    <w:tbl>
      <w:tblPr>
        <w:tblLayout w:type="fixed"/>
        <w:tblInd w:w="333" w:type="dxa"/>
        <w:tblCellMar>
          <w:top w:w="0" w:type="dxa"/>
          <w:left w:w="0" w:type="dxa"/>
          <w:bottom w:w="0" w:type="dxa"/>
          <w:right w:w="0" w:type="dxa"/>
        </w:tblCellMar>
      </w:tblPr>
      <w:tr>
        <w:trPr>
          <w:trHeight w:val="188"/>
        </w:trPr>
        <w:tc>
          <w:tcPr>
            <w:tcW w:w="86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Certification of the Chief Executive Officer and the Chief</w:t>
            </w:r>
          </w:p>
        </w:tc>
        <w:tc>
          <w:tcPr>
            <w:tcW w:w="1700" w:type="dxa"/>
            <w:vAlign w:val="bottom"/>
            <w:vMerge w:val="restart"/>
          </w:tcPr>
          <w:p>
            <w:pPr>
              <w:jc w:val="center"/>
              <w:ind w:left="210"/>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76"/>
        </w:trPr>
        <w:tc>
          <w:tcPr>
            <w:tcW w:w="860" w:type="dxa"/>
            <w:vAlign w:val="bottom"/>
            <w:gridSpan w:val="3"/>
            <w:vMerge w:val="continue"/>
          </w:tcPr>
          <w:p>
            <w:pPr>
              <w:spacing w:after="0"/>
              <w:rPr>
                <w:sz w:val="15"/>
                <w:szCs w:val="15"/>
                <w:color w:val="auto"/>
              </w:rPr>
            </w:pPr>
          </w:p>
        </w:tc>
        <w:tc>
          <w:tcPr>
            <w:tcW w:w="4660" w:type="dxa"/>
            <w:vAlign w:val="bottom"/>
          </w:tcPr>
          <w:p>
            <w:pPr>
              <w:ind w:left="160"/>
              <w:spacing w:after="0" w:line="157" w:lineRule="exact"/>
              <w:rPr>
                <w:sz w:val="20"/>
                <w:szCs w:val="20"/>
                <w:color w:val="auto"/>
              </w:rPr>
            </w:pPr>
            <w:r>
              <w:rPr>
                <w:rFonts w:ascii="Arial" w:cs="Arial" w:eastAsia="Arial" w:hAnsi="Arial"/>
                <w:sz w:val="18"/>
                <w:szCs w:val="18"/>
                <w:color w:val="auto"/>
                <w:w w:val="96"/>
              </w:rPr>
              <w:t>Financial Officer pursuant to Section 906 of the Sarbanes-</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Oxley Act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101.INS</w:t>
            </w:r>
          </w:p>
        </w:tc>
        <w:tc>
          <w:tcPr>
            <w:tcW w:w="4660" w:type="dxa"/>
            <w:vAlign w:val="bottom"/>
          </w:tcPr>
          <w:p>
            <w:pPr>
              <w:ind w:left="160"/>
              <w:spacing w:after="0"/>
              <w:rPr>
                <w:sz w:val="20"/>
                <w:szCs w:val="20"/>
                <w:color w:val="auto"/>
              </w:rPr>
            </w:pPr>
            <w:r>
              <w:rPr>
                <w:rFonts w:ascii="Arial" w:cs="Arial" w:eastAsia="Arial" w:hAnsi="Arial"/>
                <w:sz w:val="18"/>
                <w:szCs w:val="18"/>
                <w:color w:val="auto"/>
              </w:rPr>
              <w:t>Inline XBRL Instance Document</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29"/>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101.SCH</w:t>
            </w:r>
          </w:p>
        </w:tc>
        <w:tc>
          <w:tcPr>
            <w:tcW w:w="466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Arial" w:cs="Arial" w:eastAsia="Arial" w:hAnsi="Arial"/>
                <w:sz w:val="18"/>
                <w:szCs w:val="18"/>
                <w:color w:val="auto"/>
                <w:w w:val="97"/>
              </w:rPr>
              <w:t>101.CAL</w:t>
            </w: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Arial" w:cs="Arial" w:eastAsia="Arial" w:hAnsi="Arial"/>
                <w:sz w:val="18"/>
                <w:szCs w:val="18"/>
                <w:color w:val="auto"/>
                <w:w w:val="90"/>
              </w:rPr>
              <w:t>101.DEF</w:t>
            </w: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Arial" w:cs="Arial" w:eastAsia="Arial" w:hAnsi="Arial"/>
                <w:sz w:val="18"/>
                <w:szCs w:val="18"/>
                <w:color w:val="auto"/>
                <w:w w:val="98"/>
              </w:rPr>
              <w:t>101.LAB</w:t>
            </w: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Arial" w:cs="Arial" w:eastAsia="Arial" w:hAnsi="Arial"/>
                <w:sz w:val="18"/>
                <w:szCs w:val="18"/>
                <w:color w:val="auto"/>
                <w:w w:val="88"/>
              </w:rPr>
              <w:t>101.PRE</w:t>
            </w: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w w:val="99"/>
              </w:rPr>
              <w:t>Inline XBRL Taxonomy Extension Presentation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89"/>
        </w:trPr>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104</w:t>
            </w:r>
          </w:p>
        </w:tc>
        <w:tc>
          <w:tcPr>
            <w:tcW w:w="3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60" w:type="dxa"/>
            <w:vAlign w:val="bottom"/>
          </w:tcPr>
          <w:p>
            <w:pPr>
              <w:ind w:left="160"/>
              <w:spacing w:after="0" w:line="176" w:lineRule="exact"/>
              <w:rPr>
                <w:sz w:val="20"/>
                <w:szCs w:val="20"/>
                <w:color w:val="auto"/>
              </w:rPr>
            </w:pPr>
            <w:r>
              <w:rPr>
                <w:rFonts w:ascii="Arial" w:cs="Arial" w:eastAsia="Arial" w:hAnsi="Arial"/>
                <w:sz w:val="18"/>
                <w:szCs w:val="18"/>
                <w:color w:val="auto"/>
              </w:rPr>
              <w:t>XBRL with applicable taxonomy extension information</w:t>
            </w:r>
          </w:p>
        </w:tc>
        <w:tc>
          <w:tcPr>
            <w:tcW w:w="1700" w:type="dxa"/>
            <w:vAlign w:val="bottom"/>
            <w:vMerge w:val="restart"/>
          </w:tcPr>
          <w:p>
            <w:pPr>
              <w:jc w:val="center"/>
              <w:ind w:left="21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contained in Exhibits 101)</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493" w:hanging="493"/>
        <w:spacing w:after="0" w:line="259"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270" w:right="339" w:bottom="1440" w:gutter="0" w:footer="0" w:header="0"/>
          <w:type w:val="continuous"/>
        </w:sectPr>
      </w:pPr>
    </w:p>
    <w:bookmarkStart w:id="71" w:name="page72"/>
    <w:bookmarkEnd w:id="71"/>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20"/>
        <w:spacing w:after="0"/>
        <w:tabs>
          <w:tab w:leader="none" w:pos="580" w:val="left"/>
          <w:tab w:leader="none" w:pos="5320" w:val="left"/>
        </w:tabs>
        <w:rPr>
          <w:sz w:val="20"/>
          <w:szCs w:val="20"/>
          <w:color w:val="auto"/>
        </w:rPr>
      </w:pPr>
      <w:r>
        <w:rPr>
          <w:rFonts w:ascii="Arial" w:cs="Arial" w:eastAsia="Arial" w:hAnsi="Arial"/>
          <w:sz w:val="18"/>
          <w:szCs w:val="18"/>
          <w:color w:val="auto"/>
        </w:rPr>
        <w:t>Date:</w:t>
        <w:tab/>
        <w:t>March 6, 2023</w:t>
      </w:r>
      <w:r>
        <w:rPr>
          <w:sz w:val="20"/>
          <w:szCs w:val="20"/>
          <w:color w:val="auto"/>
        </w:rPr>
        <w:tab/>
      </w:r>
      <w:r>
        <w:rPr>
          <w:rFonts w:ascii="Arial" w:cs="Arial" w:eastAsia="Arial" w:hAnsi="Arial"/>
          <w:sz w:val="18"/>
          <w:szCs w:val="18"/>
          <w:b w:val="1"/>
          <w:bCs w:val="1"/>
          <w:color w:val="auto"/>
        </w:rPr>
        <w:t>GUIDEWIRE SOFTWARE, INC.</w:t>
      </w:r>
    </w:p>
    <w:p>
      <w:pPr>
        <w:spacing w:after="0" w:line="297"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1203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Jeff Cooper</w:t>
      </w:r>
    </w:p>
    <w:p>
      <w:pPr>
        <w:spacing w:after="0" w:line="42"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(Principal Financial and Accounting Officer)</w:t>
      </w:r>
    </w:p>
    <w:p>
      <w:pPr>
        <w:sectPr>
          <w:pgSz w:w="11900" w:h="16838" w:orient="portrait"/>
          <w:cols w:equalWidth="0" w:num="1">
            <w:col w:w="10720"/>
          </w:cols>
          <w:pgMar w:left="320" w:top="121" w:right="85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GUIDEWIRE SOFTWARE,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2020 STOCK PLAN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PURPOSE OF THE PLAN; DEFINITIONS</w:t>
      </w:r>
    </w:p>
    <w:p>
      <w:pPr>
        <w:spacing w:after="0" w:line="179" w:lineRule="exact"/>
        <w:rPr>
          <w:sz w:val="20"/>
          <w:szCs w:val="20"/>
          <w:color w:val="auto"/>
        </w:rPr>
      </w:pPr>
    </w:p>
    <w:p>
      <w:pPr>
        <w:ind w:right="80" w:firstLine="648"/>
        <w:spacing w:after="0" w:line="212" w:lineRule="auto"/>
        <w:rPr>
          <w:sz w:val="20"/>
          <w:szCs w:val="20"/>
          <w:color w:val="auto"/>
        </w:rPr>
      </w:pPr>
      <w:r>
        <w:rPr>
          <w:rFonts w:ascii="Arial" w:cs="Arial" w:eastAsia="Arial" w:hAnsi="Arial"/>
          <w:sz w:val="22"/>
          <w:szCs w:val="22"/>
          <w:color w:val="auto"/>
        </w:rPr>
        <w:t>The name of the plan is the Guidewire Software, Inc. Amended and Restated 2020 Stock Plan (the “Plan”). The purpose of the Plan is to encourage and enable the officers, employees, Non-Employee Directors and Consultants of Guidewire Software,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shall be defined as set forth below:</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means the Securities Act of 1933, as amended, and the rules and regulations thereunder.</w:t>
      </w:r>
    </w:p>
    <w:p>
      <w:pPr>
        <w:spacing w:after="0" w:line="17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either the Board or the compensation committee of the Board or a similar committee performing</w:t>
      </w:r>
      <w:r>
        <w:rPr>
          <w:rFonts w:ascii="Arial" w:cs="Arial" w:eastAsia="Arial" w:hAnsi="Arial"/>
          <w:sz w:val="22"/>
          <w:szCs w:val="22"/>
          <w:i w:val="1"/>
          <w:iCs w:val="1"/>
          <w:color w:val="auto"/>
        </w:rPr>
        <w:t xml:space="preserve"> </w:t>
      </w:r>
      <w:r>
        <w:rPr>
          <w:rFonts w:ascii="Arial" w:cs="Arial" w:eastAsia="Arial" w:hAnsi="Arial"/>
          <w:sz w:val="22"/>
          <w:szCs w:val="22"/>
          <w:color w:val="auto"/>
        </w:rPr>
        <w:t>the functions of the compensation committee and which is comprised of not less than two Non-Employee Directors who are independent.</w:t>
      </w:r>
    </w:p>
    <w:p>
      <w:pPr>
        <w:spacing w:after="0" w:line="159" w:lineRule="exact"/>
        <w:rPr>
          <w:sz w:val="20"/>
          <w:szCs w:val="20"/>
          <w:color w:val="auto"/>
        </w:rPr>
      </w:pPr>
    </w:p>
    <w:p>
      <w:pPr>
        <w:jc w:val="both"/>
        <w:ind w:right="10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9" w:lineRule="exact"/>
        <w:rPr>
          <w:sz w:val="20"/>
          <w:szCs w:val="20"/>
          <w:color w:val="auto"/>
        </w:rPr>
      </w:pPr>
    </w:p>
    <w:p>
      <w:pPr>
        <w:ind w:right="400" w:firstLine="648"/>
        <w:spacing w:after="0" w:line="234" w:lineRule="auto"/>
        <w:rPr>
          <w:sz w:val="20"/>
          <w:szCs w:val="20"/>
          <w:color w:val="auto"/>
        </w:rPr>
      </w:pPr>
      <w:r>
        <w:rPr>
          <w:rFonts w:ascii="Arial" w:cs="Arial" w:eastAsia="Arial" w:hAnsi="Arial"/>
          <w:sz w:val="21"/>
          <w:szCs w:val="21"/>
          <w:i w:val="1"/>
          <w:iCs w:val="1"/>
          <w:color w:val="auto"/>
        </w:rPr>
        <w:t xml:space="preserve">“Award” </w:t>
      </w:r>
      <w:r>
        <w:rPr>
          <w:rFonts w:ascii="Arial" w:cs="Arial" w:eastAsia="Arial" w:hAnsi="Arial"/>
          <w:sz w:val="21"/>
          <w:szCs w:val="21"/>
          <w:color w:val="auto"/>
        </w:rPr>
        <w:t>or</w:t>
      </w:r>
      <w:r>
        <w:rPr>
          <w:rFonts w:ascii="Arial" w:cs="Arial" w:eastAsia="Arial" w:hAnsi="Arial"/>
          <w:sz w:val="21"/>
          <w:szCs w:val="21"/>
          <w:i w:val="1"/>
          <w:iCs w:val="1"/>
          <w:color w:val="auto"/>
        </w:rPr>
        <w:t xml:space="preserve"> “Awards,” </w:t>
      </w:r>
      <w:r>
        <w:rPr>
          <w:rFonts w:ascii="Arial" w:cs="Arial" w:eastAsia="Arial" w:hAnsi="Arial"/>
          <w:sz w:val="21"/>
          <w:szCs w:val="21"/>
          <w:color w:val="auto"/>
        </w:rPr>
        <w:t>except where referring to a particular category of grant under the Plan, shall include Incentive</w:t>
      </w:r>
      <w:r>
        <w:rPr>
          <w:rFonts w:ascii="Arial" w:cs="Arial" w:eastAsia="Arial" w:hAnsi="Arial"/>
          <w:sz w:val="21"/>
          <w:szCs w:val="21"/>
          <w:i w:val="1"/>
          <w:iCs w:val="1"/>
          <w:color w:val="auto"/>
        </w:rPr>
        <w:t xml:space="preserve"> </w:t>
      </w:r>
      <w:r>
        <w:rPr>
          <w:rFonts w:ascii="Arial" w:cs="Arial" w:eastAsia="Arial" w:hAnsi="Arial"/>
          <w:sz w:val="21"/>
          <w:szCs w:val="21"/>
          <w:color w:val="auto"/>
        </w:rPr>
        <w:t>Stock Options, Non-Qualified Stock Options, Stock Appreciation Rights, Restricted Stock Units, Restricted Stock Awards, Unrestricted Stock Awards, Cash-Based Awards, and Dividend Equivalent Rights.</w:t>
      </w:r>
    </w:p>
    <w:p>
      <w:pPr>
        <w:spacing w:after="0" w:line="158"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i w:val="1"/>
          <w:iCs w:val="1"/>
          <w:color w:val="auto"/>
        </w:rPr>
        <w:t xml:space="preserve">“Award Certificate” </w:t>
      </w:r>
      <w:r>
        <w:rPr>
          <w:rFonts w:ascii="Arial" w:cs="Arial" w:eastAsia="Arial" w:hAnsi="Arial"/>
          <w:sz w:val="22"/>
          <w:szCs w:val="22"/>
          <w:color w:val="auto"/>
        </w:rPr>
        <w:t>means a written or electronic document setting forth the terms and provisions applicable to an Award</w:t>
      </w:r>
      <w:r>
        <w:rPr>
          <w:rFonts w:ascii="Arial" w:cs="Arial" w:eastAsia="Arial" w:hAnsi="Arial"/>
          <w:sz w:val="22"/>
          <w:szCs w:val="22"/>
          <w:i w:val="1"/>
          <w:iCs w:val="1"/>
          <w:color w:val="auto"/>
        </w:rPr>
        <w:t xml:space="preserve"> </w:t>
      </w:r>
      <w:r>
        <w:rPr>
          <w:rFonts w:ascii="Arial" w:cs="Arial" w:eastAsia="Arial" w:hAnsi="Arial"/>
          <w:sz w:val="22"/>
          <w:szCs w:val="22"/>
          <w:color w:val="auto"/>
        </w:rPr>
        <w:t>granted under the Plan. Each Award Certificate is subject to the terms and conditions of the Plan.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“Cash-Based Award” </w:t>
      </w:r>
      <w:r>
        <w:rPr>
          <w:rFonts w:ascii="Arial" w:cs="Arial" w:eastAsia="Arial" w:hAnsi="Arial"/>
          <w:sz w:val="22"/>
          <w:szCs w:val="22"/>
          <w:color w:val="auto"/>
        </w:rPr>
        <w:t>means an Award entitling the recipient to receive a cash-denominated payment.</w:t>
      </w:r>
    </w:p>
    <w:p>
      <w:pPr>
        <w:spacing w:after="0" w:line="179"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 and related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w:t>
      </w:r>
    </w:p>
    <w:p>
      <w:pPr>
        <w:spacing w:after="0" w:line="159" w:lineRule="exact"/>
        <w:rPr>
          <w:sz w:val="20"/>
          <w:szCs w:val="20"/>
          <w:color w:val="auto"/>
        </w:rPr>
      </w:pPr>
    </w:p>
    <w:p>
      <w:pPr>
        <w:ind w:right="560" w:firstLine="648"/>
        <w:spacing w:after="0" w:line="298" w:lineRule="auto"/>
        <w:rPr>
          <w:sz w:val="20"/>
          <w:szCs w:val="20"/>
          <w:color w:val="auto"/>
        </w:rPr>
      </w:pPr>
      <w:r>
        <w:rPr>
          <w:rFonts w:ascii="Arial" w:cs="Arial" w:eastAsia="Arial" w:hAnsi="Arial"/>
          <w:sz w:val="19"/>
          <w:szCs w:val="19"/>
          <w:i w:val="1"/>
          <w:iCs w:val="1"/>
          <w:color w:val="auto"/>
        </w:rPr>
        <w:t xml:space="preserve">“Consultant” </w:t>
      </w:r>
      <w:r>
        <w:rPr>
          <w:rFonts w:ascii="Arial" w:cs="Arial" w:eastAsia="Arial" w:hAnsi="Arial"/>
          <w:sz w:val="19"/>
          <w:szCs w:val="19"/>
          <w:color w:val="auto"/>
        </w:rPr>
        <w:t>means a consultant or adviser who provides</w:t>
      </w:r>
      <w:r>
        <w:rPr>
          <w:rFonts w:ascii="Arial" w:cs="Arial" w:eastAsia="Arial" w:hAnsi="Arial"/>
          <w:sz w:val="19"/>
          <w:szCs w:val="19"/>
          <w:i w:val="1"/>
          <w:iCs w:val="1"/>
          <w:color w:val="auto"/>
        </w:rPr>
        <w:t xml:space="preserve"> bona fide </w:t>
      </w:r>
      <w:r>
        <w:rPr>
          <w:rFonts w:ascii="Arial" w:cs="Arial" w:eastAsia="Arial" w:hAnsi="Arial"/>
          <w:sz w:val="19"/>
          <w:szCs w:val="19"/>
          <w:color w:val="auto"/>
        </w:rPr>
        <w:t>services to the Company or an Affiliate as an</w:t>
      </w:r>
      <w:r>
        <w:rPr>
          <w:rFonts w:ascii="Arial" w:cs="Arial" w:eastAsia="Arial" w:hAnsi="Arial"/>
          <w:sz w:val="19"/>
          <w:szCs w:val="19"/>
          <w:i w:val="1"/>
          <w:iCs w:val="1"/>
          <w:color w:val="auto"/>
        </w:rPr>
        <w:t xml:space="preserve"> </w:t>
      </w:r>
      <w:r>
        <w:rPr>
          <w:rFonts w:ascii="Arial" w:cs="Arial" w:eastAsia="Arial" w:hAnsi="Arial"/>
          <w:sz w:val="19"/>
          <w:szCs w:val="19"/>
          <w:color w:val="auto"/>
        </w:rPr>
        <w:t>independent contractor and who qualifies as a consultant or advisor under Instruction A.1.(a)(1) of Form S-8 under the Act.</w:t>
      </w:r>
    </w:p>
    <w:p>
      <w:pPr>
        <w:spacing w:after="0" w:line="105"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 on cash dividends that would</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paid on the shares of Stock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73" w:name="page74"/>
    <w:bookmarkEnd w:id="73"/>
    <w:p>
      <w:pPr>
        <w:spacing w:after="0"/>
        <w:rPr>
          <w:sz w:val="20"/>
          <w:szCs w:val="20"/>
          <w:color w:val="auto"/>
        </w:rPr>
      </w:pPr>
      <w:r>
        <w:rPr>
          <w:rFonts w:ascii="Arial" w:cs="Arial" w:eastAsia="Arial" w:hAnsi="Arial"/>
          <w:sz w:val="21"/>
          <w:szCs w:val="21"/>
          <w:color w:val="auto"/>
        </w:rPr>
        <w:t>Dividend Equivalent Right (or other award to which it relates) if such shares had been issued to and held by the grantee.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on which the Plan becomes effective as set forth in Section 19.</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thereunder.</w:t>
      </w:r>
    </w:p>
    <w:p>
      <w:pPr>
        <w:spacing w:after="0" w:line="214" w:lineRule="exact"/>
        <w:rPr>
          <w:sz w:val="20"/>
          <w:szCs w:val="20"/>
          <w:color w:val="auto"/>
        </w:rPr>
      </w:pPr>
    </w:p>
    <w:p>
      <w:pPr>
        <w:ind w:right="20" w:firstLine="648"/>
        <w:spacing w:after="0" w:line="214" w:lineRule="auto"/>
        <w:rPr>
          <w:sz w:val="20"/>
          <w:szCs w:val="20"/>
          <w:color w:val="auto"/>
        </w:rPr>
      </w:pPr>
      <w:r>
        <w:rPr>
          <w:rFonts w:ascii="Arial" w:cs="Arial" w:eastAsia="Arial" w:hAnsi="Arial"/>
          <w:sz w:val="22"/>
          <w:szCs w:val="22"/>
          <w:i w:val="1"/>
          <w:iCs w:val="1"/>
          <w:color w:val="auto"/>
        </w:rPr>
        <w:t xml:space="preserve">“Fair Market Value” </w:t>
      </w:r>
      <w:r>
        <w:rPr>
          <w:rFonts w:ascii="Arial" w:cs="Arial" w:eastAsia="Arial" w:hAnsi="Arial"/>
          <w:sz w:val="22"/>
          <w:szCs w:val="22"/>
          <w:color w:val="auto"/>
        </w:rPr>
        <w:t>of the Stock on any given date means the fair market value of the Stock determined in good faith by</w:t>
      </w:r>
      <w:r>
        <w:rPr>
          <w:rFonts w:ascii="Arial" w:cs="Arial" w:eastAsia="Arial" w:hAnsi="Arial"/>
          <w:sz w:val="22"/>
          <w:szCs w:val="22"/>
          <w:i w:val="1"/>
          <w:iCs w:val="1"/>
          <w:color w:val="auto"/>
        </w:rPr>
        <w:t xml:space="preserve"> </w:t>
      </w:r>
      <w:r>
        <w:rPr>
          <w:rFonts w:ascii="Arial" w:cs="Arial" w:eastAsia="Arial" w:hAnsi="Arial"/>
          <w:sz w:val="22"/>
          <w:szCs w:val="22"/>
          <w:color w:val="auto"/>
        </w:rPr>
        <w:t>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59"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i w:val="1"/>
          <w:iCs w:val="1"/>
          <w:color w:val="auto"/>
        </w:rPr>
        <w:t xml:space="preserve">“Incentive Stock Option” </w:t>
      </w:r>
      <w:r>
        <w:rPr>
          <w:rFonts w:ascii="Arial" w:cs="Arial" w:eastAsia="Arial" w:hAnsi="Arial"/>
          <w:sz w:val="22"/>
          <w:szCs w:val="22"/>
          <w:color w:val="auto"/>
        </w:rPr>
        <w:t>means any Stock Option designated and qualified as an “incentive stock option” as defined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422 of the Code.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“Non-Employee Director” </w:t>
      </w:r>
      <w:r>
        <w:rPr>
          <w:rFonts w:ascii="Arial" w:cs="Arial" w:eastAsia="Arial" w:hAnsi="Arial"/>
          <w:sz w:val="19"/>
          <w:szCs w:val="19"/>
          <w:color w:val="auto"/>
        </w:rPr>
        <w:t>means a member of the Board who is not also an employee of the Company or any Subsidiary.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“Non-Qualified Stock Option” </w:t>
      </w:r>
      <w:r>
        <w:rPr>
          <w:rFonts w:ascii="Arial" w:cs="Arial" w:eastAsia="Arial" w:hAnsi="Arial"/>
          <w:sz w:val="22"/>
          <w:szCs w:val="22"/>
          <w:color w:val="auto"/>
        </w:rPr>
        <w:t>means any Stock Option that is not an Incentive Stock Option.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 to Section 5.</w:t>
      </w:r>
    </w:p>
    <w:p>
      <w:pPr>
        <w:spacing w:after="0" w:line="179" w:lineRule="exact"/>
        <w:rPr>
          <w:sz w:val="20"/>
          <w:szCs w:val="20"/>
          <w:color w:val="auto"/>
        </w:rPr>
      </w:pPr>
    </w:p>
    <w:p>
      <w:pPr>
        <w:ind w:right="580" w:firstLine="648"/>
        <w:spacing w:after="0" w:line="232" w:lineRule="auto"/>
        <w:rPr>
          <w:sz w:val="20"/>
          <w:szCs w:val="20"/>
          <w:color w:val="auto"/>
        </w:rPr>
      </w:pPr>
      <w:r>
        <w:rPr>
          <w:rFonts w:ascii="Arial" w:cs="Arial" w:eastAsia="Arial" w:hAnsi="Arial"/>
          <w:sz w:val="22"/>
          <w:szCs w:val="22"/>
          <w:i w:val="1"/>
          <w:iCs w:val="1"/>
          <w:color w:val="auto"/>
        </w:rPr>
        <w:t xml:space="preserve">“Restricted Shares” </w:t>
      </w:r>
      <w:r>
        <w:rPr>
          <w:rFonts w:ascii="Arial" w:cs="Arial" w:eastAsia="Arial" w:hAnsi="Arial"/>
          <w:sz w:val="22"/>
          <w:szCs w:val="22"/>
          <w:color w:val="auto"/>
        </w:rPr>
        <w:t>means the shares of Stock underlying a Restricted Stock Award that remain subject to a risk of</w:t>
      </w:r>
      <w:r>
        <w:rPr>
          <w:rFonts w:ascii="Arial" w:cs="Arial" w:eastAsia="Arial" w:hAnsi="Arial"/>
          <w:sz w:val="22"/>
          <w:szCs w:val="22"/>
          <w:i w:val="1"/>
          <w:iCs w:val="1"/>
          <w:color w:val="auto"/>
        </w:rPr>
        <w:t xml:space="preserve"> </w:t>
      </w:r>
      <w:r>
        <w:rPr>
          <w:rFonts w:ascii="Arial" w:cs="Arial" w:eastAsia="Arial" w:hAnsi="Arial"/>
          <w:sz w:val="22"/>
          <w:szCs w:val="22"/>
          <w:color w:val="auto"/>
        </w:rPr>
        <w:t>forfeiture or the Company’s right of repurchase.</w:t>
      </w:r>
    </w:p>
    <w:p>
      <w:pPr>
        <w:spacing w:after="0" w:line="159"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Restricted Shares subject to such restrictions and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determine at the time of grant.</w:t>
      </w:r>
    </w:p>
    <w:p>
      <w:pPr>
        <w:spacing w:after="0" w:line="159"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stock units subject to such restrictions and conditions as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may determine at the time of grant.</w:t>
      </w:r>
    </w:p>
    <w:p>
      <w:pPr>
        <w:spacing w:after="0" w:line="159" w:lineRule="exact"/>
        <w:rPr>
          <w:sz w:val="20"/>
          <w:szCs w:val="20"/>
          <w:color w:val="auto"/>
        </w:rPr>
      </w:pPr>
    </w:p>
    <w:p>
      <w:pPr>
        <w:ind w:right="100" w:firstLine="648"/>
        <w:spacing w:after="0" w:line="221" w:lineRule="auto"/>
        <w:rPr>
          <w:sz w:val="20"/>
          <w:szCs w:val="20"/>
          <w:color w:val="auto"/>
        </w:rPr>
      </w:pPr>
      <w:r>
        <w:rPr>
          <w:rFonts w:ascii="Arial" w:cs="Arial" w:eastAsia="Arial" w:hAnsi="Arial"/>
          <w:sz w:val="21"/>
          <w:szCs w:val="21"/>
          <w:i w:val="1"/>
          <w:iCs w:val="1"/>
          <w:color w:val="auto"/>
        </w:rPr>
        <w:t xml:space="preserve">“Sale Event” </w:t>
      </w:r>
      <w:r>
        <w:rPr>
          <w:rFonts w:ascii="Arial" w:cs="Arial" w:eastAsia="Arial" w:hAnsi="Arial"/>
          <w:sz w:val="21"/>
          <w:szCs w:val="21"/>
          <w:color w:val="auto"/>
        </w:rPr>
        <w:t>shall mean (i) the sale of all or substantially all of the assets of the Company on a consolidated basis to an</w:t>
      </w:r>
      <w:r>
        <w:rPr>
          <w:rFonts w:ascii="Arial" w:cs="Arial" w:eastAsia="Arial" w:hAnsi="Arial"/>
          <w:sz w:val="21"/>
          <w:szCs w:val="21"/>
          <w:i w:val="1"/>
          <w:iCs w:val="1"/>
          <w:color w:val="auto"/>
        </w:rPr>
        <w:t xml:space="preserve"> </w:t>
      </w:r>
      <w:r>
        <w:rPr>
          <w:rFonts w:ascii="Arial" w:cs="Arial" w:eastAsia="Arial" w:hAnsi="Arial"/>
          <w:sz w:val="21"/>
          <w:szCs w:val="21"/>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59" w:lineRule="exact"/>
        <w:rPr>
          <w:sz w:val="20"/>
          <w:szCs w:val="20"/>
          <w:color w:val="auto"/>
        </w:rPr>
      </w:pPr>
    </w:p>
    <w:p>
      <w:pPr>
        <w:ind w:right="7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01" w:right="379" w:bottom="1440" w:gutter="0" w:footer="0" w:header="0"/>
        </w:sectPr>
      </w:pPr>
    </w:p>
    <w:bookmarkStart w:id="74" w:name="page75"/>
    <w:bookmarkEnd w:id="74"/>
    <w:p>
      <w:pPr>
        <w:ind w:left="660"/>
        <w:spacing w:after="0"/>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p>
    <w:p>
      <w:pPr>
        <w:spacing w:after="0" w:line="214" w:lineRule="exact"/>
        <w:rPr>
          <w:sz w:val="20"/>
          <w:szCs w:val="20"/>
          <w:color w:val="auto"/>
        </w:rPr>
      </w:pPr>
    </w:p>
    <w:p>
      <w:pPr>
        <w:jc w:val="both"/>
        <w:ind w:right="280" w:firstLine="648"/>
        <w:spacing w:after="0" w:line="223" w:lineRule="auto"/>
        <w:rPr>
          <w:sz w:val="20"/>
          <w:szCs w:val="20"/>
          <w:color w:val="auto"/>
        </w:rPr>
      </w:pPr>
      <w:r>
        <w:rPr>
          <w:rFonts w:ascii="Arial" w:cs="Arial" w:eastAsia="Arial" w:hAnsi="Arial"/>
          <w:sz w:val="22"/>
          <w:szCs w:val="22"/>
          <w:i w:val="1"/>
          <w:iCs w:val="1"/>
          <w:color w:val="auto"/>
        </w:rPr>
        <w:t xml:space="preserve">“Service Relationship” </w:t>
      </w:r>
      <w:r>
        <w:rPr>
          <w:rFonts w:ascii="Arial" w:cs="Arial" w:eastAsia="Arial" w:hAnsi="Arial"/>
          <w:sz w:val="22"/>
          <w:szCs w:val="22"/>
          <w:color w:val="auto"/>
        </w:rPr>
        <w:t>means any relationship as an employee, director or Consultant of the Company or any Affiliate</w:t>
      </w:r>
      <w:r>
        <w:rPr>
          <w:rFonts w:ascii="Arial" w:cs="Arial" w:eastAsia="Arial" w:hAnsi="Arial"/>
          <w:sz w:val="22"/>
          <w:szCs w:val="22"/>
          <w:i w:val="1"/>
          <w:iCs w:val="1"/>
          <w:color w:val="auto"/>
        </w:rPr>
        <w:t xml:space="preserve"> </w:t>
      </w:r>
      <w:r>
        <w:rPr>
          <w:rFonts w:ascii="Arial" w:cs="Arial" w:eastAsia="Arial" w:hAnsi="Arial"/>
          <w:sz w:val="22"/>
          <w:szCs w:val="22"/>
          <w:color w:val="auto"/>
        </w:rPr>
        <w:t>(e.g., a Service Relationship shall be deemed to continue without interruption in the event an individual’s status changes from full-time employee to part-time employee or Consultant).</w:t>
      </w:r>
    </w:p>
    <w:p>
      <w:pPr>
        <w:spacing w:after="0" w:line="159" w:lineRule="exact"/>
        <w:rPr>
          <w:sz w:val="20"/>
          <w:szCs w:val="20"/>
          <w:color w:val="auto"/>
        </w:rPr>
      </w:pPr>
    </w:p>
    <w:p>
      <w:pPr>
        <w:ind w:right="500" w:firstLine="648"/>
        <w:spacing w:after="0" w:line="232" w:lineRule="auto"/>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the Common Stock, par value $0.0001 per share, of the Company, subject to adjustments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3.</w:t>
      </w:r>
    </w:p>
    <w:p>
      <w:pPr>
        <w:spacing w:after="0" w:line="159"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i w:val="1"/>
          <w:iCs w:val="1"/>
          <w:color w:val="auto"/>
        </w:rPr>
        <w:t xml:space="preserve">“Stock Appreciation Right” </w:t>
      </w:r>
      <w:r>
        <w:rPr>
          <w:rFonts w:ascii="Arial" w:cs="Arial" w:eastAsia="Arial" w:hAnsi="Arial"/>
          <w:sz w:val="22"/>
          <w:szCs w:val="22"/>
          <w:color w:val="auto"/>
        </w:rPr>
        <w:t>means an Award entitling the recipient to receive shares of Stock (or cash,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61" w:lineRule="exact"/>
        <w:rPr>
          <w:sz w:val="20"/>
          <w:szCs w:val="20"/>
          <w:color w:val="auto"/>
        </w:rPr>
      </w:pPr>
    </w:p>
    <w:p>
      <w:pPr>
        <w:ind w:right="380" w:firstLine="648"/>
        <w:spacing w:after="0" w:line="232"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 Company has at least a 50</w:t>
      </w:r>
      <w:r>
        <w:rPr>
          <w:rFonts w:ascii="Arial" w:cs="Arial" w:eastAsia="Arial" w:hAnsi="Arial"/>
          <w:sz w:val="22"/>
          <w:szCs w:val="22"/>
          <w:i w:val="1"/>
          <w:iCs w:val="1"/>
          <w:color w:val="auto"/>
        </w:rPr>
        <w:t xml:space="preserve"> </w:t>
      </w:r>
      <w:r>
        <w:rPr>
          <w:rFonts w:ascii="Arial" w:cs="Arial" w:eastAsia="Arial" w:hAnsi="Arial"/>
          <w:sz w:val="22"/>
          <w:szCs w:val="22"/>
          <w:color w:val="auto"/>
        </w:rPr>
        <w:t>percent interest, either directly or indirectly.</w:t>
      </w:r>
    </w:p>
    <w:p>
      <w:pPr>
        <w:spacing w:after="0" w:line="159" w:lineRule="exact"/>
        <w:rPr>
          <w:sz w:val="20"/>
          <w:szCs w:val="20"/>
          <w:color w:val="auto"/>
        </w:rPr>
      </w:pPr>
    </w:p>
    <w:p>
      <w:pPr>
        <w:jc w:val="both"/>
        <w:ind w:right="180" w:firstLine="648"/>
        <w:spacing w:after="0" w:line="223" w:lineRule="auto"/>
        <w:rPr>
          <w:sz w:val="20"/>
          <w:szCs w:val="20"/>
          <w:color w:val="auto"/>
        </w:rPr>
      </w:pPr>
      <w:r>
        <w:rPr>
          <w:rFonts w:ascii="Arial" w:cs="Arial" w:eastAsia="Arial" w:hAnsi="Arial"/>
          <w:sz w:val="22"/>
          <w:szCs w:val="22"/>
          <w:i w:val="1"/>
          <w:iCs w:val="1"/>
          <w:color w:val="auto"/>
        </w:rPr>
        <w:t xml:space="preserve">“Ten Percent Owner” </w:t>
      </w:r>
      <w:r>
        <w:rPr>
          <w:rFonts w:ascii="Arial" w:cs="Arial" w:eastAsia="Arial" w:hAnsi="Arial"/>
          <w:sz w:val="22"/>
          <w:szCs w:val="22"/>
          <w:color w:val="auto"/>
        </w:rPr>
        <w:t>means an employee who owns or is deemed to own (by reason of the attribution rules of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424(d) of the Code) more than 10 percent of the combined voting power of all classes of stock of the Company or any parent or subsidiary corporation.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“Unrestricted Stock Award” </w:t>
      </w:r>
      <w:r>
        <w:rPr>
          <w:rFonts w:ascii="Arial" w:cs="Arial" w:eastAsia="Arial" w:hAnsi="Arial"/>
          <w:sz w:val="22"/>
          <w:szCs w:val="22"/>
          <w:color w:val="auto"/>
        </w:rPr>
        <w:t>means an Award of shares of Stock free of any restrictions.</w:t>
      </w:r>
    </w:p>
    <w:p>
      <w:pPr>
        <w:spacing w:after="0" w:line="179" w:lineRule="exact"/>
        <w:rPr>
          <w:sz w:val="20"/>
          <w:szCs w:val="20"/>
          <w:color w:val="auto"/>
        </w:rPr>
      </w:pPr>
    </w:p>
    <w:p>
      <w:pPr>
        <w:ind w:left="1300" w:right="1100" w:hanging="1295"/>
        <w:spacing w:after="0" w:line="232"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ADMINISTRATOR AUTHORITY TO SELECT GRANTEES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DETERMINE AWARDS</w:t>
      </w:r>
    </w:p>
    <w:p>
      <w:pPr>
        <w:spacing w:after="0" w:line="15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179" w:lineRule="exact"/>
        <w:rPr>
          <w:rFonts w:ascii="Arial" w:cs="Arial" w:eastAsia="Arial" w:hAnsi="Arial"/>
          <w:sz w:val="22"/>
          <w:szCs w:val="22"/>
          <w:color w:val="auto"/>
        </w:rPr>
      </w:pPr>
    </w:p>
    <w:p>
      <w:pPr>
        <w:ind w:right="260" w:firstLine="656"/>
        <w:spacing w:after="0" w:line="232" w:lineRule="auto"/>
        <w:tabs>
          <w:tab w:leader="none" w:pos="1291"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to select the individuals to whom Awards may from time to time be granted;</w:t>
      </w:r>
    </w:p>
    <w:p>
      <w:pPr>
        <w:spacing w:after="0" w:line="179" w:lineRule="exact"/>
        <w:rPr>
          <w:rFonts w:ascii="Arial" w:cs="Arial" w:eastAsia="Arial" w:hAnsi="Arial"/>
          <w:sz w:val="22"/>
          <w:szCs w:val="22"/>
          <w:color w:val="auto"/>
        </w:rPr>
      </w:pPr>
    </w:p>
    <w:p>
      <w:pPr>
        <w:jc w:val="both"/>
        <w:ind w:right="240" w:firstLine="1304"/>
        <w:spacing w:after="0" w:line="268" w:lineRule="auto"/>
        <w:tabs>
          <w:tab w:leader="none" w:pos="1938" w:val="left"/>
        </w:tabs>
        <w:numPr>
          <w:ilvl w:val="1"/>
          <w:numId w:val="19"/>
        </w:numPr>
        <w:rPr>
          <w:rFonts w:ascii="Arial" w:cs="Arial" w:eastAsia="Arial" w:hAnsi="Arial"/>
          <w:sz w:val="19"/>
          <w:szCs w:val="19"/>
          <w:color w:val="auto"/>
        </w:rPr>
      </w:pPr>
      <w:r>
        <w:rPr>
          <w:rFonts w:ascii="Arial" w:cs="Arial" w:eastAsia="Arial" w:hAnsi="Arial"/>
          <w:sz w:val="19"/>
          <w:szCs w:val="19"/>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32" w:lineRule="exact"/>
        <w:rPr>
          <w:rFonts w:ascii="Arial" w:cs="Arial" w:eastAsia="Arial" w:hAnsi="Arial"/>
          <w:sz w:val="19"/>
          <w:szCs w:val="19"/>
          <w:color w:val="auto"/>
        </w:rPr>
      </w:pPr>
    </w:p>
    <w:p>
      <w:pPr>
        <w:ind w:left="1960" w:hanging="656"/>
        <w:spacing w:after="0"/>
        <w:tabs>
          <w:tab w:leader="none" w:pos="19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to determine the number of shares of Stock to be covered by any Award;</w:t>
      </w:r>
    </w:p>
    <w:p>
      <w:pPr>
        <w:spacing w:after="0" w:line="179" w:lineRule="exact"/>
        <w:rPr>
          <w:rFonts w:ascii="Arial" w:cs="Arial" w:eastAsia="Arial" w:hAnsi="Arial"/>
          <w:sz w:val="22"/>
          <w:szCs w:val="22"/>
          <w:color w:val="auto"/>
        </w:rPr>
      </w:pPr>
    </w:p>
    <w:p>
      <w:pPr>
        <w:ind w:firstLine="1304"/>
        <w:spacing w:after="0" w:line="223" w:lineRule="auto"/>
        <w:tabs>
          <w:tab w:leader="none" w:pos="193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58" w:lineRule="exact"/>
        <w:rPr>
          <w:rFonts w:ascii="Arial" w:cs="Arial" w:eastAsia="Arial" w:hAnsi="Arial"/>
          <w:sz w:val="22"/>
          <w:szCs w:val="22"/>
          <w:color w:val="auto"/>
        </w:rPr>
      </w:pPr>
    </w:p>
    <w:p>
      <w:pPr>
        <w:ind w:right="220" w:firstLine="1304"/>
        <w:spacing w:after="0" w:line="232" w:lineRule="auto"/>
        <w:tabs>
          <w:tab w:leader="none" w:pos="1939" w:val="left"/>
        </w:tabs>
        <w:numPr>
          <w:ilvl w:val="1"/>
          <w:numId w:val="19"/>
        </w:numPr>
        <w:rPr>
          <w:rFonts w:ascii="Arial" w:cs="Arial" w:eastAsia="Arial" w:hAnsi="Arial"/>
          <w:sz w:val="22"/>
          <w:szCs w:val="22"/>
          <w:color w:val="auto"/>
        </w:rPr>
      </w:pPr>
      <w:r>
        <w:rPr>
          <w:rFonts w:ascii="Arial" w:cs="Arial" w:eastAsia="Arial" w:hAnsi="Arial"/>
          <w:sz w:val="22"/>
          <w:szCs w:val="22"/>
          <w:color w:val="auto"/>
        </w:rPr>
        <w:t>to accelerate at any time the exercisability or vesting of all or any portion of any Award in circumstances involving the grantee’s death or disability;</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subject to the provisions of Section 5(c), to extend at any time the period in which Stock Options may be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exercised;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01" w:right="359" w:bottom="1440" w:gutter="0" w:footer="0" w:header="0"/>
        </w:sectPr>
      </w:pPr>
    </w:p>
    <w:bookmarkStart w:id="75" w:name="page76"/>
    <w:bookmarkEnd w:id="75"/>
    <w:p>
      <w:pPr>
        <w:ind w:firstLine="1304"/>
        <w:spacing w:after="0" w:line="257" w:lineRule="auto"/>
        <w:tabs>
          <w:tab w:leader="none" w:pos="1938" w:val="left"/>
        </w:tabs>
        <w:numPr>
          <w:ilvl w:val="0"/>
          <w:numId w:val="20"/>
        </w:numPr>
        <w:rPr>
          <w:rFonts w:ascii="Arial" w:cs="Arial" w:eastAsia="Arial" w:hAnsi="Arial"/>
          <w:sz w:val="19"/>
          <w:szCs w:val="19"/>
          <w:color w:val="auto"/>
        </w:rPr>
      </w:pPr>
      <w:r>
        <w:rPr>
          <w:rFonts w:ascii="Arial" w:cs="Arial" w:eastAsia="Arial" w:hAnsi="Arial"/>
          <w:sz w:val="19"/>
          <w:szCs w:val="19"/>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44"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auto"/>
        </w:rPr>
        <w:t>All decisions and interpretations of the Administrator shall be binding on all persons, including the Company and Plan grantees.</w:t>
      </w:r>
    </w:p>
    <w:p>
      <w:pPr>
        <w:spacing w:after="0" w:line="159" w:lineRule="exact"/>
        <w:rPr>
          <w:sz w:val="20"/>
          <w:szCs w:val="20"/>
          <w:color w:val="auto"/>
        </w:rPr>
      </w:pPr>
    </w:p>
    <w:p>
      <w:pPr>
        <w:ind w:right="40" w:firstLine="656"/>
        <w:spacing w:after="0" w:line="246" w:lineRule="auto"/>
        <w:tabs>
          <w:tab w:leader="none" w:pos="1293"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Awards</w:t>
      </w:r>
      <w:r>
        <w:rPr>
          <w:rFonts w:ascii="Arial" w:cs="Arial" w:eastAsia="Arial" w:hAnsi="Arial"/>
          <w:sz w:val="19"/>
          <w:szCs w:val="19"/>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2" w:lineRule="exact"/>
        <w:rPr>
          <w:rFonts w:ascii="Arial" w:cs="Arial" w:eastAsia="Arial" w:hAnsi="Arial"/>
          <w:sz w:val="19"/>
          <w:szCs w:val="19"/>
          <w:color w:val="auto"/>
        </w:rPr>
      </w:pPr>
    </w:p>
    <w:p>
      <w:pPr>
        <w:jc w:val="both"/>
        <w:ind w:right="660" w:firstLine="656"/>
        <w:spacing w:after="0" w:line="223" w:lineRule="auto"/>
        <w:tabs>
          <w:tab w:leader="none" w:pos="1291"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58" w:lineRule="exact"/>
        <w:rPr>
          <w:rFonts w:ascii="Arial" w:cs="Arial" w:eastAsia="Arial" w:hAnsi="Arial"/>
          <w:sz w:val="22"/>
          <w:szCs w:val="22"/>
          <w:color w:val="auto"/>
        </w:rPr>
      </w:pPr>
    </w:p>
    <w:p>
      <w:pPr>
        <w:ind w:right="100" w:firstLine="656"/>
        <w:spacing w:after="0" w:line="247" w:lineRule="auto"/>
        <w:tabs>
          <w:tab w:leader="none" w:pos="1293"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3" w:lineRule="exact"/>
        <w:rPr>
          <w:rFonts w:ascii="Arial" w:cs="Arial" w:eastAsia="Arial" w:hAnsi="Arial"/>
          <w:sz w:val="19"/>
          <w:szCs w:val="19"/>
          <w:color w:val="auto"/>
        </w:rPr>
      </w:pPr>
    </w:p>
    <w:p>
      <w:pPr>
        <w:ind w:right="100" w:firstLine="656"/>
        <w:spacing w:after="0" w:line="241" w:lineRule="auto"/>
        <w:tabs>
          <w:tab w:leader="none" w:pos="1296"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1" w:lineRule="exact"/>
        <w:rPr>
          <w:rFonts w:ascii="Arial" w:cs="Arial" w:eastAsia="Arial" w:hAnsi="Arial"/>
          <w:sz w:val="19"/>
          <w:szCs w:val="19"/>
          <w:color w:val="auto"/>
        </w:rPr>
      </w:pPr>
    </w:p>
    <w:p>
      <w:pPr>
        <w:ind w:right="100" w:firstLine="8"/>
        <w:spacing w:after="0" w:line="209" w:lineRule="auto"/>
        <w:tabs>
          <w:tab w:leader="none" w:pos="366" w:val="left"/>
        </w:tabs>
        <w:numPr>
          <w:ilvl w:val="0"/>
          <w:numId w:val="22"/>
        </w:numPr>
        <w:rPr>
          <w:rFonts w:ascii="Arial" w:cs="Arial" w:eastAsia="Arial" w:hAnsi="Arial"/>
          <w:sz w:val="22"/>
          <w:szCs w:val="22"/>
          <w:color w:val="auto"/>
        </w:rPr>
      </w:pPr>
      <w:r>
        <w:rPr>
          <w:rFonts w:ascii="Arial" w:cs="Arial" w:eastAsia="Arial" w:hAnsi="Arial"/>
          <w:sz w:val="22"/>
          <w:szCs w:val="22"/>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01" w:right="35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STOCK ISSUABLE UNDER THE PLAN; MERGERS; SUBSTITUTION</w:t>
      </w:r>
    </w:p>
    <w:p>
      <w:pPr>
        <w:spacing w:after="0" w:line="179" w:lineRule="exact"/>
        <w:rPr>
          <w:sz w:val="20"/>
          <w:szCs w:val="20"/>
          <w:color w:val="auto"/>
        </w:rPr>
      </w:pPr>
    </w:p>
    <w:p>
      <w:pPr>
        <w:ind w:right="20" w:firstLine="656"/>
        <w:spacing w:after="0" w:line="242" w:lineRule="auto"/>
        <w:tabs>
          <w:tab w:leader="none" w:pos="1293"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6,780,000 shares, subject to adjustment as provided in this Section 3. For purposes of this limitation, the shares of Stock underlying any awards under the Plan and under the Company’s 2011 Stock Plan that are forfeited, canceled,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shall not be added to the shares authorized for grant under the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6,780,000 shares of the Stock may be issued in the form of Incentive Stock Options. The shares available for issuance under the Plan may be authorized but unissued shares of Stock or shares of Stock reacquired by the Company.</w:t>
      </w:r>
    </w:p>
    <w:p>
      <w:pPr>
        <w:spacing w:after="0" w:line="376" w:lineRule="exact"/>
        <w:rPr>
          <w:rFonts w:ascii="Arial" w:cs="Arial" w:eastAsia="Arial" w:hAnsi="Arial"/>
          <w:sz w:val="19"/>
          <w:szCs w:val="19"/>
          <w:color w:val="auto"/>
        </w:rPr>
      </w:pPr>
    </w:p>
    <w:p>
      <w:pPr>
        <w:ind w:firstLine="656"/>
        <w:spacing w:after="0"/>
        <w:tabs>
          <w:tab w:leader="none" w:pos="1291"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71" w:lineRule="exact"/>
        <w:rPr>
          <w:rFonts w:ascii="Arial" w:cs="Arial" w:eastAsia="Arial" w:hAnsi="Arial"/>
          <w:sz w:val="19"/>
          <w:szCs w:val="19"/>
          <w:color w:val="auto"/>
        </w:rPr>
      </w:pPr>
    </w:p>
    <w:p>
      <w:pPr>
        <w:ind w:firstLine="656"/>
        <w:spacing w:after="0" w:line="249" w:lineRule="auto"/>
        <w:tabs>
          <w:tab w:leader="none" w:pos="1293"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01" w:right="379" w:bottom="1440" w:gutter="0" w:footer="0" w:header="0"/>
        </w:sectPr>
      </w:pPr>
    </w:p>
    <w:bookmarkStart w:id="77" w:name="page78"/>
    <w:bookmarkEnd w:id="77"/>
    <w:p>
      <w:pPr>
        <w:ind w:right="20"/>
        <w:spacing w:after="0" w:line="241" w:lineRule="auto"/>
        <w:rPr>
          <w:sz w:val="20"/>
          <w:szCs w:val="20"/>
          <w:color w:val="auto"/>
        </w:rPr>
      </w:pPr>
      <w:r>
        <w:rPr>
          <w:rFonts w:ascii="Arial" w:cs="Arial" w:eastAsia="Arial" w:hAnsi="Arial"/>
          <w:sz w:val="19"/>
          <w:szCs w:val="19"/>
          <w:color w:val="auto"/>
        </w:rPr>
        <w:t>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378" w:lineRule="exact"/>
        <w:rPr>
          <w:sz w:val="20"/>
          <w:szCs w:val="20"/>
          <w:color w:val="auto"/>
        </w:rPr>
      </w:pPr>
    </w:p>
    <w:p>
      <w:pPr>
        <w:ind w:right="20" w:firstLine="656"/>
        <w:spacing w:after="0" w:line="216" w:lineRule="auto"/>
        <w:tabs>
          <w:tab w:leader="none" w:pos="1291"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Maximum Awards to Non-Employee Directors</w:t>
      </w:r>
      <w:r>
        <w:rPr>
          <w:rFonts w:ascii="Arial" w:cs="Arial" w:eastAsia="Arial" w:hAnsi="Arial"/>
          <w:sz w:val="22"/>
          <w:szCs w:val="22"/>
          <w:color w:val="auto"/>
        </w:rPr>
        <w:t>. Notwithstanding anything to the contrary in this Plan, the value of all Awards awarded under this Plan and all other cash compensation paid by the Company to any Non-Employee Director in any calendar year shall not exceed $750,000.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p>
    <w:p>
      <w:pPr>
        <w:spacing w:after="0" w:line="179"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STOCK OPTIONS</w:t>
      </w:r>
    </w:p>
    <w:p>
      <w:pPr>
        <w:spacing w:after="0" w:line="179" w:lineRule="exact"/>
        <w:rPr>
          <w:sz w:val="20"/>
          <w:szCs w:val="20"/>
          <w:color w:val="auto"/>
        </w:rPr>
      </w:pPr>
    </w:p>
    <w:p>
      <w:pPr>
        <w:ind w:right="260" w:firstLine="656"/>
        <w:spacing w:after="0" w:line="232" w:lineRule="auto"/>
        <w:tabs>
          <w:tab w:leader="none" w:pos="129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59" w:lineRule="exact"/>
        <w:rPr>
          <w:sz w:val="20"/>
          <w:szCs w:val="20"/>
          <w:color w:val="auto"/>
        </w:rPr>
      </w:pPr>
    </w:p>
    <w:p>
      <w:pPr>
        <w:ind w:right="120" w:firstLine="648"/>
        <w:spacing w:after="0" w:line="218"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1"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8" w:name="page79"/>
    <w:bookmarkEnd w:id="78"/>
    <w:p>
      <w:pPr>
        <w:ind w:right="20"/>
        <w:spacing w:after="0" w:line="298" w:lineRule="auto"/>
        <w:rPr>
          <w:sz w:val="20"/>
          <w:szCs w:val="20"/>
          <w:color w:val="auto"/>
        </w:rPr>
      </w:pPr>
      <w:r>
        <w:rPr>
          <w:rFonts w:ascii="Arial" w:cs="Arial" w:eastAsia="Arial" w:hAnsi="Arial"/>
          <w:sz w:val="19"/>
          <w:szCs w:val="19"/>
          <w:color w:val="auto"/>
        </w:rPr>
        <w:t>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05" w:lineRule="exact"/>
        <w:rPr>
          <w:sz w:val="20"/>
          <w:szCs w:val="20"/>
          <w:color w:val="auto"/>
        </w:rPr>
      </w:pPr>
    </w:p>
    <w:p>
      <w:pPr>
        <w:ind w:right="120" w:firstLine="656"/>
        <w:spacing w:after="0" w:line="221" w:lineRule="auto"/>
        <w:tabs>
          <w:tab w:leader="none" w:pos="1291"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165" w:lineRule="exact"/>
        <w:rPr>
          <w:rFonts w:ascii="Arial" w:cs="Arial" w:eastAsia="Arial" w:hAnsi="Arial"/>
          <w:sz w:val="21"/>
          <w:szCs w:val="21"/>
          <w:color w:val="auto"/>
        </w:rPr>
      </w:pPr>
    </w:p>
    <w:p>
      <w:pPr>
        <w:ind w:right="40" w:firstLine="656"/>
        <w:spacing w:after="0" w:line="268" w:lineRule="auto"/>
        <w:tabs>
          <w:tab w:leader="none" w:pos="1293"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32" w:lineRule="exact"/>
        <w:rPr>
          <w:rFonts w:ascii="Arial" w:cs="Arial" w:eastAsia="Arial" w:hAnsi="Arial"/>
          <w:sz w:val="19"/>
          <w:szCs w:val="19"/>
          <w:color w:val="auto"/>
        </w:rPr>
      </w:pPr>
    </w:p>
    <w:p>
      <w:pPr>
        <w:ind w:right="120" w:firstLine="656"/>
        <w:spacing w:after="0" w:line="257" w:lineRule="auto"/>
        <w:tabs>
          <w:tab w:leader="none" w:pos="129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Subject to Section 2(b)(v),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4" w:lineRule="exact"/>
        <w:rPr>
          <w:rFonts w:ascii="Arial" w:cs="Arial" w:eastAsia="Arial" w:hAnsi="Arial"/>
          <w:sz w:val="19"/>
          <w:szCs w:val="19"/>
          <w:color w:val="auto"/>
        </w:rPr>
      </w:pPr>
    </w:p>
    <w:p>
      <w:pPr>
        <w:ind w:firstLine="656"/>
        <w:spacing w:after="0" w:line="234" w:lineRule="auto"/>
        <w:tabs>
          <w:tab w:leader="none" w:pos="1293"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57" w:lineRule="exact"/>
        <w:rPr>
          <w:rFonts w:ascii="Arial" w:cs="Arial" w:eastAsia="Arial" w:hAnsi="Arial"/>
          <w:sz w:val="21"/>
          <w:szCs w:val="21"/>
          <w:color w:val="auto"/>
        </w:rPr>
      </w:pPr>
    </w:p>
    <w:p>
      <w:pPr>
        <w:ind w:left="1940" w:hanging="636"/>
        <w:spacing w:after="0"/>
        <w:tabs>
          <w:tab w:leader="none" w:pos="194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In cash, by certified or bank check or other instrument acceptable to the Administrator;</w:t>
      </w:r>
    </w:p>
    <w:p>
      <w:pPr>
        <w:spacing w:after="0" w:line="179" w:lineRule="exact"/>
        <w:rPr>
          <w:rFonts w:ascii="Arial" w:cs="Arial" w:eastAsia="Arial" w:hAnsi="Arial"/>
          <w:sz w:val="22"/>
          <w:szCs w:val="22"/>
          <w:color w:val="auto"/>
        </w:rPr>
      </w:pPr>
    </w:p>
    <w:p>
      <w:pPr>
        <w:ind w:right="220" w:firstLine="1304"/>
        <w:spacing w:after="0" w:line="223" w:lineRule="auto"/>
        <w:tabs>
          <w:tab w:leader="none" w:pos="1938"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8" w:lineRule="exact"/>
        <w:rPr>
          <w:rFonts w:ascii="Arial" w:cs="Arial" w:eastAsia="Arial" w:hAnsi="Arial"/>
          <w:sz w:val="22"/>
          <w:szCs w:val="22"/>
          <w:color w:val="auto"/>
        </w:rPr>
      </w:pPr>
    </w:p>
    <w:p>
      <w:pPr>
        <w:ind w:right="200" w:firstLine="1304"/>
        <w:spacing w:after="0" w:line="216" w:lineRule="auto"/>
        <w:tabs>
          <w:tab w:leader="none" w:pos="1944" w:val="left"/>
        </w:tabs>
        <w:numPr>
          <w:ilvl w:val="1"/>
          <w:numId w:val="26"/>
        </w:numPr>
        <w:rPr>
          <w:rFonts w:ascii="Arial" w:cs="Arial" w:eastAsia="Arial" w:hAnsi="Arial"/>
          <w:sz w:val="22"/>
          <w:szCs w:val="22"/>
          <w:color w:val="auto"/>
        </w:rPr>
      </w:pPr>
      <w:r>
        <w:rPr>
          <w:rFonts w:ascii="Arial" w:cs="Arial" w:eastAsia="Arial" w:hAnsi="Arial"/>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57" w:lineRule="exact"/>
        <w:rPr>
          <w:rFonts w:ascii="Arial" w:cs="Arial" w:eastAsia="Arial" w:hAnsi="Arial"/>
          <w:sz w:val="22"/>
          <w:szCs w:val="22"/>
          <w:color w:val="auto"/>
        </w:rPr>
      </w:pPr>
    </w:p>
    <w:p>
      <w:pPr>
        <w:ind w:right="60" w:firstLine="1304"/>
        <w:spacing w:after="0" w:line="223" w:lineRule="auto"/>
        <w:tabs>
          <w:tab w:leader="none" w:pos="1932" w:val="left"/>
        </w:tabs>
        <w:numPr>
          <w:ilvl w:val="1"/>
          <w:numId w:val="26"/>
        </w:numPr>
        <w:rPr>
          <w:rFonts w:ascii="Arial" w:cs="Arial" w:eastAsia="Arial" w:hAnsi="Arial"/>
          <w:sz w:val="22"/>
          <w:szCs w:val="22"/>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59" w:lineRule="exact"/>
        <w:rPr>
          <w:sz w:val="20"/>
          <w:szCs w:val="20"/>
          <w:color w:val="auto"/>
        </w:rPr>
      </w:pPr>
    </w:p>
    <w:p>
      <w:pPr>
        <w:ind w:right="160"/>
        <w:spacing w:after="0" w:line="232" w:lineRule="auto"/>
        <w:rPr>
          <w:sz w:val="20"/>
          <w:szCs w:val="20"/>
          <w:color w:val="auto"/>
        </w:rPr>
      </w:pPr>
      <w:r>
        <w:rPr>
          <w:rFonts w:ascii="Arial" w:cs="Arial" w:eastAsia="Arial" w:hAnsi="Arial"/>
          <w:sz w:val="22"/>
          <w:szCs w:val="22"/>
          <w:color w:val="auto"/>
        </w:rPr>
        <w:t>Payment instruments will be received subject to collection. The transfer to the optionee on the records of the Company or of the transfer agent of the shares of Stock to be purchased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01" w:right="359" w:bottom="1440" w:gutter="0" w:footer="0" w:header="0"/>
        </w:sectPr>
      </w:pPr>
    </w:p>
    <w:bookmarkStart w:id="79" w:name="page80"/>
    <w:bookmarkEnd w:id="79"/>
    <w:p>
      <w:pPr>
        <w:spacing w:after="0" w:line="221" w:lineRule="auto"/>
        <w:rPr>
          <w:sz w:val="20"/>
          <w:szCs w:val="20"/>
          <w:color w:val="auto"/>
        </w:rPr>
      </w:pPr>
      <w:r>
        <w:rPr>
          <w:rFonts w:ascii="Arial" w:cs="Arial" w:eastAsia="Arial" w:hAnsi="Arial"/>
          <w:sz w:val="21"/>
          <w:szCs w:val="21"/>
          <w:color w:val="auto"/>
        </w:rPr>
        <w:t>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59" w:lineRule="exact"/>
        <w:rPr>
          <w:sz w:val="20"/>
          <w:szCs w:val="20"/>
          <w:color w:val="auto"/>
        </w:rPr>
      </w:pPr>
    </w:p>
    <w:p>
      <w:pPr>
        <w:ind w:right="80" w:firstLine="656"/>
        <w:spacing w:after="0" w:line="252"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STOCK APPRECIATION RIGHTS</w:t>
      </w:r>
    </w:p>
    <w:p>
      <w:pPr>
        <w:spacing w:after="0" w:line="179" w:lineRule="exact"/>
        <w:rPr>
          <w:sz w:val="20"/>
          <w:szCs w:val="20"/>
          <w:color w:val="auto"/>
        </w:rPr>
      </w:pPr>
    </w:p>
    <w:p>
      <w:pPr>
        <w:ind w:right="80" w:firstLine="656"/>
        <w:spacing w:after="0" w:line="226" w:lineRule="auto"/>
        <w:tabs>
          <w:tab w:leader="none" w:pos="1293"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Award of Stock Appreciation Rights</w:t>
      </w:r>
      <w:r>
        <w:rPr>
          <w:rFonts w:ascii="Arial" w:cs="Arial" w:eastAsia="Arial" w:hAnsi="Arial"/>
          <w:sz w:val="21"/>
          <w:szCs w:val="21"/>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59" w:lineRule="exact"/>
        <w:rPr>
          <w:rFonts w:ascii="Arial" w:cs="Arial" w:eastAsia="Arial" w:hAnsi="Arial"/>
          <w:sz w:val="21"/>
          <w:szCs w:val="21"/>
          <w:color w:val="auto"/>
        </w:rPr>
      </w:pPr>
    </w:p>
    <w:p>
      <w:pPr>
        <w:ind w:right="340" w:firstLine="656"/>
        <w:spacing w:after="0" w:line="232" w:lineRule="auto"/>
        <w:tabs>
          <w:tab w:leader="none" w:pos="129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pacing w:after="0" w:line="158" w:lineRule="exact"/>
        <w:rPr>
          <w:rFonts w:ascii="Arial" w:cs="Arial" w:eastAsia="Arial" w:hAnsi="Arial"/>
          <w:sz w:val="22"/>
          <w:szCs w:val="22"/>
          <w:color w:val="auto"/>
        </w:rPr>
      </w:pPr>
    </w:p>
    <w:p>
      <w:pPr>
        <w:ind w:right="40" w:firstLine="656"/>
        <w:spacing w:after="0" w:line="232" w:lineRule="auto"/>
        <w:tabs>
          <w:tab w:leader="none" w:pos="1293"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58" w:lineRule="exact"/>
        <w:rPr>
          <w:rFonts w:ascii="Arial" w:cs="Arial" w:eastAsia="Arial" w:hAnsi="Arial"/>
          <w:sz w:val="22"/>
          <w:szCs w:val="22"/>
          <w:color w:val="auto"/>
        </w:rPr>
      </w:pPr>
    </w:p>
    <w:p>
      <w:pPr>
        <w:ind w:right="80" w:firstLine="656"/>
        <w:spacing w:after="0" w:line="218" w:lineRule="auto"/>
        <w:tabs>
          <w:tab w:leader="none" w:pos="129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RESTRICTED STOCK AWARDS</w:t>
      </w:r>
    </w:p>
    <w:p>
      <w:pPr>
        <w:spacing w:after="0" w:line="179" w:lineRule="exact"/>
        <w:rPr>
          <w:sz w:val="20"/>
          <w:szCs w:val="20"/>
          <w:color w:val="auto"/>
        </w:rPr>
      </w:pPr>
    </w:p>
    <w:p>
      <w:pPr>
        <w:ind w:right="280" w:firstLine="656"/>
        <w:spacing w:after="0" w:line="218" w:lineRule="auto"/>
        <w:tabs>
          <w:tab w:leader="none" w:pos="1293"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Nature of Restricted Stock Awards</w:t>
      </w:r>
      <w:r>
        <w:rPr>
          <w:rFonts w:ascii="Arial" w:cs="Arial" w:eastAsia="Arial" w:hAnsi="Arial"/>
          <w:sz w:val="22"/>
          <w:szCs w:val="22"/>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01" w:right="359" w:bottom="1440" w:gutter="0" w:footer="0" w:header="0"/>
        </w:sectPr>
      </w:pPr>
    </w:p>
    <w:bookmarkStart w:id="80" w:name="page81"/>
    <w:bookmarkEnd w:id="80"/>
    <w:p>
      <w:pPr>
        <w:ind w:right="60" w:firstLine="656"/>
        <w:spacing w:after="0" w:line="220" w:lineRule="auto"/>
        <w:tabs>
          <w:tab w:leader="none" w:pos="1291"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62" w:lineRule="exact"/>
        <w:rPr>
          <w:rFonts w:ascii="Arial" w:cs="Arial" w:eastAsia="Arial" w:hAnsi="Arial"/>
          <w:sz w:val="21"/>
          <w:szCs w:val="21"/>
          <w:color w:val="auto"/>
        </w:rPr>
      </w:pPr>
    </w:p>
    <w:p>
      <w:pPr>
        <w:ind w:right="20" w:firstLine="656"/>
        <w:spacing w:after="0" w:line="244" w:lineRule="auto"/>
        <w:tabs>
          <w:tab w:leader="none" w:pos="1293"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54" w:lineRule="exact"/>
        <w:rPr>
          <w:rFonts w:ascii="Arial" w:cs="Arial" w:eastAsia="Arial" w:hAnsi="Arial"/>
          <w:sz w:val="19"/>
          <w:szCs w:val="19"/>
          <w:color w:val="auto"/>
        </w:rPr>
      </w:pPr>
    </w:p>
    <w:p>
      <w:pPr>
        <w:ind w:right="240" w:firstLine="656"/>
        <w:spacing w:after="0" w:line="226" w:lineRule="auto"/>
        <w:tabs>
          <w:tab w:leader="none" w:pos="1291"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RESTRICTED STOCK UNITS</w:t>
      </w:r>
    </w:p>
    <w:p>
      <w:pPr>
        <w:spacing w:after="0" w:line="179" w:lineRule="exact"/>
        <w:rPr>
          <w:sz w:val="20"/>
          <w:szCs w:val="20"/>
          <w:color w:val="auto"/>
        </w:rPr>
      </w:pPr>
    </w:p>
    <w:p>
      <w:pPr>
        <w:ind w:right="40" w:firstLine="656"/>
        <w:spacing w:after="0" w:line="220" w:lineRule="auto"/>
        <w:tabs>
          <w:tab w:leader="none" w:pos="1293"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Nature of Restricted Stock Units</w:t>
      </w:r>
      <w:r>
        <w:rPr>
          <w:rFonts w:ascii="Arial" w:cs="Arial" w:eastAsia="Arial" w:hAnsi="Arial"/>
          <w:sz w:val="21"/>
          <w:szCs w:val="21"/>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62" w:lineRule="exact"/>
        <w:rPr>
          <w:rFonts w:ascii="Arial" w:cs="Arial" w:eastAsia="Arial" w:hAnsi="Arial"/>
          <w:sz w:val="21"/>
          <w:szCs w:val="21"/>
          <w:color w:val="auto"/>
        </w:rPr>
      </w:pPr>
    </w:p>
    <w:p>
      <w:pPr>
        <w:ind w:firstLine="656"/>
        <w:spacing w:after="0" w:line="232" w:lineRule="auto"/>
        <w:tabs>
          <w:tab w:leader="none" w:pos="1291"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Election to Receive Restricted Stock Units in Lieu of Compensation</w:t>
      </w:r>
      <w:r>
        <w:rPr>
          <w:rFonts w:ascii="Arial" w:cs="Arial" w:eastAsia="Arial" w:hAnsi="Arial"/>
          <w:sz w:val="22"/>
          <w:szCs w:val="22"/>
          <w:color w:val="auto"/>
        </w:rPr>
        <w:t>. The Administrator may, in its sole discretion, permit a grantee to elect to receive a portion of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01" w:right="359" w:bottom="1440" w:gutter="0" w:footer="0" w:header="0"/>
        </w:sectPr>
      </w:pPr>
    </w:p>
    <w:bookmarkStart w:id="81" w:name="page82"/>
    <w:bookmarkEnd w:id="81"/>
    <w:p>
      <w:pPr>
        <w:ind w:right="40"/>
        <w:spacing w:after="0" w:line="221" w:lineRule="auto"/>
        <w:rPr>
          <w:sz w:val="20"/>
          <w:szCs w:val="20"/>
          <w:color w:val="auto"/>
        </w:rPr>
      </w:pPr>
      <w:r>
        <w:rPr>
          <w:rFonts w:ascii="Arial" w:cs="Arial" w:eastAsia="Arial" w:hAnsi="Arial"/>
          <w:sz w:val="21"/>
          <w:szCs w:val="21"/>
          <w:color w:val="auto"/>
        </w:rPr>
        <w:t>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59" w:lineRule="exact"/>
        <w:rPr>
          <w:sz w:val="20"/>
          <w:szCs w:val="20"/>
          <w:color w:val="auto"/>
        </w:rPr>
      </w:pPr>
    </w:p>
    <w:p>
      <w:pPr>
        <w:jc w:val="both"/>
        <w:ind w:right="60" w:firstLine="656"/>
        <w:spacing w:after="0" w:line="218" w:lineRule="auto"/>
        <w:tabs>
          <w:tab w:leader="none" w:pos="1293"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60" w:lineRule="exact"/>
        <w:rPr>
          <w:rFonts w:ascii="Arial" w:cs="Arial" w:eastAsia="Arial" w:hAnsi="Arial"/>
          <w:sz w:val="22"/>
          <w:szCs w:val="22"/>
          <w:color w:val="auto"/>
        </w:rPr>
      </w:pPr>
    </w:p>
    <w:p>
      <w:pPr>
        <w:ind w:right="80" w:firstLine="656"/>
        <w:spacing w:after="0" w:line="218" w:lineRule="auto"/>
        <w:tabs>
          <w:tab w:leader="none" w:pos="129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UNRESTRICTED STOCK AWARDS</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4"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CASH-BASED AWARDS</w:t>
      </w:r>
    </w:p>
    <w:p>
      <w:pPr>
        <w:spacing w:after="0" w:line="179"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xml:space="preserve"> .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64"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1"/>
          <w:szCs w:val="21"/>
          <w:u w:val="single" w:color="auto"/>
          <w:color w:val="auto"/>
        </w:rPr>
        <w:t>DIVIDEND EQUIVALENT RIGHTS</w:t>
      </w:r>
    </w:p>
    <w:p>
      <w:pPr>
        <w:spacing w:after="0" w:line="179" w:lineRule="exact"/>
        <w:rPr>
          <w:sz w:val="20"/>
          <w:szCs w:val="20"/>
          <w:color w:val="auto"/>
        </w:rPr>
      </w:pPr>
    </w:p>
    <w:p>
      <w:pPr>
        <w:ind w:firstLine="656"/>
        <w:spacing w:after="0" w:line="214" w:lineRule="auto"/>
        <w:tabs>
          <w:tab w:leader="none" w:pos="1293"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2" w:name="page83"/>
    <w:bookmarkEnd w:id="82"/>
    <w:p>
      <w:pPr>
        <w:ind w:right="140"/>
        <w:spacing w:after="0" w:line="211" w:lineRule="auto"/>
        <w:rPr>
          <w:sz w:val="20"/>
          <w:szCs w:val="20"/>
          <w:color w:val="auto"/>
        </w:rPr>
      </w:pPr>
      <w:r>
        <w:rPr>
          <w:rFonts w:ascii="Arial" w:cs="Arial" w:eastAsia="Arial" w:hAnsi="Arial"/>
          <w:sz w:val="22"/>
          <w:szCs w:val="22"/>
          <w:color w:val="auto"/>
        </w:rPr>
        <w:t>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w:t>
      </w:r>
    </w:p>
    <w:p>
      <w:pPr>
        <w:spacing w:after="0" w:line="165" w:lineRule="exact"/>
        <w:rPr>
          <w:sz w:val="20"/>
          <w:szCs w:val="20"/>
          <w:color w:val="auto"/>
        </w:rPr>
      </w:pPr>
    </w:p>
    <w:p>
      <w:pPr>
        <w:ind w:right="60" w:firstLine="656"/>
        <w:spacing w:after="0" w:line="218" w:lineRule="auto"/>
        <w:tabs>
          <w:tab w:leader="none" w:pos="1291"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61"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TRANSFERABILITY OF AWARDS</w:t>
      </w:r>
    </w:p>
    <w:p>
      <w:pPr>
        <w:spacing w:after="0" w:line="179" w:lineRule="exact"/>
        <w:rPr>
          <w:sz w:val="20"/>
          <w:szCs w:val="20"/>
          <w:color w:val="auto"/>
        </w:rPr>
      </w:pPr>
    </w:p>
    <w:p>
      <w:pPr>
        <w:ind w:right="60" w:firstLine="656"/>
        <w:spacing w:after="0" w:line="252" w:lineRule="auto"/>
        <w:tabs>
          <w:tab w:leader="none" w:pos="129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8" w:lineRule="exact"/>
        <w:rPr>
          <w:rFonts w:ascii="Arial" w:cs="Arial" w:eastAsia="Arial" w:hAnsi="Arial"/>
          <w:sz w:val="19"/>
          <w:szCs w:val="19"/>
          <w:color w:val="auto"/>
        </w:rPr>
      </w:pPr>
    </w:p>
    <w:p>
      <w:pPr>
        <w:ind w:right="20" w:firstLine="656"/>
        <w:spacing w:after="0" w:line="214" w:lineRule="auto"/>
        <w:tabs>
          <w:tab w:leader="none" w:pos="1291"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Administrator Action</w:t>
      </w:r>
      <w:r>
        <w:rPr>
          <w:rFonts w:ascii="Arial" w:cs="Arial" w:eastAsia="Arial" w:hAnsi="Arial"/>
          <w:sz w:val="22"/>
          <w:szCs w:val="22"/>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58" w:lineRule="exact"/>
        <w:rPr>
          <w:rFonts w:ascii="Arial" w:cs="Arial" w:eastAsia="Arial" w:hAnsi="Arial"/>
          <w:sz w:val="22"/>
          <w:szCs w:val="22"/>
          <w:color w:val="auto"/>
        </w:rPr>
      </w:pPr>
    </w:p>
    <w:p>
      <w:pPr>
        <w:ind w:firstLine="656"/>
        <w:spacing w:after="0" w:line="224" w:lineRule="auto"/>
        <w:tabs>
          <w:tab w:leader="none" w:pos="1293"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Family Member</w:t>
      </w:r>
      <w:r>
        <w:rPr>
          <w:rFonts w:ascii="Arial" w:cs="Arial" w:eastAsia="Arial" w:hAnsi="Arial"/>
          <w:sz w:val="21"/>
          <w:szCs w:val="21"/>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59" w:lineRule="exact"/>
        <w:rPr>
          <w:rFonts w:ascii="Arial" w:cs="Arial" w:eastAsia="Arial" w:hAnsi="Arial"/>
          <w:sz w:val="21"/>
          <w:szCs w:val="21"/>
          <w:color w:val="auto"/>
        </w:rPr>
      </w:pPr>
    </w:p>
    <w:p>
      <w:pPr>
        <w:ind w:firstLine="656"/>
        <w:spacing w:after="0" w:line="252" w:lineRule="auto"/>
        <w:tabs>
          <w:tab w:leader="none" w:pos="129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01" w:right="359" w:bottom="1440" w:gutter="0" w:footer="0" w:header="0"/>
        </w:sectPr>
      </w:pPr>
    </w:p>
    <w:bookmarkStart w:id="83" w:name="page84"/>
    <w:bookmarkEnd w:id="83"/>
    <w:p>
      <w:pPr>
        <w:spacing w:after="0"/>
        <w:tabs>
          <w:tab w:leader="none" w:pos="18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u w:val="single" w:color="auto"/>
          <w:color w:val="auto"/>
        </w:rPr>
        <w:t>TAX WITHHOLDING</w:t>
      </w:r>
    </w:p>
    <w:p>
      <w:pPr>
        <w:spacing w:after="0" w:line="179" w:lineRule="exact"/>
        <w:rPr>
          <w:sz w:val="20"/>
          <w:szCs w:val="20"/>
          <w:color w:val="auto"/>
        </w:rPr>
      </w:pPr>
    </w:p>
    <w:p>
      <w:pPr>
        <w:ind w:firstLine="656"/>
        <w:spacing w:after="0" w:line="247" w:lineRule="auto"/>
        <w:tabs>
          <w:tab w:leader="none" w:pos="129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Payment by Grantee</w:t>
      </w:r>
      <w:r>
        <w:rPr>
          <w:rFonts w:ascii="Arial" w:cs="Arial" w:eastAsia="Arial" w:hAnsi="Arial"/>
          <w:sz w:val="19"/>
          <w:szCs w:val="19"/>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3" w:lineRule="exact"/>
        <w:rPr>
          <w:rFonts w:ascii="Arial" w:cs="Arial" w:eastAsia="Arial" w:hAnsi="Arial"/>
          <w:sz w:val="19"/>
          <w:szCs w:val="19"/>
          <w:color w:val="auto"/>
        </w:rPr>
      </w:pPr>
    </w:p>
    <w:p>
      <w:pPr>
        <w:ind w:right="160" w:firstLine="656"/>
        <w:spacing w:after="0" w:line="244" w:lineRule="auto"/>
        <w:tabs>
          <w:tab w:leader="none" w:pos="1291"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includable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61"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SECTION 409A AWARDS</w:t>
      </w:r>
    </w:p>
    <w:p>
      <w:pPr>
        <w:spacing w:after="0" w:line="17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TERMINATION OF SERVICE RELATIONSHIP, TRANSFER, LEAVE OF ABSENCE, ETC.</w:t>
      </w:r>
    </w:p>
    <w:p>
      <w:pPr>
        <w:spacing w:after="0" w:line="179" w:lineRule="exact"/>
        <w:rPr>
          <w:sz w:val="20"/>
          <w:szCs w:val="20"/>
          <w:color w:val="auto"/>
        </w:rPr>
      </w:pPr>
    </w:p>
    <w:p>
      <w:pPr>
        <w:ind w:right="100" w:firstLine="656"/>
        <w:spacing w:after="0" w:line="298" w:lineRule="auto"/>
        <w:tabs>
          <w:tab w:leader="none" w:pos="1293"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Termination of Service Relationship</w:t>
      </w:r>
      <w:r>
        <w:rPr>
          <w:rFonts w:ascii="Arial" w:cs="Arial" w:eastAsia="Arial" w:hAnsi="Arial"/>
          <w:sz w:val="19"/>
          <w:szCs w:val="19"/>
          <w:color w:val="auto"/>
        </w:rPr>
        <w:t>. If the grantee’s Service Relationship is with an Affiliate and such Affiliate ceases to be an Affiliate, the grantee shall be deemed to have terminated his or her Service Relationship for purposes of the Plan.</w:t>
      </w:r>
    </w:p>
    <w:p>
      <w:pPr>
        <w:spacing w:after="0" w:line="105" w:lineRule="exact"/>
        <w:rPr>
          <w:rFonts w:ascii="Arial" w:cs="Arial" w:eastAsia="Arial" w:hAnsi="Arial"/>
          <w:sz w:val="19"/>
          <w:szCs w:val="19"/>
          <w:color w:val="auto"/>
        </w:rPr>
      </w:pPr>
    </w:p>
    <w:p>
      <w:pPr>
        <w:ind w:left="1300" w:hanging="644"/>
        <w:spacing w:after="0"/>
        <w:tabs>
          <w:tab w:leader="none" w:pos="13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For purposes of the Plan, the following events shall not be deemed a termination of a Service Relationship:</w:t>
      </w:r>
    </w:p>
    <w:p>
      <w:pPr>
        <w:spacing w:after="0" w:line="190" w:lineRule="exact"/>
        <w:rPr>
          <w:rFonts w:ascii="Arial" w:cs="Arial" w:eastAsia="Arial" w:hAnsi="Arial"/>
          <w:sz w:val="21"/>
          <w:szCs w:val="21"/>
          <w:color w:val="auto"/>
        </w:rPr>
      </w:pPr>
    </w:p>
    <w:p>
      <w:pPr>
        <w:ind w:right="380" w:firstLine="1304"/>
        <w:spacing w:after="0" w:line="232" w:lineRule="auto"/>
        <w:tabs>
          <w:tab w:leader="none" w:pos="1932"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an Affiliate or from the Company to an Affiliate, or from one Affiliate to another;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84" w:name="page85"/>
    <w:bookmarkEnd w:id="84"/>
    <w:p>
      <w:pPr>
        <w:ind w:firstLine="1304"/>
        <w:spacing w:after="0" w:line="234" w:lineRule="auto"/>
        <w:tabs>
          <w:tab w:leader="none" w:pos="1938"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58"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u w:val="single" w:color="auto"/>
          <w:color w:val="auto"/>
        </w:rPr>
        <w:t>AMENDMENTS AND TERMINATION</w:t>
      </w:r>
    </w:p>
    <w:p>
      <w:pPr>
        <w:spacing w:after="0" w:line="179" w:lineRule="exact"/>
        <w:rPr>
          <w:sz w:val="20"/>
          <w:szCs w:val="20"/>
          <w:color w:val="auto"/>
        </w:rPr>
      </w:pPr>
    </w:p>
    <w:p>
      <w:pPr>
        <w:ind w:right="120" w:firstLine="648"/>
        <w:spacing w:after="0" w:line="243"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59"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STATUS OF PLAN</w:t>
      </w:r>
    </w:p>
    <w:p>
      <w:pPr>
        <w:spacing w:after="0" w:line="179" w:lineRule="exact"/>
        <w:rPr>
          <w:sz w:val="20"/>
          <w:szCs w:val="20"/>
          <w:color w:val="auto"/>
        </w:rPr>
      </w:pPr>
    </w:p>
    <w:p>
      <w:pPr>
        <w:ind w:right="140" w:firstLine="648"/>
        <w:spacing w:after="0" w:line="224"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60"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GENERAL PROVISIONS</w:t>
      </w:r>
    </w:p>
    <w:p>
      <w:pPr>
        <w:spacing w:after="0" w:line="179" w:lineRule="exact"/>
        <w:rPr>
          <w:sz w:val="20"/>
          <w:szCs w:val="20"/>
          <w:color w:val="auto"/>
        </w:rPr>
      </w:pPr>
    </w:p>
    <w:p>
      <w:pPr>
        <w:ind w:right="100" w:firstLine="656"/>
        <w:spacing w:after="0" w:line="298" w:lineRule="auto"/>
        <w:tabs>
          <w:tab w:leader="none" w:pos="1293"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5" w:lineRule="exact"/>
        <w:rPr>
          <w:rFonts w:ascii="Arial" w:cs="Arial" w:eastAsia="Arial" w:hAnsi="Arial"/>
          <w:sz w:val="19"/>
          <w:szCs w:val="19"/>
          <w:color w:val="auto"/>
        </w:rPr>
      </w:pPr>
    </w:p>
    <w:p>
      <w:pPr>
        <w:ind w:right="40" w:firstLine="656"/>
        <w:spacing w:after="0" w:line="242" w:lineRule="auto"/>
        <w:tabs>
          <w:tab w:leader="none" w:pos="129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Issuance of Stock</w:t>
      </w:r>
      <w:r>
        <w:rPr>
          <w:rFonts w:ascii="Arial" w:cs="Arial" w:eastAsia="Arial" w:hAnsi="Arial"/>
          <w:sz w:val="19"/>
          <w:szCs w:val="19"/>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85" w:name="page86"/>
    <w:bookmarkEnd w:id="85"/>
    <w:p>
      <w:pPr>
        <w:ind w:right="80"/>
        <w:spacing w:after="0" w:line="221" w:lineRule="auto"/>
        <w:rPr>
          <w:sz w:val="20"/>
          <w:szCs w:val="20"/>
          <w:color w:val="auto"/>
        </w:rPr>
      </w:pPr>
      <w:r>
        <w:rPr>
          <w:rFonts w:ascii="Arial" w:cs="Arial" w:eastAsia="Arial" w:hAnsi="Arial"/>
          <w:sz w:val="21"/>
          <w:szCs w:val="21"/>
          <w:color w:val="auto"/>
        </w:rPr>
        <w:t>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65" w:lineRule="exact"/>
        <w:rPr>
          <w:sz w:val="20"/>
          <w:szCs w:val="20"/>
          <w:color w:val="auto"/>
        </w:rPr>
      </w:pPr>
    </w:p>
    <w:p>
      <w:pPr>
        <w:jc w:val="both"/>
        <w:ind w:right="60" w:firstLine="656"/>
        <w:spacing w:after="0" w:line="268" w:lineRule="auto"/>
        <w:tabs>
          <w:tab w:leader="none" w:pos="129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2" w:lineRule="exact"/>
        <w:rPr>
          <w:rFonts w:ascii="Arial" w:cs="Arial" w:eastAsia="Arial" w:hAnsi="Arial"/>
          <w:sz w:val="19"/>
          <w:szCs w:val="19"/>
          <w:color w:val="auto"/>
        </w:rPr>
      </w:pPr>
    </w:p>
    <w:p>
      <w:pPr>
        <w:jc w:val="both"/>
        <w:ind w:right="300" w:firstLine="656"/>
        <w:spacing w:after="0" w:line="257" w:lineRule="auto"/>
        <w:tabs>
          <w:tab w:leader="none" w:pos="1291"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Other Compensation Arrangements; No Employment Rights</w:t>
      </w:r>
      <w:r>
        <w:rPr>
          <w:rFonts w:ascii="Arial" w:cs="Arial" w:eastAsia="Arial" w:hAnsi="Arial"/>
          <w:sz w:val="19"/>
          <w:szCs w:val="19"/>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4" w:lineRule="exact"/>
        <w:rPr>
          <w:rFonts w:ascii="Arial" w:cs="Arial" w:eastAsia="Arial" w:hAnsi="Arial"/>
          <w:sz w:val="19"/>
          <w:szCs w:val="19"/>
          <w:color w:val="auto"/>
        </w:rPr>
      </w:pPr>
    </w:p>
    <w:p>
      <w:pPr>
        <w:ind w:right="160" w:firstLine="656"/>
        <w:spacing w:after="0" w:line="232" w:lineRule="auto"/>
        <w:tabs>
          <w:tab w:leader="none" w:pos="129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Awards under the Plan shall be subject to the Company’s clawback policy, as in effect from time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time.</w:t>
      </w:r>
    </w:p>
    <w:p>
      <w:pPr>
        <w:spacing w:after="0" w:line="161"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EFFECTIVE DATE OF PLAN</w:t>
      </w:r>
    </w:p>
    <w:p>
      <w:pPr>
        <w:spacing w:after="0" w:line="179" w:lineRule="exact"/>
        <w:rPr>
          <w:sz w:val="20"/>
          <w:szCs w:val="20"/>
          <w:color w:val="auto"/>
        </w:rPr>
      </w:pPr>
    </w:p>
    <w:p>
      <w:pPr>
        <w:ind w:right="160" w:firstLine="648"/>
        <w:spacing w:after="0" w:line="218" w:lineRule="auto"/>
        <w:rPr>
          <w:sz w:val="20"/>
          <w:szCs w:val="20"/>
          <w:color w:val="auto"/>
        </w:rPr>
      </w:pPr>
      <w:r>
        <w:rPr>
          <w:rFonts w:ascii="Arial" w:cs="Arial" w:eastAsia="Arial" w:hAnsi="Arial"/>
          <w:sz w:val="22"/>
          <w:szCs w:val="22"/>
          <w:color w:val="auto"/>
        </w:rPr>
        <w:t>This Plan shall become effective upon stockholder approval in accordance with applicable state law, the Company’s bylaws and articles of incorporation, and applicable stock exchange rules. No grants of Stock Options and other Awards may be made hereunder after December 14, 2030 and no grants of Incentive Stock Options may be made hereunder after September 9, 2030.</w:t>
      </w:r>
    </w:p>
    <w:p>
      <w:pPr>
        <w:spacing w:after="0" w:line="161"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21"/>
          <w:szCs w:val="21"/>
          <w:u w:val="single" w:color="auto"/>
          <w:color w:val="auto"/>
        </w:rPr>
        <w:t>GOVERNING LAW</w:t>
      </w:r>
    </w:p>
    <w:p>
      <w:pPr>
        <w:spacing w:after="0" w:line="179" w:lineRule="exact"/>
        <w:rPr>
          <w:sz w:val="20"/>
          <w:szCs w:val="20"/>
          <w:color w:val="auto"/>
        </w:rPr>
      </w:pPr>
    </w:p>
    <w:p>
      <w:pPr>
        <w:ind w:right="280" w:firstLine="648"/>
        <w:spacing w:after="0" w:line="218"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DATE APPROVED BY BOARD OF DIRECTORS: SEPTEMBER 8, 2022</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 APPROVED BY STOCKHOLDERS: DECEMBER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01" w:right="359" w:bottom="1440" w:gutter="0" w:footer="0" w:header="0"/>
        </w:sectPr>
      </w:pPr>
    </w:p>
    <w:bookmarkStart w:id="86" w:name="page87"/>
    <w:bookmarkEnd w:id="86"/>
    <w:p>
      <w:pPr>
        <w:ind w:left="2640"/>
        <w:spacing w:after="0"/>
        <w:rPr>
          <w:sz w:val="20"/>
          <w:szCs w:val="20"/>
          <w:color w:val="auto"/>
        </w:rPr>
      </w:pPr>
      <w:r>
        <w:rPr>
          <w:rFonts w:ascii="Arial" w:cs="Arial" w:eastAsia="Arial" w:hAnsi="Arial"/>
          <w:sz w:val="25"/>
          <w:szCs w:val="25"/>
          <w:b w:val="1"/>
          <w:bCs w:val="1"/>
          <w:color w:val="auto"/>
        </w:rPr>
        <w:t>RESTRICTED STOCK UNIT AWARD AGREEMENT</w:t>
      </w:r>
    </w:p>
    <w:p>
      <w:pPr>
        <w:ind w:left="3860"/>
        <w:spacing w:after="0" w:line="202" w:lineRule="auto"/>
        <w:rPr>
          <w:sz w:val="20"/>
          <w:szCs w:val="20"/>
          <w:color w:val="auto"/>
        </w:rPr>
      </w:pPr>
      <w:r>
        <w:rPr>
          <w:rFonts w:ascii="Arial" w:cs="Arial" w:eastAsia="Arial" w:hAnsi="Arial"/>
          <w:sz w:val="25"/>
          <w:szCs w:val="25"/>
          <w:b w:val="1"/>
          <w:bCs w:val="1"/>
          <w:color w:val="auto"/>
        </w:rPr>
        <w:t>FOR COMPANY EMPLOYEES</w:t>
      </w:r>
    </w:p>
    <w:p>
      <w:pPr>
        <w:jc w:val="center"/>
        <w:ind w:right="-19"/>
        <w:spacing w:after="0" w:line="215" w:lineRule="auto"/>
        <w:rPr>
          <w:sz w:val="20"/>
          <w:szCs w:val="20"/>
          <w:color w:val="auto"/>
        </w:rPr>
      </w:pPr>
      <w:r>
        <w:rPr>
          <w:rFonts w:ascii="Arial" w:cs="Arial" w:eastAsia="Arial" w:hAnsi="Arial"/>
          <w:sz w:val="25"/>
          <w:szCs w:val="25"/>
          <w:b w:val="1"/>
          <w:bCs w:val="1"/>
          <w:color w:val="auto"/>
        </w:rPr>
        <w:t>UNDER THE GUIDEWIRE SOFTWARE, INC.</w:t>
      </w:r>
    </w:p>
    <w:p>
      <w:pPr>
        <w:jc w:val="center"/>
        <w:ind w:right="-19"/>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-17780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Pursuant to the Guidewire Software, Inc. Amended and Restated 2020 Stock Plan as amended through the date hereof (the “Plan”), Guidewire Software, Inc. (the “Company”) hereby grants an award of the number of Restricted Stock Units listed above (an “Award”) to the Grantee named above. Each Restricted Stock Unit shall relate to one share of Common Stock (the “Stock”) of the Company.</w:t>
      </w:r>
    </w:p>
    <w:p>
      <w:pPr>
        <w:spacing w:after="0" w:line="161" w:lineRule="exact"/>
        <w:rPr>
          <w:sz w:val="20"/>
          <w:szCs w:val="20"/>
          <w:color w:val="auto"/>
        </w:rPr>
      </w:pPr>
    </w:p>
    <w:p>
      <w:pPr>
        <w:ind w:right="20" w:firstLine="648"/>
        <w:spacing w:after="0" w:line="21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50" w:lineRule="exact"/>
        <w:rPr>
          <w:sz w:val="20"/>
          <w:szCs w:val="20"/>
          <w:color w:val="auto"/>
        </w:rPr>
      </w:pPr>
    </w:p>
    <w:p>
      <w:pPr>
        <w:ind w:right="80" w:firstLine="648"/>
        <w:spacing w:after="0" w:line="215"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Vesting of Restricted Stock Units</w:t>
      </w:r>
      <w:r>
        <w:rPr>
          <w:rFonts w:ascii="Arial" w:cs="Arial" w:eastAsia="Arial" w:hAnsi="Arial"/>
          <w:sz w:val="21"/>
          <w:szCs w:val="21"/>
          <w:color w:val="auto"/>
        </w:rPr>
        <w:t>. [Subject to any Company leave of absence policy in effect, t]</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[T]he restrictions and conditions of Paragraph 1 of this Agreement shall lapse on the Vesting Date or Dates specified in the following schedule so long as the Grantee continues to be employed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95" w:lineRule="exact"/>
        <w:rPr>
          <w:sz w:val="20"/>
          <w:szCs w:val="20"/>
          <w:color w:val="auto"/>
        </w:rPr>
      </w:pPr>
    </w:p>
    <w:p>
      <w:pPr>
        <w:jc w:val="center"/>
        <w:ind w:right="4800"/>
        <w:spacing w:after="0"/>
        <w:rPr>
          <w:sz w:val="20"/>
          <w:szCs w:val="20"/>
          <w:color w:val="auto"/>
        </w:rPr>
      </w:pPr>
      <w:r>
        <w:rPr>
          <w:rFonts w:ascii="Arial" w:cs="Arial" w:eastAsia="Arial" w:hAnsi="Arial"/>
          <w:sz w:val="22"/>
          <w:szCs w:val="22"/>
          <w:color w:val="auto"/>
        </w:rPr>
        <w:t>Incremental Number of</w:t>
      </w:r>
    </w:p>
    <w:p>
      <w:pPr>
        <w:jc w:val="center"/>
        <w:ind w:right="4800"/>
        <w:spacing w:after="0" w:line="195" w:lineRule="auto"/>
        <w:rPr>
          <w:sz w:val="20"/>
          <w:szCs w:val="20"/>
          <w:color w:val="auto"/>
        </w:rPr>
      </w:pPr>
      <w:r>
        <w:rPr>
          <w:rFonts w:ascii="Arial" w:cs="Arial" w:eastAsia="Arial" w:hAnsi="Arial"/>
          <w:sz w:val="22"/>
          <w:szCs w:val="22"/>
          <w:color w:val="auto"/>
        </w:rPr>
        <w:t>Restricted Stock Units Vested</w:t>
      </w:r>
    </w:p>
    <w:tbl>
      <w:tblPr>
        <w:tblLayout w:type="fixed"/>
        <w:tblInd w:w="1940" w:type="dxa"/>
        <w:tblCellMar>
          <w:top w:w="0" w:type="dxa"/>
          <w:left w:w="0" w:type="dxa"/>
          <w:bottom w:w="0" w:type="dxa"/>
          <w:right w:w="0" w:type="dxa"/>
        </w:tblCellMar>
      </w:tblPr>
      <w:tr>
        <w:trPr>
          <w:trHeight w:val="196"/>
        </w:trPr>
        <w:tc>
          <w:tcPr>
            <w:tcW w:w="258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color w:val="auto"/>
                <w:w w:val="88"/>
              </w:rPr>
              <w:t>Vesting Date</w:t>
            </w:r>
          </w:p>
        </w:tc>
        <w:tc>
          <w:tcPr>
            <w:tcW w:w="240" w:type="dxa"/>
            <w:vAlign w:val="bottom"/>
          </w:tcPr>
          <w:p>
            <w:pPr>
              <w:spacing w:after="0"/>
              <w:rPr>
                <w:sz w:val="17"/>
                <w:szCs w:val="17"/>
                <w:color w:val="auto"/>
              </w:rPr>
            </w:pPr>
          </w:p>
        </w:tc>
      </w:tr>
      <w:tr>
        <w:trPr>
          <w:trHeight w:val="29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r>
        <w:trPr>
          <w:trHeight w:val="27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r>
        <w:trPr>
          <w:trHeight w:val="27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r>
        <w:trPr>
          <w:trHeight w:val="28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bl>
    <w:p>
      <w:pPr>
        <w:spacing w:after="0" w:line="266"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Notwithstanding anything in this Agreement to the contrary, in the case of a Sale Event, the Restricted Stock Units shall be treated as provided in Section 3(c) of the Plan[ provided; however that the Restricted Stock Units shall be subject to any executive agreement by and between the Grantee and the Company, as applicable (the “Executive Agreement”)]</w:t>
      </w:r>
      <w:r>
        <w:rPr>
          <w:rFonts w:ascii="Arial" w:cs="Arial" w:eastAsia="Arial" w:hAnsi="Arial"/>
          <w:sz w:val="26"/>
          <w:szCs w:val="26"/>
          <w:color w:val="auto"/>
          <w:vertAlign w:val="superscript"/>
        </w:rPr>
        <w:t>2</w:t>
      </w:r>
      <w:r>
        <w:rPr>
          <w:rFonts w:ascii="Arial" w:cs="Arial" w:eastAsia="Arial" w:hAnsi="Arial"/>
          <w:sz w:val="20"/>
          <w:szCs w:val="20"/>
          <w:color w:val="auto"/>
        </w:rPr>
        <w:t>.</w:t>
      </w:r>
    </w:p>
    <w:p>
      <w:pPr>
        <w:spacing w:after="0" w:line="42"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color w:val="auto"/>
        </w:rPr>
        <w:t>The Administrator may at any time accelerate the vesting schedule specified in this Paragraph 2 in circumstances involving the Grantee’s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14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left="500" w:hanging="103"/>
        <w:spacing w:after="0"/>
        <w:tabs>
          <w:tab w:leader="none" w:pos="50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 if LOA policy is in effect.</w:t>
      </w:r>
    </w:p>
    <w:p>
      <w:pPr>
        <w:spacing w:after="0" w:line="60" w:lineRule="exact"/>
        <w:rPr>
          <w:sz w:val="20"/>
          <w:szCs w:val="20"/>
          <w:color w:val="auto"/>
        </w:rPr>
      </w:pPr>
    </w:p>
    <w:p>
      <w:pPr>
        <w:ind w:left="500" w:hanging="103"/>
        <w:spacing w:after="0"/>
        <w:tabs>
          <w:tab w:leader="none" w:pos="50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 for execs with executive agreements.</w:t>
      </w:r>
    </w:p>
    <w:p>
      <w:pPr>
        <w:sectPr>
          <w:pgSz w:w="11900" w:h="16838" w:orient="portrait"/>
          <w:cols w:equalWidth="0" w:num="1">
            <w:col w:w="11240"/>
          </w:cols>
          <w:pgMar w:left="320" w:top="1383" w:right="339" w:bottom="1440" w:gutter="0" w:footer="0" w:header="0"/>
        </w:sectPr>
      </w:pPr>
    </w:p>
    <w:bookmarkStart w:id="87" w:name="page88"/>
    <w:bookmarkEnd w:id="87"/>
    <w:p>
      <w:pPr>
        <w:ind w:right="60" w:firstLine="648"/>
        <w:spacing w:after="0" w:line="226"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59" w:lineRule="exact"/>
        <w:rPr>
          <w:sz w:val="20"/>
          <w:szCs w:val="20"/>
          <w:color w:val="auto"/>
        </w:rPr>
      </w:pPr>
    </w:p>
    <w:p>
      <w:pPr>
        <w:ind w:right="80" w:firstLine="648"/>
        <w:spacing w:after="0" w:line="21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58"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sz w:val="20"/>
          <w:szCs w:val="20"/>
          <w:color w:val="auto"/>
        </w:rPr>
      </w:pPr>
    </w:p>
    <w:p>
      <w:pPr>
        <w:ind w:right="80" w:firstLine="648"/>
        <w:spacing w:after="0" w:line="241"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Tax Withholding</w:t>
      </w:r>
      <w:r>
        <w:rPr>
          <w:rFonts w:ascii="Arial" w:cs="Arial" w:eastAsia="Arial" w:hAnsi="Arial"/>
          <w:sz w:val="19"/>
          <w:szCs w:val="19"/>
          <w:color w:val="auto"/>
        </w:rPr>
        <w:t>.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the Restricted Stock Units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applicable) may be required to withhold or account for Tax-Related Items in more than one jurisdiction.</w:t>
      </w:r>
    </w:p>
    <w:p>
      <w:pPr>
        <w:spacing w:after="0" w:line="162" w:lineRule="exact"/>
        <w:rPr>
          <w:sz w:val="20"/>
          <w:szCs w:val="20"/>
          <w:color w:val="auto"/>
        </w:rPr>
      </w:pPr>
    </w:p>
    <w:p>
      <w:pPr>
        <w:jc w:val="both"/>
        <w:ind w:firstLine="519"/>
        <w:spacing w:after="0" w:line="218"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61" w:lineRule="exact"/>
        <w:rPr>
          <w:sz w:val="20"/>
          <w:szCs w:val="20"/>
          <w:color w:val="auto"/>
        </w:rPr>
      </w:pPr>
    </w:p>
    <w:p>
      <w:pPr>
        <w:ind w:left="1760" w:hanging="456"/>
        <w:spacing w:after="0"/>
        <w:tabs>
          <w:tab w:leader="none" w:pos="1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Employer;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88" w:name="page89"/>
    <w:bookmarkEnd w:id="88"/>
    <w:p>
      <w:pPr>
        <w:jc w:val="both"/>
        <w:ind w:firstLine="1304"/>
        <w:spacing w:after="0" w:line="223" w:lineRule="auto"/>
        <w:tabs>
          <w:tab w:leader="none" w:pos="1906" w:val="left"/>
        </w:tabs>
        <w:numPr>
          <w:ilvl w:val="0"/>
          <w:numId w:val="44"/>
        </w:numPr>
        <w:rPr>
          <w:rFonts w:ascii="Arial" w:cs="Arial" w:eastAsia="Arial" w:hAnsi="Arial"/>
          <w:sz w:val="22"/>
          <w:szCs w:val="22"/>
          <w:color w:val="auto"/>
        </w:rPr>
      </w:pPr>
      <w:r>
        <w:rPr>
          <w:rFonts w:ascii="Arial" w:cs="Arial" w:eastAsia="Arial" w:hAnsi="Arial"/>
          <w:sz w:val="22"/>
          <w:szCs w:val="22"/>
          <w:color w:val="auto"/>
        </w:rPr>
        <w:t>withholding from proceeds of the sale of shares of Stock acquired upon vesting and settlement of the Restricted Stock Units, either through a voluntary sale or through a mandatory sale arranged by the Company (on the Grantee’s behalf pursuant to this authorization).</w:t>
      </w:r>
    </w:p>
    <w:p>
      <w:pPr>
        <w:spacing w:after="0" w:line="159" w:lineRule="exact"/>
        <w:rPr>
          <w:sz w:val="20"/>
          <w:szCs w:val="20"/>
          <w:color w:val="auto"/>
        </w:rPr>
      </w:pPr>
    </w:p>
    <w:p>
      <w:pPr>
        <w:jc w:val="both"/>
        <w:ind w:firstLine="649"/>
        <w:spacing w:after="0" w:line="252"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if the Grantee fails to comply with his or her obligations in connection with the Tax-Related Items..</w:t>
      </w:r>
    </w:p>
    <w:p>
      <w:pPr>
        <w:spacing w:after="0" w:line="144"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 Obligation to Continue Employment or Other Service Relationship</w:t>
      </w:r>
      <w:r>
        <w:rPr>
          <w:rFonts w:ascii="Arial" w:cs="Arial" w:eastAsia="Arial" w:hAnsi="Arial"/>
          <w:sz w:val="22"/>
          <w:szCs w:val="22"/>
          <w:color w:val="auto"/>
        </w:rPr>
        <w:t>. Neither the Company nor any Subsidiary is obligated by or as a result of the Plan or this Agreement to continue the Grantee’s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spacing w:after="0" w:line="158" w:lineRule="exact"/>
        <w:rPr>
          <w:sz w:val="20"/>
          <w:szCs w:val="20"/>
          <w:color w:val="auto"/>
        </w:rPr>
      </w:pPr>
    </w:p>
    <w:p>
      <w:pPr>
        <w:jc w:val="both"/>
        <w:ind w:right="140" w:firstLine="648"/>
        <w:spacing w:after="0" w:line="22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Award and supersede[s] all prior agreements and discussions between the parties concerning such subject matter.</w:t>
      </w:r>
    </w:p>
    <w:p>
      <w:pPr>
        <w:spacing w:after="0" w:line="159" w:lineRule="exact"/>
        <w:rPr>
          <w:sz w:val="20"/>
          <w:szCs w:val="20"/>
          <w:color w:val="auto"/>
        </w:rPr>
      </w:pPr>
    </w:p>
    <w:p>
      <w:pPr>
        <w:ind w:right="80" w:firstLine="648"/>
        <w:spacing w:after="0" w:line="24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5"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by registered or certified mail, with postage and fees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9" w:name="page90"/>
    <w:bookmarkEnd w:id="89"/>
    <w:p>
      <w:pPr>
        <w:ind w:firstLine="8"/>
        <w:spacing w:after="0" w:line="218" w:lineRule="auto"/>
        <w:tabs>
          <w:tab w:leader="none" w:pos="378"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Paragraph .</w:t>
      </w:r>
    </w:p>
    <w:p>
      <w:pPr>
        <w:spacing w:after="0" w:line="155"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3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ind w:right="280"/>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255905</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530225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804545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320" w:top="1401" w:right="559" w:bottom="1440" w:gutter="0" w:footer="0" w:header="0"/>
        </w:sectPr>
      </w:pPr>
    </w:p>
    <w:bookmarkStart w:id="90" w:name="page91"/>
    <w:bookmarkEnd w:id="90"/>
    <w:p>
      <w:pPr>
        <w:ind w:left="2060"/>
        <w:spacing w:after="0"/>
        <w:rPr>
          <w:sz w:val="20"/>
          <w:szCs w:val="20"/>
          <w:color w:val="auto"/>
        </w:rPr>
      </w:pPr>
      <w:r>
        <w:rPr>
          <w:rFonts w:ascii="Arial" w:cs="Arial" w:eastAsia="Arial" w:hAnsi="Arial"/>
          <w:sz w:val="25"/>
          <w:szCs w:val="25"/>
          <w:b w:val="1"/>
          <w:bCs w:val="1"/>
          <w:color w:val="auto"/>
        </w:rPr>
        <w:t>GLOBAL RESTRICTED STOCK UNIT AWARD AGREEMENT</w:t>
      </w:r>
    </w:p>
    <w:p>
      <w:pPr>
        <w:ind w:left="3860"/>
        <w:spacing w:after="0" w:line="202" w:lineRule="auto"/>
        <w:rPr>
          <w:sz w:val="20"/>
          <w:szCs w:val="20"/>
          <w:color w:val="auto"/>
        </w:rPr>
      </w:pPr>
      <w:r>
        <w:rPr>
          <w:rFonts w:ascii="Arial" w:cs="Arial" w:eastAsia="Arial" w:hAnsi="Arial"/>
          <w:sz w:val="25"/>
          <w:szCs w:val="25"/>
          <w:b w:val="1"/>
          <w:bCs w:val="1"/>
          <w:color w:val="auto"/>
        </w:rPr>
        <w:t>FOR COMPANY EMPLOYEES</w:t>
      </w:r>
    </w:p>
    <w:p>
      <w:pPr>
        <w:jc w:val="center"/>
        <w:spacing w:after="0" w:line="215" w:lineRule="auto"/>
        <w:rPr>
          <w:sz w:val="20"/>
          <w:szCs w:val="20"/>
          <w:color w:val="auto"/>
        </w:rPr>
      </w:pPr>
      <w:r>
        <w:rPr>
          <w:rFonts w:ascii="Arial" w:cs="Arial" w:eastAsia="Arial" w:hAnsi="Arial"/>
          <w:sz w:val="25"/>
          <w:szCs w:val="25"/>
          <w:b w:val="1"/>
          <w:bCs w:val="1"/>
          <w:color w:val="auto"/>
        </w:rPr>
        <w:t>UNDER THE GUIDEWIRE SOFTWARE, INC.</w:t>
      </w:r>
    </w:p>
    <w:p>
      <w:pPr>
        <w:jc w:val="center"/>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-17780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Pursuant to the Guidewire Software, Inc. Amended and Restated 2020 Stock Plan as amended through the date hereof (the “Plan”), Guidewire Software, Inc. (the “Company”) hereby grants an award of the number of Restricted Stock Units listed above (an “Award”) to the Grantee named above subject to the terms of this Global Restricted Stock Unit Award Agreement (the “RSU Agreement”), including any additional terms and conditions for the Grantee's country set forth in the appendix hereto (the “Appendix” and, together with the RSU Agreement, the "Agreement"). Each Restricted Stock Unit shall relate to one share of Common Stock (the “Stock”) of the Company. Capitalized terms in this Agreement shall have the meaning specified in the Plan, unless a different meaning is specified herein.</w:t>
      </w:r>
    </w:p>
    <w:p>
      <w:pPr>
        <w:spacing w:after="0" w:line="16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50"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[Subject to any Company leave of absence policy in effect, t]</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[T]he restrictions and conditions of Paragraph 1 of this RSU Agreement shall lapse on the Vesting Date or Dates specified in the following schedule so long as the Grantee continues to be employed with the Company or an Affiliate on such Dates. If a series of Vesting Dates is specified, then the restrictions and conditions in Paragraph 1 shall lapse only with respect to the number of Restricted Stock Units specified as vested on such date.</w:t>
      </w:r>
    </w:p>
    <w:p>
      <w:pPr>
        <w:spacing w:after="0" w:line="194" w:lineRule="exact"/>
        <w:rPr>
          <w:sz w:val="20"/>
          <w:szCs w:val="20"/>
          <w:color w:val="auto"/>
        </w:rPr>
      </w:pPr>
    </w:p>
    <w:p>
      <w:pPr>
        <w:jc w:val="center"/>
        <w:ind w:right="4800"/>
        <w:spacing w:after="0"/>
        <w:rPr>
          <w:sz w:val="20"/>
          <w:szCs w:val="20"/>
          <w:color w:val="auto"/>
        </w:rPr>
      </w:pPr>
      <w:r>
        <w:rPr>
          <w:rFonts w:ascii="Arial" w:cs="Arial" w:eastAsia="Arial" w:hAnsi="Arial"/>
          <w:sz w:val="22"/>
          <w:szCs w:val="22"/>
          <w:color w:val="auto"/>
        </w:rPr>
        <w:t>Incremental Number of</w:t>
      </w:r>
    </w:p>
    <w:p>
      <w:pPr>
        <w:jc w:val="center"/>
        <w:ind w:right="4800"/>
        <w:spacing w:after="0" w:line="195" w:lineRule="auto"/>
        <w:rPr>
          <w:sz w:val="20"/>
          <w:szCs w:val="20"/>
          <w:color w:val="auto"/>
        </w:rPr>
      </w:pPr>
      <w:r>
        <w:rPr>
          <w:rFonts w:ascii="Arial" w:cs="Arial" w:eastAsia="Arial" w:hAnsi="Arial"/>
          <w:sz w:val="22"/>
          <w:szCs w:val="22"/>
          <w:color w:val="auto"/>
        </w:rPr>
        <w:t>Restricted Stock Units Vested</w:t>
      </w:r>
    </w:p>
    <w:tbl>
      <w:tblPr>
        <w:tblLayout w:type="fixed"/>
        <w:tblInd w:w="1940" w:type="dxa"/>
        <w:tblCellMar>
          <w:top w:w="0" w:type="dxa"/>
          <w:left w:w="0" w:type="dxa"/>
          <w:bottom w:w="0" w:type="dxa"/>
          <w:right w:w="0" w:type="dxa"/>
        </w:tblCellMar>
      </w:tblPr>
      <w:tr>
        <w:trPr>
          <w:trHeight w:val="196"/>
        </w:trPr>
        <w:tc>
          <w:tcPr>
            <w:tcW w:w="258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color w:val="auto"/>
                <w:w w:val="88"/>
              </w:rPr>
              <w:t>Vesting Date</w:t>
            </w:r>
          </w:p>
        </w:tc>
        <w:tc>
          <w:tcPr>
            <w:tcW w:w="240" w:type="dxa"/>
            <w:vAlign w:val="bottom"/>
          </w:tcPr>
          <w:p>
            <w:pPr>
              <w:spacing w:after="0"/>
              <w:rPr>
                <w:sz w:val="17"/>
                <w:szCs w:val="17"/>
                <w:color w:val="auto"/>
              </w:rPr>
            </w:pPr>
          </w:p>
        </w:tc>
      </w:tr>
      <w:tr>
        <w:trPr>
          <w:trHeight w:val="29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r>
        <w:trPr>
          <w:trHeight w:val="27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r>
        <w:trPr>
          <w:trHeight w:val="27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r>
        <w:trPr>
          <w:trHeight w:val="28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3920" w:type="dxa"/>
            <w:vAlign w:val="bottom"/>
            <w:gridSpan w:val="3"/>
          </w:tcPr>
          <w:p>
            <w:pPr>
              <w:jc w:val="center"/>
              <w:ind w:left="2192"/>
              <w:spacing w:after="0"/>
              <w:rPr>
                <w:sz w:val="20"/>
                <w:szCs w:val="20"/>
                <w:color w:val="auto"/>
              </w:rPr>
            </w:pPr>
            <w:r>
              <w:rPr>
                <w:rFonts w:ascii="Arial" w:cs="Arial" w:eastAsia="Arial" w:hAnsi="Arial"/>
                <w:sz w:val="22"/>
                <w:szCs w:val="22"/>
                <w:b w:val="1"/>
                <w:bCs w:val="1"/>
                <w:color w:val="auto"/>
                <w:w w:val="88"/>
              </w:rPr>
              <w:t>_______________</w:t>
            </w:r>
          </w:p>
        </w:tc>
      </w:tr>
    </w:tbl>
    <w:p>
      <w:pPr>
        <w:spacing w:after="0" w:line="266"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Notwithstanding anything in this Agreement to the contrary, in the case of a Sale Event, the Restricted Stock Units shall be treated as provided in Section 3(c) of the Plan[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14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left="500" w:hanging="103"/>
        <w:spacing w:after="0"/>
        <w:tabs>
          <w:tab w:leader="none" w:pos="50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Include if LOA policy is in effect.</w:t>
      </w:r>
    </w:p>
    <w:p>
      <w:pPr>
        <w:sectPr>
          <w:pgSz w:w="11900" w:h="16838" w:orient="portrait"/>
          <w:cols w:equalWidth="0" w:num="1">
            <w:col w:w="11240"/>
          </w:cols>
          <w:pgMar w:left="320" w:top="1383" w:right="339" w:bottom="1440" w:gutter="0" w:footer="0" w:header="0"/>
        </w:sectPr>
      </w:pPr>
    </w:p>
    <w:bookmarkStart w:id="91" w:name="page92"/>
    <w:bookmarkEnd w:id="91"/>
    <w:p>
      <w:pPr>
        <w:ind w:right="840"/>
        <w:spacing w:after="0"/>
        <w:rPr>
          <w:sz w:val="20"/>
          <w:szCs w:val="20"/>
          <w:color w:val="auto"/>
        </w:rPr>
      </w:pPr>
      <w:r>
        <w:rPr>
          <w:rFonts w:ascii="Arial" w:cs="Arial" w:eastAsia="Arial" w:hAnsi="Arial"/>
          <w:sz w:val="22"/>
          <w:szCs w:val="22"/>
          <w:color w:val="auto"/>
        </w:rPr>
        <w:t>however that the Restricted Stock Units shall be subject to any executive agreement by and between the Grantee and the Company, as applicable (the “Executive Agreement”)]</w:t>
      </w:r>
      <w:r>
        <w:rPr>
          <w:rFonts w:ascii="Arial" w:cs="Arial" w:eastAsia="Arial" w:hAnsi="Arial"/>
          <w:sz w:val="28"/>
          <w:szCs w:val="28"/>
          <w:color w:val="auto"/>
          <w:vertAlign w:val="superscript"/>
        </w:rPr>
        <w:t>4</w:t>
      </w:r>
      <w:r>
        <w:rPr>
          <w:rFonts w:ascii="Arial" w:cs="Arial" w:eastAsia="Arial" w:hAnsi="Arial"/>
          <w:sz w:val="22"/>
          <w:szCs w:val="22"/>
          <w:color w:val="auto"/>
        </w:rPr>
        <w:t>.</w:t>
      </w:r>
    </w:p>
    <w:p>
      <w:pPr>
        <w:spacing w:after="0" w:line="73"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color w:val="auto"/>
        </w:rPr>
        <w:t>The Administrator may at any time accelerate the vesting schedule specified in this Paragraph 2 in circumstances involving the Grantee’s death or disability.</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Grantee’s employment with the Company or an Affiliate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For the avoidance of doubt, employment during only a period prior to a Vesting Date but where employment is terminated prior to the Vesting Date does not entitle the Grantee to vest in a pro-rata portion of the Award.</w:t>
      </w:r>
    </w:p>
    <w:p>
      <w:pPr>
        <w:spacing w:after="0" w:line="16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RSU Agreement on such date and the Grantee shall thereafter have all the rights of a stockholder of the Company with respect to such shares.</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Regardless of any action that the Company or, if different, the Affiliate which employs the Grantee (the “Employer”) takes with respect to any or all income tax, social insurance, fringe benefits tax, payroll tax, payment on account, or other tax-related items related to the Grantee’s participation in the Plan and legally applicable or deemed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this Award. Furthermore, if the Grantee has become subject to tax in more than one jurisdiction, the Grantee acknowledges that the Company and/or the Employer (or former employer, as applicable) may be required to withhold or account for Tax-Related Items in more than one jurisdiction.</w:t>
      </w:r>
    </w:p>
    <w:p>
      <w:pPr>
        <w:spacing w:after="0" w:line="16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5" w:lineRule="exact"/>
        <w:rPr>
          <w:sz w:val="20"/>
          <w:szCs w:val="20"/>
          <w:color w:val="auto"/>
        </w:rPr>
      </w:pPr>
    </w:p>
    <w:p>
      <w:pPr>
        <w:ind w:left="500" w:hanging="103"/>
        <w:spacing w:after="0"/>
        <w:tabs>
          <w:tab w:leader="none" w:pos="50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Include for execs with executive agreements.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92" w:name="page93"/>
    <w:bookmarkEnd w:id="92"/>
    <w:p>
      <w:pPr>
        <w:ind w:left="1940" w:hanging="636"/>
        <w:spacing w:after="0"/>
        <w:tabs>
          <w:tab w:leader="none" w:pos="19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requiring a cash payment by the Grantee to the Company and/or the Employer; or</w:t>
      </w:r>
    </w:p>
    <w:p>
      <w:pPr>
        <w:spacing w:after="0" w:line="179" w:lineRule="exact"/>
        <w:rPr>
          <w:rFonts w:ascii="Arial" w:cs="Arial" w:eastAsia="Arial" w:hAnsi="Arial"/>
          <w:sz w:val="22"/>
          <w:szCs w:val="22"/>
          <w:color w:val="auto"/>
        </w:rPr>
      </w:pPr>
    </w:p>
    <w:p>
      <w:pPr>
        <w:ind w:right="20" w:firstLine="1304"/>
        <w:spacing w:after="0" w:line="232" w:lineRule="auto"/>
        <w:tabs>
          <w:tab w:leader="none" w:pos="1939"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withholding from the Grantee’s wages or other cash compensation payable to him or her by the Company or any of its Affiliates; or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withholding from proceeds of the sale of shares of Stock acquired upon vesting and settlement of the Restricted Stock Units, either through a voluntary sale or through a mandatory sale arranged by the Company (on the Grantee’s behalf pursuant to this authorization without further consent); or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withholding shares of Stock to be issued upon vesting and settlement of the Restricted Stock Units; or</w:t>
      </w:r>
    </w:p>
    <w:p>
      <w:pPr>
        <w:spacing w:after="0" w:line="213" w:lineRule="exact"/>
        <w:rPr>
          <w:rFonts w:ascii="Arial" w:cs="Arial" w:eastAsia="Arial" w:hAnsi="Arial"/>
          <w:sz w:val="19"/>
          <w:szCs w:val="19"/>
          <w:color w:val="auto"/>
        </w:rPr>
      </w:pPr>
    </w:p>
    <w:p>
      <w:pPr>
        <w:ind w:right="20" w:firstLine="1304"/>
        <w:spacing w:after="0" w:line="232" w:lineRule="auto"/>
        <w:tabs>
          <w:tab w:leader="none" w:pos="1939"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other withholding method determined by the Company to be in compliance with applicable laws and permitted under the Plan.</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The Company may withhold or account for Tax-Related Items by considering applicable statutory withholding amounts or other withholding rates, including maximum applicable rates in the Grantee's jurisdiction(s). In the event of over-withholding, the Grantee may receive a refund of any over-withheld amount in cash through the Employer's normal payroll processes (with no entitlement to the equivalent in shares of Stock) or if not refunded, the Grantee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shares of Stock, the Grantee is deemed, for tax purposes, to have been issued the full number of shares of Stock subject to the vested Restricted Stock Units, notwithstanding that a number of the shares of Stock is held back solely for the purpose of paying the Tax-Related Items.</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Nature of Award</w:t>
      </w:r>
      <w:r>
        <w:rPr>
          <w:rFonts w:ascii="Arial" w:cs="Arial" w:eastAsia="Arial" w:hAnsi="Arial"/>
          <w:sz w:val="22"/>
          <w:szCs w:val="22"/>
          <w:color w:val="auto"/>
        </w:rPr>
        <w:t>. In accepting this Award, the Grantee acknowledges, understands, and agrees that:</w:t>
      </w:r>
    </w:p>
    <w:p>
      <w:pPr>
        <w:spacing w:after="0" w:line="179" w:lineRule="exact"/>
        <w:rPr>
          <w:sz w:val="20"/>
          <w:szCs w:val="20"/>
          <w:color w:val="auto"/>
        </w:rPr>
      </w:pPr>
    </w:p>
    <w:p>
      <w:pPr>
        <w:jc w:val="both"/>
        <w:ind w:left="660" w:firstLine="1292"/>
        <w:spacing w:after="0" w:line="257" w:lineRule="auto"/>
        <w:tabs>
          <w:tab w:leader="none" w:pos="2592"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Neither the Company nor any Affiliate is obligated by or as a result of the Plan or this Agreement to continue the Grantee’s employment or any other Service Relationship with the Company or an Affiliate and neither the Plan nor this Agreement shall interfere in any way with the right of the Company or any Affiliate to terminate the Grantee’s employment or any other Service Relationship with the Company or an Affiliate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93" w:name="page94"/>
    <w:bookmarkEnd w:id="93"/>
    <w:p>
      <w:pPr>
        <w:ind w:left="440" w:firstLine="1292"/>
        <w:spacing w:after="0" w:line="247" w:lineRule="auto"/>
        <w:tabs>
          <w:tab w:leader="none" w:pos="2378" w:val="left"/>
        </w:tabs>
        <w:numPr>
          <w:ilvl w:val="0"/>
          <w:numId w:val="50"/>
        </w:numPr>
        <w:rPr>
          <w:rFonts w:ascii="Arial" w:cs="Arial" w:eastAsia="Arial" w:hAnsi="Arial"/>
          <w:sz w:val="21"/>
          <w:szCs w:val="21"/>
          <w:color w:val="010000"/>
        </w:rPr>
      </w:pPr>
      <w:r>
        <w:rPr>
          <w:rFonts w:ascii="Arial" w:cs="Arial" w:eastAsia="Arial" w:hAnsi="Arial"/>
          <w:sz w:val="21"/>
          <w:szCs w:val="21"/>
          <w:color w:val="auto"/>
        </w:rPr>
        <w:t>the Plan is established voluntarily by the Company, is discretionary in nature and may be modified, amended, suspended, or terminated by the Company at any time, to the extent permitted by the Plan;</w:t>
      </w:r>
    </w:p>
    <w:p>
      <w:pPr>
        <w:spacing w:after="0" w:line="150" w:lineRule="exact"/>
        <w:rPr>
          <w:rFonts w:ascii="Arial" w:cs="Arial" w:eastAsia="Arial" w:hAnsi="Arial"/>
          <w:sz w:val="21"/>
          <w:szCs w:val="21"/>
          <w:color w:val="010000"/>
        </w:rPr>
      </w:pPr>
    </w:p>
    <w:p>
      <w:pPr>
        <w:ind w:left="440" w:firstLine="1292"/>
        <w:spacing w:after="0" w:line="298" w:lineRule="auto"/>
        <w:tabs>
          <w:tab w:leader="none" w:pos="2384"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the grant of this Award is exceptional, voluntary and occasional and does not create any contractual or other right to receive future Awards, or benefits in lieu of Awards, even if such grants have been made in the past;</w:t>
      </w:r>
    </w:p>
    <w:p>
      <w:pPr>
        <w:spacing w:after="0" w:line="105" w:lineRule="exact"/>
        <w:rPr>
          <w:rFonts w:ascii="Arial" w:cs="Arial" w:eastAsia="Arial" w:hAnsi="Arial"/>
          <w:sz w:val="19"/>
          <w:szCs w:val="19"/>
          <w:color w:val="010000"/>
        </w:rPr>
      </w:pPr>
    </w:p>
    <w:p>
      <w:pPr>
        <w:ind w:left="2360" w:hanging="628"/>
        <w:spacing w:after="0"/>
        <w:tabs>
          <w:tab w:leader="none" w:pos="2360"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all decisions with respect to future Awards, if any, will be at the sole discretion of the Company;</w:t>
      </w:r>
    </w:p>
    <w:p>
      <w:pPr>
        <w:spacing w:after="0" w:line="213" w:lineRule="exact"/>
        <w:rPr>
          <w:rFonts w:ascii="Arial" w:cs="Arial" w:eastAsia="Arial" w:hAnsi="Arial"/>
          <w:sz w:val="19"/>
          <w:szCs w:val="19"/>
          <w:color w:val="010000"/>
        </w:rPr>
      </w:pPr>
    </w:p>
    <w:p>
      <w:pPr>
        <w:ind w:left="2380" w:hanging="648"/>
        <w:spacing w:after="0"/>
        <w:tabs>
          <w:tab w:leader="none" w:pos="238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the Grantee’s participation in the Plan is voluntary;</w:t>
      </w:r>
    </w:p>
    <w:p>
      <w:pPr>
        <w:spacing w:after="0" w:line="179" w:lineRule="exact"/>
        <w:rPr>
          <w:rFonts w:ascii="Arial" w:cs="Arial" w:eastAsia="Arial" w:hAnsi="Arial"/>
          <w:sz w:val="22"/>
          <w:szCs w:val="22"/>
          <w:color w:val="010000"/>
        </w:rPr>
      </w:pPr>
    </w:p>
    <w:p>
      <w:pPr>
        <w:ind w:left="440" w:right="20" w:firstLine="1292"/>
        <w:spacing w:after="0" w:line="232" w:lineRule="auto"/>
        <w:tabs>
          <w:tab w:leader="none" w:pos="2372"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this Award and the shares of Stock subject to this Award, and the income from and value of the same, are not intended to replace any pension rights or compensation;</w:t>
      </w:r>
    </w:p>
    <w:p>
      <w:pPr>
        <w:spacing w:after="0" w:line="158" w:lineRule="exact"/>
        <w:rPr>
          <w:rFonts w:ascii="Arial" w:cs="Arial" w:eastAsia="Arial" w:hAnsi="Arial"/>
          <w:sz w:val="22"/>
          <w:szCs w:val="22"/>
          <w:color w:val="010000"/>
        </w:rPr>
      </w:pPr>
    </w:p>
    <w:p>
      <w:pPr>
        <w:jc w:val="both"/>
        <w:ind w:left="440" w:firstLine="1292"/>
        <w:spacing w:after="0" w:line="229" w:lineRule="auto"/>
        <w:tabs>
          <w:tab w:leader="none" w:pos="2378" w:val="left"/>
        </w:tabs>
        <w:numPr>
          <w:ilvl w:val="0"/>
          <w:numId w:val="50"/>
        </w:numPr>
        <w:rPr>
          <w:rFonts w:ascii="Arial" w:cs="Arial" w:eastAsia="Arial" w:hAnsi="Arial"/>
          <w:sz w:val="21"/>
          <w:szCs w:val="21"/>
          <w:color w:val="010000"/>
        </w:rPr>
      </w:pPr>
      <w:r>
        <w:rPr>
          <w:rFonts w:ascii="Arial" w:cs="Arial" w:eastAsia="Arial" w:hAnsi="Arial"/>
          <w:sz w:val="21"/>
          <w:szCs w:val="21"/>
          <w:color w:val="auto"/>
        </w:rPr>
        <w:t>this Award and the shares of Stock subject to this Award, and the income from and value of same, are not part of normal or expected compensation or salary for purposes of, including, without limitation, calculating any severance, resignation, termination, redundancy, dismissal, end-of-service payments, holiday pay, bonuses, long-service awards, pension or retirement or welfare benefits or similar payments;</w:t>
      </w:r>
    </w:p>
    <w:p>
      <w:pPr>
        <w:spacing w:after="0" w:line="200" w:lineRule="exact"/>
        <w:rPr>
          <w:rFonts w:ascii="Arial" w:cs="Arial" w:eastAsia="Arial" w:hAnsi="Arial"/>
          <w:sz w:val="21"/>
          <w:szCs w:val="21"/>
          <w:color w:val="010000"/>
        </w:rPr>
      </w:pPr>
    </w:p>
    <w:p>
      <w:pPr>
        <w:spacing w:after="0" w:line="200" w:lineRule="exact"/>
        <w:rPr>
          <w:rFonts w:ascii="Arial" w:cs="Arial" w:eastAsia="Arial" w:hAnsi="Arial"/>
          <w:sz w:val="21"/>
          <w:szCs w:val="21"/>
          <w:color w:val="010000"/>
        </w:rPr>
      </w:pPr>
    </w:p>
    <w:p>
      <w:pPr>
        <w:spacing w:after="0" w:line="217" w:lineRule="exact"/>
        <w:rPr>
          <w:rFonts w:ascii="Arial" w:cs="Arial" w:eastAsia="Arial" w:hAnsi="Arial"/>
          <w:sz w:val="21"/>
          <w:szCs w:val="21"/>
          <w:color w:val="010000"/>
        </w:rPr>
      </w:pPr>
    </w:p>
    <w:p>
      <w:pPr>
        <w:ind w:left="440" w:firstLine="1292"/>
        <w:spacing w:after="0" w:line="232" w:lineRule="auto"/>
        <w:tabs>
          <w:tab w:leader="none" w:pos="2384"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the future value of the shares of Stock subject to this Award is unknown, indeterminable and cannot be predicted with certainty;</w:t>
      </w:r>
    </w:p>
    <w:p>
      <w:pPr>
        <w:spacing w:after="0" w:line="158" w:lineRule="exact"/>
        <w:rPr>
          <w:rFonts w:ascii="Arial" w:cs="Arial" w:eastAsia="Arial" w:hAnsi="Arial"/>
          <w:sz w:val="22"/>
          <w:szCs w:val="22"/>
          <w:color w:val="010000"/>
        </w:rPr>
      </w:pPr>
    </w:p>
    <w:p>
      <w:pPr>
        <w:ind w:left="440" w:right="20" w:firstLine="1292"/>
        <w:spacing w:after="0" w:line="232" w:lineRule="auto"/>
        <w:tabs>
          <w:tab w:leader="none" w:pos="2372"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if the Grantee is issued shares of Stock in settlement of this Award, the value of the shares of Stock acquired may increase or decrease in value;</w:t>
      </w:r>
    </w:p>
    <w:p>
      <w:pPr>
        <w:spacing w:after="0" w:line="158" w:lineRule="exact"/>
        <w:rPr>
          <w:rFonts w:ascii="Arial" w:cs="Arial" w:eastAsia="Arial" w:hAnsi="Arial"/>
          <w:sz w:val="22"/>
          <w:szCs w:val="22"/>
          <w:color w:val="010000"/>
        </w:rPr>
      </w:pPr>
    </w:p>
    <w:p>
      <w:pPr>
        <w:jc w:val="both"/>
        <w:ind w:left="440" w:firstLine="1292"/>
        <w:spacing w:after="0" w:line="218" w:lineRule="auto"/>
        <w:tabs>
          <w:tab w:leader="none" w:pos="2379"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any portion of this Award resulting from termination of the Grantee’s employment (for any reason whatsoever, whether or not later found to be invalid or in breach of employment laws in the jurisdiction where the Grantee renders service or the terms of the Grantee’s employment agreement, if any);</w:t>
      </w:r>
    </w:p>
    <w:p>
      <w:pPr>
        <w:spacing w:after="0" w:line="160" w:lineRule="exact"/>
        <w:rPr>
          <w:rFonts w:ascii="Arial" w:cs="Arial" w:eastAsia="Arial" w:hAnsi="Arial"/>
          <w:sz w:val="22"/>
          <w:szCs w:val="22"/>
          <w:color w:val="010000"/>
        </w:rPr>
      </w:pPr>
    </w:p>
    <w:p>
      <w:pPr>
        <w:jc w:val="both"/>
        <w:ind w:left="440" w:firstLine="1292"/>
        <w:spacing w:after="0" w:line="244" w:lineRule="auto"/>
        <w:tabs>
          <w:tab w:leader="none" w:pos="2372"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for purposes of the Award, the Grantee’s employment will be considered terminated as of the date the Grantee is no longer actively providing services (regardless of the reason for such termination and whether or not later found to be invalid or in breach of employment laws in the jurisdiction where the Grantee renders service or the terms of the Grantee’s employment agreement, if any), and unless otherwise expressly provided in this Agreement or determined by the Company, the Grantee’s right to continue to vest in the Restricted Stock Units, if any, will terminate effective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any contractual notice period or any period of “garden leave” or similar period mandated under employment laws in the jurisdiction where Grantee renders service or the terms of the Grantee’s employment agreement, if any); the Committee shall have the exclusive discretion to determine when the Grantee’s active employment is terminated for purposes of this Award (including whether the Grantee may still be considered to actively be providing services while on a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401" w:right="339" w:bottom="1440" w:gutter="0" w:footer="0" w:header="0"/>
        </w:sectPr>
      </w:pPr>
    </w:p>
    <w:bookmarkStart w:id="94" w:name="page95"/>
    <w:bookmarkEnd w:id="94"/>
    <w:p>
      <w:pPr>
        <w:jc w:val="both"/>
        <w:ind w:left="660" w:firstLine="1292"/>
        <w:spacing w:after="0" w:line="223" w:lineRule="auto"/>
        <w:tabs>
          <w:tab w:leader="none" w:pos="2598"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Restricted Stock Units and the shares of Stock subject to this Award, and the income from and value of the same, are not granted as consideration for, or in connection with, the service the Grantee may provide as a director of an Affiliate;</w:t>
      </w:r>
    </w:p>
    <w:p>
      <w:pPr>
        <w:spacing w:after="0" w:line="158" w:lineRule="exact"/>
        <w:rPr>
          <w:rFonts w:ascii="Arial" w:cs="Arial" w:eastAsia="Arial" w:hAnsi="Arial"/>
          <w:sz w:val="22"/>
          <w:szCs w:val="22"/>
          <w:color w:val="010000"/>
        </w:rPr>
      </w:pPr>
    </w:p>
    <w:p>
      <w:pPr>
        <w:jc w:val="both"/>
        <w:ind w:left="660" w:right="20" w:firstLine="1292"/>
        <w:spacing w:after="0" w:line="229" w:lineRule="auto"/>
        <w:tabs>
          <w:tab w:leader="none" w:pos="2604"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spacing w:after="0" w:line="158" w:lineRule="exact"/>
        <w:rPr>
          <w:rFonts w:ascii="Arial" w:cs="Arial" w:eastAsia="Arial" w:hAnsi="Arial"/>
          <w:sz w:val="21"/>
          <w:szCs w:val="21"/>
          <w:color w:val="010000"/>
        </w:rPr>
      </w:pPr>
    </w:p>
    <w:p>
      <w:pPr>
        <w:ind w:left="2580" w:hanging="628"/>
        <w:spacing w:after="0"/>
        <w:tabs>
          <w:tab w:leader="none" w:pos="2580"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the following provisions apply only if the Grantee is providing services outside the United States:</w:t>
      </w:r>
    </w:p>
    <w:p>
      <w:pPr>
        <w:spacing w:after="0" w:line="213" w:lineRule="exact"/>
        <w:rPr>
          <w:rFonts w:ascii="Arial" w:cs="Arial" w:eastAsia="Arial" w:hAnsi="Arial"/>
          <w:sz w:val="19"/>
          <w:szCs w:val="19"/>
          <w:color w:val="010000"/>
        </w:rPr>
      </w:pPr>
    </w:p>
    <w:p>
      <w:pPr>
        <w:ind w:left="1300" w:firstLine="1300"/>
        <w:spacing w:after="0" w:line="298" w:lineRule="auto"/>
        <w:tabs>
          <w:tab w:leader="none" w:pos="3239"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Restricted Stock Units and the shares of Stock subject to the Award and the income from and value of the same, are not part of normal or expected compensation or salary for any purpose;</w:t>
      </w:r>
    </w:p>
    <w:p>
      <w:pPr>
        <w:spacing w:after="0" w:line="105" w:lineRule="exact"/>
        <w:rPr>
          <w:rFonts w:ascii="Arial" w:cs="Arial" w:eastAsia="Arial" w:hAnsi="Arial"/>
          <w:sz w:val="19"/>
          <w:szCs w:val="19"/>
          <w:color w:val="auto"/>
        </w:rPr>
      </w:pPr>
    </w:p>
    <w:p>
      <w:pPr>
        <w:jc w:val="both"/>
        <w:ind w:left="1300" w:firstLine="1300"/>
        <w:spacing w:after="0" w:line="229" w:lineRule="auto"/>
        <w:tabs>
          <w:tab w:leader="none" w:pos="3239" w:val="left"/>
        </w:tabs>
        <w:numPr>
          <w:ilvl w:val="1"/>
          <w:numId w:val="51"/>
        </w:numPr>
        <w:rPr>
          <w:rFonts w:ascii="Arial" w:cs="Arial" w:eastAsia="Arial" w:hAnsi="Arial"/>
          <w:sz w:val="21"/>
          <w:szCs w:val="21"/>
          <w:color w:val="auto"/>
        </w:rPr>
      </w:pPr>
      <w:r>
        <w:rPr>
          <w:rFonts w:ascii="Arial" w:cs="Arial" w:eastAsia="Arial" w:hAnsi="Arial"/>
          <w:sz w:val="21"/>
          <w:szCs w:val="21"/>
          <w:color w:val="auto"/>
        </w:rPr>
        <w:t>neither the Company, the Employer nor any other Affiliate shall be liable for any foreign exchange rate fluctuation between the Grantee’s local currency and the U.S. Dollar that may affect the value of the Restricted Stock Units or of any amounts due to the Grantee pursuant to the settlement of the Restricted Stock Units or the subsequent sale of any shares of Stock acquired upon settlement.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Award and supersede[s] all prior agreements and discussions between the parties concerning such subject matter.</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or comparable non-US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95" w:name="page96"/>
    <w:bookmarkEnd w:id="95"/>
    <w:p>
      <w:pPr>
        <w:spacing w:after="0" w:line="232" w:lineRule="auto"/>
        <w:rPr>
          <w:sz w:val="20"/>
          <w:szCs w:val="20"/>
          <w:color w:val="auto"/>
        </w:rPr>
      </w:pPr>
      <w:r>
        <w:rPr>
          <w:rFonts w:ascii="Arial" w:cs="Arial" w:eastAsia="Arial" w:hAnsi="Arial"/>
          <w:sz w:val="22"/>
          <w:szCs w:val="22"/>
          <w:color w:val="auto"/>
        </w:rPr>
        <w:t>principal executive office and to the Grantee at the address that he or she most recently provided to the Company in accordance with this Paragraph.</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21" w:lineRule="auto"/>
        <w:tabs>
          <w:tab w:leader="none" w:pos="2022"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Governing Law; Choice of Venue</w:t>
      </w:r>
      <w:r>
        <w:rPr>
          <w:rFonts w:ascii="Arial" w:cs="Arial" w:eastAsia="Arial" w:hAnsi="Arial"/>
          <w:sz w:val="21"/>
          <w:szCs w:val="21"/>
          <w:color w:val="auto"/>
        </w:rPr>
        <w:t>. The Award and the provisions of this Agreement shall be governed by 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Award is made and/or to be performed.</w:t>
      </w:r>
    </w:p>
    <w:p>
      <w:pPr>
        <w:spacing w:after="0" w:line="158" w:lineRule="exact"/>
        <w:rPr>
          <w:rFonts w:ascii="Arial" w:cs="Arial" w:eastAsia="Arial" w:hAnsi="Arial"/>
          <w:sz w:val="21"/>
          <w:szCs w:val="21"/>
          <w:color w:val="auto"/>
        </w:rPr>
      </w:pPr>
    </w:p>
    <w:p>
      <w:pPr>
        <w:jc w:val="both"/>
        <w:ind w:firstLine="1304"/>
        <w:spacing w:after="0" w:line="257" w:lineRule="auto"/>
        <w:tabs>
          <w:tab w:leader="none" w:pos="1939" w:val="left"/>
        </w:tabs>
        <w:numPr>
          <w:ilvl w:val="0"/>
          <w:numId w:val="52"/>
        </w:numPr>
        <w:rPr>
          <w:rFonts w:ascii="Arial" w:cs="Arial" w:eastAsia="Arial" w:hAnsi="Arial"/>
          <w:sz w:val="19"/>
          <w:szCs w:val="19"/>
          <w:color w:val="010000"/>
        </w:rPr>
      </w:pPr>
      <w:r>
        <w:rPr>
          <w:rFonts w:ascii="Arial" w:cs="Arial" w:eastAsia="Arial" w:hAnsi="Arial"/>
          <w:sz w:val="19"/>
          <w:szCs w:val="19"/>
          <w:u w:val="single" w:color="auto"/>
          <w:color w:val="auto"/>
        </w:rPr>
        <w:t>Language</w:t>
      </w:r>
      <w:r>
        <w:rPr>
          <w:rFonts w:ascii="Arial" w:cs="Arial" w:eastAsia="Arial" w:hAnsi="Arial"/>
          <w:sz w:val="19"/>
          <w:szCs w:val="19"/>
          <w:color w:val="auto"/>
        </w:rPr>
        <w:t>. The Grantee acknowledges that he or she is proficient in the English language, or has consulted with an advisor who is sufficiently proficient in English, so as to allow the Grantee to understand the terms and conditions of this Agreement. If the Grantee receives the Agreement or any other document related to the Plan translated into a language other than English and if the meaning of the translated version is different than the English version, the English version will control.</w:t>
      </w:r>
    </w:p>
    <w:p>
      <w:pPr>
        <w:spacing w:after="0" w:line="144" w:lineRule="exact"/>
        <w:rPr>
          <w:rFonts w:ascii="Arial" w:cs="Arial" w:eastAsia="Arial" w:hAnsi="Arial"/>
          <w:sz w:val="19"/>
          <w:szCs w:val="19"/>
          <w:color w:val="010000"/>
        </w:rPr>
      </w:pPr>
    </w:p>
    <w:p>
      <w:pPr>
        <w:jc w:val="both"/>
        <w:ind w:firstLine="1304"/>
        <w:spacing w:after="0" w:line="223" w:lineRule="auto"/>
        <w:tabs>
          <w:tab w:leader="none" w:pos="1941" w:val="left"/>
        </w:tabs>
        <w:numPr>
          <w:ilvl w:val="0"/>
          <w:numId w:val="52"/>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nevertheless shall be binding and enforceable.</w:t>
      </w:r>
    </w:p>
    <w:p>
      <w:pPr>
        <w:spacing w:after="0" w:line="158" w:lineRule="exact"/>
        <w:rPr>
          <w:rFonts w:ascii="Arial" w:cs="Arial" w:eastAsia="Arial" w:hAnsi="Arial"/>
          <w:sz w:val="22"/>
          <w:szCs w:val="22"/>
          <w:color w:val="010000"/>
        </w:rPr>
      </w:pPr>
    </w:p>
    <w:p>
      <w:pPr>
        <w:jc w:val="both"/>
        <w:ind w:firstLine="1304"/>
        <w:spacing w:after="0" w:line="226" w:lineRule="auto"/>
        <w:tabs>
          <w:tab w:leader="none" w:pos="1939" w:val="left"/>
        </w:tabs>
        <w:numPr>
          <w:ilvl w:val="0"/>
          <w:numId w:val="52"/>
        </w:numPr>
        <w:rPr>
          <w:rFonts w:ascii="Arial" w:cs="Arial" w:eastAsia="Arial" w:hAnsi="Arial"/>
          <w:sz w:val="21"/>
          <w:szCs w:val="21"/>
          <w:color w:val="010000"/>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 provisions in this RSU Agreement, this Award shall be subject to any additional terms and conditions set forth in any Appendix to this Agreement for the Grantee’s country. Moreover, if the Grantee relocates to one of the countries included in the Appendix, the additional terms and conditions for such country will apply to the Grantee, to the extent that the Company determines that the application of such terms and conditions is necessary or advisable for legal or administrative reasons. The Appendix constitutes part of this Agreement.</w:t>
      </w:r>
    </w:p>
    <w:p>
      <w:pPr>
        <w:spacing w:after="0" w:line="159" w:lineRule="exact"/>
        <w:rPr>
          <w:rFonts w:ascii="Arial" w:cs="Arial" w:eastAsia="Arial" w:hAnsi="Arial"/>
          <w:sz w:val="21"/>
          <w:szCs w:val="21"/>
          <w:color w:val="010000"/>
        </w:rPr>
      </w:pPr>
    </w:p>
    <w:p>
      <w:pPr>
        <w:jc w:val="both"/>
        <w:ind w:firstLine="1304"/>
        <w:spacing w:after="0" w:line="229" w:lineRule="auto"/>
        <w:tabs>
          <w:tab w:leader="none" w:pos="1941" w:val="left"/>
        </w:tabs>
        <w:numPr>
          <w:ilvl w:val="0"/>
          <w:numId w:val="52"/>
        </w:numPr>
        <w:rPr>
          <w:rFonts w:ascii="Arial" w:cs="Arial" w:eastAsia="Arial" w:hAnsi="Arial"/>
          <w:sz w:val="21"/>
          <w:szCs w:val="21"/>
          <w:color w:val="010000"/>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the Grantee’s participation in the Plan, on this Award and on any shares of Stock acquired under the Plan, to the extent that the Company determines that it is necessary or advisable for legal or administrative reasons, and to require the Grantee to sign any additional agreements or undertakings that may be necessary to accomplish the foregoing.</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944" w:val="left"/>
        </w:tabs>
        <w:numPr>
          <w:ilvl w:val="0"/>
          <w:numId w:val="52"/>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of this Agreement.</w:t>
      </w:r>
    </w:p>
    <w:p>
      <w:pPr>
        <w:spacing w:after="0" w:line="158" w:lineRule="exact"/>
        <w:rPr>
          <w:rFonts w:ascii="Arial" w:cs="Arial" w:eastAsia="Arial" w:hAnsi="Arial"/>
          <w:sz w:val="22"/>
          <w:szCs w:val="22"/>
          <w:color w:val="010000"/>
        </w:rPr>
      </w:pPr>
    </w:p>
    <w:p>
      <w:pPr>
        <w:jc w:val="both"/>
        <w:ind w:firstLine="1304"/>
        <w:spacing w:after="0" w:line="249" w:lineRule="auto"/>
        <w:tabs>
          <w:tab w:leader="none" w:pos="1939" w:val="left"/>
        </w:tabs>
        <w:numPr>
          <w:ilvl w:val="0"/>
          <w:numId w:val="52"/>
        </w:numPr>
        <w:rPr>
          <w:rFonts w:ascii="Arial" w:cs="Arial" w:eastAsia="Arial" w:hAnsi="Arial"/>
          <w:sz w:val="19"/>
          <w:szCs w:val="19"/>
          <w:color w:val="010000"/>
        </w:rPr>
      </w:pPr>
      <w:r>
        <w:rPr>
          <w:rFonts w:ascii="Arial" w:cs="Arial" w:eastAsia="Arial" w:hAnsi="Arial"/>
          <w:sz w:val="19"/>
          <w:szCs w:val="19"/>
          <w:u w:val="single" w:color="auto"/>
          <w:color w:val="auto"/>
        </w:rPr>
        <w:t>No Advice Regarding Award</w:t>
      </w:r>
      <w:r>
        <w:rPr>
          <w:rFonts w:ascii="Arial" w:cs="Arial" w:eastAsia="Arial" w:hAnsi="Arial"/>
          <w:sz w:val="19"/>
          <w:szCs w:val="19"/>
          <w:color w:val="auto"/>
        </w:rPr>
        <w:t>. The Company is not providing any tax, legal, or financial advice, nor is the Company making any recommendations regarding the Grantee’s participation in the Plan, or his or her acquisition or sale of the shares of Stock subject to this Award. The Grantee is solely responsible for taking all appropriate legal advice, notably concerning U.S. and local country tax and social insurance regulations, when signing this Agreement, or selling the shares of Stock acquired upon settlement of the Award, or more generally when making any decision in relation with this Award, this Agreement or otherwise under the Plan. The Company does not represent or guarantee that the Grantee may benefit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96" w:name="page97"/>
    <w:bookmarkEnd w:id="96"/>
    <w:p>
      <w:pPr>
        <w:jc w:val="both"/>
        <w:spacing w:after="0" w:line="234" w:lineRule="auto"/>
        <w:rPr>
          <w:sz w:val="20"/>
          <w:szCs w:val="20"/>
          <w:color w:val="auto"/>
        </w:rPr>
      </w:pPr>
      <w:r>
        <w:rPr>
          <w:rFonts w:ascii="Arial" w:cs="Arial" w:eastAsia="Arial" w:hAnsi="Arial"/>
          <w:sz w:val="21"/>
          <w:szCs w:val="21"/>
          <w:color w:val="auto"/>
        </w:rPr>
        <w:t>specific provisions under said regulations and the Grantee shall on his or her own efforts receive proper information in this respect. The Grantee understands and agrees that he or she should consult with his or her personal tax, legal, and financial advisors regarding his or her participation in the Plan before taking any action related to the Plan.</w:t>
      </w:r>
    </w:p>
    <w:p>
      <w:pPr>
        <w:spacing w:after="0" w:line="158" w:lineRule="exact"/>
        <w:rPr>
          <w:sz w:val="20"/>
          <w:szCs w:val="20"/>
          <w:color w:val="auto"/>
        </w:rPr>
      </w:pPr>
    </w:p>
    <w:p>
      <w:pPr>
        <w:jc w:val="both"/>
        <w:ind w:firstLine="1304"/>
        <w:spacing w:after="0" w:line="249" w:lineRule="auto"/>
        <w:tabs>
          <w:tab w:leader="none" w:pos="1939"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Electronic Delivery of Documents</w:t>
      </w:r>
      <w:r>
        <w:rPr>
          <w:rFonts w:ascii="Arial" w:cs="Arial" w:eastAsia="Arial" w:hAnsi="Arial"/>
          <w:sz w:val="19"/>
          <w:szCs w:val="19"/>
          <w:color w:val="auto"/>
        </w:rPr>
        <w:t>. The Grantee agrees that the Company may decide, in its sole discretion, to deliver by email or other electronic means any documents relating to the Plan or this Award (including, without limitation, a copy of the Plan)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spacing w:after="0" w:line="151" w:lineRule="exact"/>
        <w:rPr>
          <w:rFonts w:ascii="Arial" w:cs="Arial" w:eastAsia="Arial" w:hAnsi="Arial"/>
          <w:sz w:val="19"/>
          <w:szCs w:val="19"/>
          <w:color w:val="010000"/>
        </w:rPr>
      </w:pPr>
    </w:p>
    <w:p>
      <w:pPr>
        <w:jc w:val="both"/>
        <w:ind w:firstLine="1304"/>
        <w:spacing w:after="0" w:line="247" w:lineRule="auto"/>
        <w:tabs>
          <w:tab w:leader="none" w:pos="1932"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Insider-Trading/Market-Abuse Laws</w:t>
      </w:r>
      <w:r>
        <w:rPr>
          <w:rFonts w:ascii="Arial" w:cs="Arial" w:eastAsia="Arial" w:hAnsi="Arial"/>
          <w:sz w:val="19"/>
          <w:szCs w:val="19"/>
          <w:color w:val="auto"/>
        </w:rPr>
        <w:t>. The Grantee acknowledges that, depending on his or her country, he or she may be subject to insider-trading restrictions and/or market-abuse laws, which may affect the Grantee’s ability to purchase or sell shares of Stock acquired under the Plan during such times as the Grantee is considered to have “inside information” regarding the Company (as defined by the laws in the Grantee’s country). Any restrictions under these laws or regulations are separate from and in addition to any restrictions that may be imposed under any applicable Company insider-trading policy. The Grantee is responsible for complying with any applicable restrictions and is advised to speak to his or her personal legal advisor for further details regarding any applicable insider-trading and/or market-abuse laws in the Grantee’s country.</w:t>
      </w:r>
    </w:p>
    <w:p>
      <w:pPr>
        <w:spacing w:after="0" w:line="153" w:lineRule="exact"/>
        <w:rPr>
          <w:rFonts w:ascii="Arial" w:cs="Arial" w:eastAsia="Arial" w:hAnsi="Arial"/>
          <w:sz w:val="19"/>
          <w:szCs w:val="19"/>
          <w:color w:val="010000"/>
        </w:rPr>
      </w:pPr>
    </w:p>
    <w:p>
      <w:pPr>
        <w:jc w:val="both"/>
        <w:ind w:firstLine="1304"/>
        <w:spacing w:after="0" w:line="221" w:lineRule="auto"/>
        <w:tabs>
          <w:tab w:leader="none" w:pos="1932" w:val="left"/>
        </w:tabs>
        <w:numPr>
          <w:ilvl w:val="0"/>
          <w:numId w:val="53"/>
        </w:numPr>
        <w:rPr>
          <w:rFonts w:ascii="Arial" w:cs="Arial" w:eastAsia="Arial" w:hAnsi="Arial"/>
          <w:sz w:val="21"/>
          <w:szCs w:val="21"/>
          <w:color w:val="010000"/>
        </w:rPr>
      </w:pPr>
      <w:r>
        <w:rPr>
          <w:rFonts w:ascii="Arial" w:cs="Arial" w:eastAsia="Arial" w:hAnsi="Arial"/>
          <w:sz w:val="21"/>
          <w:szCs w:val="21"/>
          <w:u w:val="single" w:color="auto"/>
          <w:color w:val="auto"/>
        </w:rPr>
        <w:t>Foreign Asset/Account Reporting Requirements; Exchange Controls</w:t>
      </w:r>
      <w:r>
        <w:rPr>
          <w:rFonts w:ascii="Arial" w:cs="Arial" w:eastAsia="Arial" w:hAnsi="Arial"/>
          <w:sz w:val="21"/>
          <w:szCs w:val="21"/>
          <w:color w:val="auto"/>
        </w:rPr>
        <w:t>. The Grantee acknowledges that his or her country may have certain foreign asset and/or foreign account reporting requirements and exchange controls which may affect his or her ability to acquire or hold shares of Stock acquired under the Plan or cash received from participating in the Plan (including from any dividends paid on shares of Stock acquired under the Plan) in a brokerage or bank account outside his or her country. The Grantee may be required to report such accounts, assets or transactions to the tax or other authorities in his or her country. The Grantee also may be required to repatriate sale proceeds or other funds received as a result of his or her participation in the Plan to his or her country through a designated bank or broker within a certain time after receipt. The Grantee acknowledges that it is his or her responsibility to be compliant with such regulations and is encouraged to consult his or her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255905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530225</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804545</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40"/>
          </w:cols>
          <w:pgMar w:left="320" w:top="1395" w:right="839" w:bottom="1440" w:gutter="0" w:footer="0" w:header="0"/>
        </w:sectPr>
      </w:pPr>
    </w:p>
    <w:bookmarkStart w:id="98" w:name="page99"/>
    <w:bookmarkEnd w:id="98"/>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APPENDIX TO</w:t>
      </w:r>
    </w:p>
    <w:p>
      <w:pPr>
        <w:spacing w:after="0" w:line="58"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GLOBAL RESTRICTED STOCK UNIT AWARD AGREEMENT</w:t>
      </w:r>
    </w:p>
    <w:p>
      <w:pPr>
        <w:jc w:val="center"/>
        <w:spacing w:after="0" w:line="204" w:lineRule="auto"/>
        <w:rPr>
          <w:sz w:val="20"/>
          <w:szCs w:val="20"/>
          <w:color w:val="auto"/>
        </w:rPr>
      </w:pPr>
      <w:r>
        <w:rPr>
          <w:rFonts w:ascii="Arial" w:cs="Arial" w:eastAsia="Arial" w:hAnsi="Arial"/>
          <w:sz w:val="22"/>
          <w:szCs w:val="22"/>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GUIDEWIRE SOFTWARE, INC. AMENDED AND RESTATED 2020 STOCK PLAN</w:t>
      </w:r>
    </w:p>
    <w:p>
      <w:pPr>
        <w:spacing w:after="0" w:line="296" w:lineRule="exact"/>
        <w:rPr>
          <w:sz w:val="20"/>
          <w:szCs w:val="20"/>
          <w:color w:val="auto"/>
        </w:rPr>
      </w:pPr>
    </w:p>
    <w:p>
      <w:pPr>
        <w:ind w:right="240"/>
        <w:spacing w:after="0" w:line="232" w:lineRule="auto"/>
        <w:rPr>
          <w:sz w:val="20"/>
          <w:szCs w:val="20"/>
          <w:color w:val="auto"/>
        </w:rPr>
      </w:pPr>
      <w:r>
        <w:rPr>
          <w:rFonts w:ascii="Arial" w:cs="Arial" w:eastAsia="Arial" w:hAnsi="Arial"/>
          <w:sz w:val="22"/>
          <w:szCs w:val="22"/>
          <w:color w:val="auto"/>
        </w:rPr>
        <w:t>Certain capitalized terms used but not defined in this Appendix have the meanings set forth in the Global Restricted Stock Unit Award Agreement (the “RSU Agreement”) or, if not defined therein, the Plan.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Appendix, which is part of the Agreement, includes additional terms and conditions that govern the Restricted Stock Units and that will apply to the Grantee if he or she resides and/or works in one of the countries listed below. If the Grantee is a citizen or resident of a country other than the one in which the Grantee resides and/or works, is considered a resident of another country for local law purposes or transfers employment and/or residency between countries after the Grant Date, the Company, in its discretion, will determine to what extent terms and conditions contained herein shall be applicable to the Grantee.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This Appendix also includes information regarding securities, exchange control and certain other issues of which the Grantee should be aware with respect to his or her participation in the Plan. The information is based on the securities, exchange control and other laws in effect in the respective countries as of </w:t>
      </w:r>
      <w:r>
        <w:rPr>
          <w:rFonts w:ascii="Arial" w:cs="Arial" w:eastAsia="Arial" w:hAnsi="Arial"/>
          <w:sz w:val="19"/>
          <w:szCs w:val="19"/>
          <w:b w:val="1"/>
          <w:bCs w:val="1"/>
          <w:color w:val="auto"/>
        </w:rPr>
        <w:t>June 2022</w:t>
      </w:r>
      <w:r>
        <w:rPr>
          <w:rFonts w:ascii="Arial" w:cs="Arial" w:eastAsia="Arial" w:hAnsi="Arial"/>
          <w:sz w:val="19"/>
          <w:szCs w:val="19"/>
          <w:color w:val="auto"/>
        </w:rPr>
        <w:t>. Such laws are often complex and change frequently. As a result, the Grantee should not rely on the information in this Appendix as the only source of information relating to the consequences of his or her participation in the Plan because such information may be outdated when the Restricted Stock Units become vested and/or when any shares of Stock acquired upon vesting and settlement are sold.</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the information contained herein is general in nature and may not apply to the Grantee’s particular situation. As a result, the Company is not in a position to assure the Grantee of any particular result. The Grantee therefore should to seek appropriate professional advice as to how the relevant laws in his or her country may apply to his or her particular situation.</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Finally, if the Grantee is a citizen or resident of a country other than the one in which the Grantee resides and/or works, is considered a resident of another country for local law purposes or transfers employment and/or residency between countries after the Grant Date, then the notifications contained herein may not apply to him or her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ALL NON-U.S.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 Consent</w:t>
      </w:r>
      <w:r>
        <w:rPr>
          <w:rFonts w:ascii="Arial" w:cs="Arial" w:eastAsia="Arial" w:hAnsi="Arial"/>
          <w:sz w:val="22"/>
          <w:szCs w:val="22"/>
          <w:color w:val="auto"/>
        </w:rPr>
        <w:t>. The following provision replaces Paragraph 10 of the RSU Agreement:</w:t>
      </w: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u w:val="single" w:color="auto"/>
          <w:color w:val="auto"/>
        </w:rPr>
        <w:t>Consent to Personal Data Processing and Transfer</w:t>
      </w:r>
      <w:r>
        <w:rPr>
          <w:rFonts w:ascii="Arial" w:cs="Arial" w:eastAsia="Arial" w:hAnsi="Arial"/>
          <w:sz w:val="19"/>
          <w:szCs w:val="19"/>
          <w:b w:val="1"/>
          <w:bCs w:val="1"/>
          <w:i w:val="1"/>
          <w:iCs w:val="1"/>
          <w:color w:val="auto"/>
        </w:rPr>
        <w:t>. By accepting the Award via the Company’s acceptance procedure, the Grantee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9" w:lineRule="exact"/>
        <w:rPr>
          <w:sz w:val="20"/>
          <w:szCs w:val="20"/>
          <w:color w:val="auto"/>
        </w:rPr>
      </w:pPr>
    </w:p>
    <w:p>
      <w:pPr>
        <w:jc w:val="both"/>
        <w:ind w:firstLine="1304"/>
        <w:spacing w:after="0" w:line="252" w:lineRule="auto"/>
        <w:tabs>
          <w:tab w:leader="none" w:pos="2022" w:val="left"/>
        </w:tabs>
        <w:numPr>
          <w:ilvl w:val="1"/>
          <w:numId w:val="5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The Grantee understands that the Grantee must review the following information about the processing of the Grantee’s personal data by or on behalf of the Company and its Affiliates as described in this Agreement and any materials related to the Award (the “Personal Data”) and declare his or her consent. As regards the processing of the Grantee’s Personal Data in connection with the Plan and this Agreement, the Grantee understands that the Company is the controller of the Grantee’s Personal Data.</w:t>
      </w:r>
    </w:p>
    <w:p>
      <w:pPr>
        <w:spacing w:after="0" w:line="148" w:lineRule="exact"/>
        <w:rPr>
          <w:rFonts w:ascii="Arial" w:cs="Arial" w:eastAsia="Arial" w:hAnsi="Arial"/>
          <w:sz w:val="19"/>
          <w:szCs w:val="19"/>
          <w:color w:val="auto"/>
        </w:rPr>
      </w:pPr>
    </w:p>
    <w:p>
      <w:pPr>
        <w:jc w:val="both"/>
        <w:ind w:firstLine="494"/>
        <w:spacing w:after="0" w:line="246" w:lineRule="auto"/>
        <w:tabs>
          <w:tab w:leader="none" w:pos="1291" w:val="left"/>
        </w:tabs>
        <w:numPr>
          <w:ilvl w:val="0"/>
          <w:numId w:val="5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xml:space="preserve"> The Company collects, uses and otherwise processes Personal Data about the Grantee for purposes of allocating shares of Stock and implementing, administering and managing the Plan. The Personal Data processed by the Company includes, without limitation, the Grantee’s name, home address and telephone number, email address, date of birth, social insurance number, passport number or other identification number (e.g., resident registration number), salary, nationality, job title, any shares of stock or directorships held in the Company or its Affiliates, details of all Awards or any other entitlement to shares of stock or equivalent benefits awarded, canceled, exercised, vested, unvested or outstanding in the Grantee’s favor. The legal basis for the processing of the Grantee’s Personal Data, where required, is the Grantee’s consent.</w:t>
      </w:r>
    </w:p>
    <w:p>
      <w:pPr>
        <w:spacing w:after="0" w:line="152" w:lineRule="exact"/>
        <w:rPr>
          <w:rFonts w:ascii="Arial" w:cs="Arial" w:eastAsia="Arial" w:hAnsi="Arial"/>
          <w:sz w:val="19"/>
          <w:szCs w:val="19"/>
          <w:color w:val="auto"/>
        </w:rPr>
      </w:pPr>
    </w:p>
    <w:p>
      <w:pPr>
        <w:jc w:val="both"/>
        <w:ind w:firstLine="494"/>
        <w:spacing w:after="0" w:line="246" w:lineRule="auto"/>
        <w:tabs>
          <w:tab w:leader="none" w:pos="1293" w:val="left"/>
        </w:tabs>
        <w:numPr>
          <w:ilvl w:val="0"/>
          <w:numId w:val="5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xml:space="preserve"> The Grantee understands that the Company transfers the Grantee’s Personal Data, or parts thereof, to (i) E*Trade Corporate Financial Services, Inc. and its affiliated companies (“E*Trade”), an independent service provider based in the United States which assists the Company with the implementation, administration and management of the Plan. In the future, the Company may select different service providers and share the Grantee’s Personal Data with such different service providers that serve the Company in a similar manner. The Company’s service providers will open an account for the Grantee to receive and trade shares of Stock acquired under the Plan and the Grantee will be asked to agree on separate terms and data processing practices with the service provider, which is a condition of the Grantee’s ability to participate in the Plan.</w:t>
      </w:r>
    </w:p>
    <w:p>
      <w:pPr>
        <w:spacing w:after="0" w:line="152" w:lineRule="exact"/>
        <w:rPr>
          <w:rFonts w:ascii="Arial" w:cs="Arial" w:eastAsia="Arial" w:hAnsi="Arial"/>
          <w:sz w:val="19"/>
          <w:szCs w:val="19"/>
          <w:color w:val="auto"/>
        </w:rPr>
      </w:pPr>
    </w:p>
    <w:p>
      <w:pPr>
        <w:jc w:val="both"/>
        <w:ind w:firstLine="494"/>
        <w:spacing w:after="0" w:line="276" w:lineRule="auto"/>
        <w:tabs>
          <w:tab w:leader="none" w:pos="1291"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xml:space="preserve"> The Company and, as of the date hereof, any third parties assisting in the implementation, administration and management of the Plan, such as E*Trade, are based in the United States. If the Grantee is located outside the United States, the Grantee’s country may have enacted data privacy laws that are different from the laws of the United States. The Company’s legal basis for the transfer of the Grantee’s Personal Data is the Grantee’s consent.</w:t>
      </w:r>
    </w:p>
    <w:p>
      <w:pPr>
        <w:spacing w:after="0" w:line="127" w:lineRule="exact"/>
        <w:rPr>
          <w:rFonts w:ascii="Arial" w:cs="Arial" w:eastAsia="Arial" w:hAnsi="Arial"/>
          <w:sz w:val="18"/>
          <w:szCs w:val="18"/>
          <w:color w:val="auto"/>
        </w:rPr>
      </w:pPr>
    </w:p>
    <w:p>
      <w:pPr>
        <w:jc w:val="both"/>
        <w:ind w:firstLine="494"/>
        <w:spacing w:after="0" w:line="257" w:lineRule="auto"/>
        <w:tabs>
          <w:tab w:leader="none" w:pos="1293" w:val="left"/>
        </w:tabs>
        <w:numPr>
          <w:ilvl w:val="0"/>
          <w:numId w:val="5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xml:space="preserve"> The Company will process the Grantee’s Personal Data only as long as is necessary to implement, administer and manage the Grantee’s participation in the Plan, or to comply with legal or regulatory obligations, including under tax, exchange control, labor and securities laws. This period may extend beyond the Grantee’s end of Service Relationship. In the latter case, the Grantee understands and acknowledges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00" w:name="page101"/>
    <w:bookmarkEnd w:id="100"/>
    <w:p>
      <w:pPr>
        <w:jc w:val="both"/>
        <w:ind w:right="20"/>
        <w:spacing w:after="0" w:line="223" w:lineRule="auto"/>
        <w:rPr>
          <w:sz w:val="20"/>
          <w:szCs w:val="20"/>
          <w:color w:val="auto"/>
        </w:rPr>
      </w:pPr>
      <w:r>
        <w:rPr>
          <w:rFonts w:ascii="Arial" w:cs="Arial" w:eastAsia="Arial" w:hAnsi="Arial"/>
          <w:sz w:val="22"/>
          <w:szCs w:val="22"/>
          <w:b w:val="1"/>
          <w:bCs w:val="1"/>
          <w:i w:val="1"/>
          <w:iCs w:val="1"/>
          <w:color w:val="auto"/>
        </w:rPr>
        <w:t>Company’s legal basis for the processing of the Grantee’s Personal Data would be compliance with the relevant laws or regulations. When the Company no longer needs the Grantee’s Personal Data for any of the above purposes, the Grantee understands the Company will remove it from its systems.</w:t>
      </w:r>
    </w:p>
    <w:p>
      <w:pPr>
        <w:spacing w:after="0" w:line="159" w:lineRule="exact"/>
        <w:rPr>
          <w:sz w:val="20"/>
          <w:szCs w:val="20"/>
          <w:color w:val="auto"/>
        </w:rPr>
      </w:pPr>
    </w:p>
    <w:p>
      <w:pPr>
        <w:jc w:val="both"/>
        <w:ind w:firstLine="494"/>
        <w:spacing w:after="0" w:line="247" w:lineRule="auto"/>
        <w:tabs>
          <w:tab w:leader="none" w:pos="1296" w:val="left"/>
        </w:tabs>
        <w:numPr>
          <w:ilvl w:val="0"/>
          <w:numId w:val="5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The Grantee understands that any participation in the Plan and his or her consent are purely voluntary. The Grantee may deny or later withdraw his or her consent at any time, with future effect and for any or no reason. If the Grantee denies or later withdraws his or her consent, the Company can no longer offer participation in the Plan or grant equity awards to the Grantee or administer or maintain such awards, and the Grantee will no longer be eligible to participate in the Plan. The Grantee further understands that denial or withdrawal of his or her consent would not affect his or her status or salary as an employee or his or her career and that the Grantee would merely forfeit the opportunities associated with the Plan.</w:t>
      </w:r>
    </w:p>
    <w:p>
      <w:pPr>
        <w:spacing w:after="0" w:line="153" w:lineRule="exact"/>
        <w:rPr>
          <w:rFonts w:ascii="Arial" w:cs="Arial" w:eastAsia="Arial" w:hAnsi="Arial"/>
          <w:sz w:val="19"/>
          <w:szCs w:val="19"/>
          <w:color w:val="auto"/>
        </w:rPr>
      </w:pPr>
    </w:p>
    <w:p>
      <w:pPr>
        <w:jc w:val="both"/>
        <w:ind w:firstLine="494"/>
        <w:spacing w:after="0" w:line="241" w:lineRule="auto"/>
        <w:tabs>
          <w:tab w:leader="none" w:pos="1291" w:val="left"/>
        </w:tabs>
        <w:numPr>
          <w:ilvl w:val="0"/>
          <w:numId w:val="5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The data subject rights regarding the processing of personal data vary depending on the applicable law and that, depending on where the Grantee is based and subject to the conditions set out in the applicable law, the Grantee may have, without limitation, the rights to (i) inquire whether and what kind of Personal Data the Company holds about the Grantee and how it is processed, and to access or request copies of such Personal Data, (ii) request the correction or supplementation of Personal Data about the Grantee that is inaccurate, incomplete or out- of-date in light of the purposes underlying the processing, (iii) obtain the erasure of Personal Data no longer necessary for the purposes underlying the processing, (iv) request the Company to restrict the processing of the Grantee’s Personal Data in certain situations where the Grantee feels its processing is inappropriate, (v) object, in certain circumstances, to the processing of Personal Data for legitimate interests, and to (vi) request portability of the Grantee’s Personal Data that the Grantee has actively or passively provided to the Company (which does not include data derived or inferred from the collected data), where the processing of such Personal Data is based on consent or the Grantee’s employment and is carried out by automated means. In case of concerns, the Grantee may also have the right to lodge a complaint with the competent local data protection authority. Further, to receive clarification of, or to exercise any of, the Grantee’s rights the Grantee should contact the Grantee’s local human resources representative.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AUSTRALIA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Tax Consideration. </w:t>
      </w:r>
      <w:r>
        <w:rPr>
          <w:rFonts w:ascii="Arial" w:cs="Arial" w:eastAsia="Arial" w:hAnsi="Arial"/>
          <w:sz w:val="22"/>
          <w:szCs w:val="22"/>
          <w:color w:val="auto"/>
        </w:rPr>
        <w:t>The Plan is a plan to which Subdivision 83A-C of the Income Tax Assessment Act 1997 (Cth) applies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of the Act).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Exchange control reporting is required for cash transactions exceeding a certain threshold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fund transfers. The Australian bank assisting with the transaction may file the report on the Grantee's behalf. If there is no Australian bank involved in the transfer, the Grantee will be required to file the report. The Grantee should consult with his or her personal advisor to ensure proper compliance with applicable reporting requirements in Australia.</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This offer is being made under Division 1A, Part 7.12 of the Corporations Act 2001 (Cth).</w:t>
      </w:r>
    </w:p>
    <w:p>
      <w:pPr>
        <w:spacing w:after="0" w:line="19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Please note that if the Grantee offers shares of Stock for sale to a person or entity resident in Australia, the offer may be subject to disclosure requirements under Australian law. The Grantee should obtain legal advice on the Grantee’s disclosure obligations prior to making any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highlight w:val="lightGray"/>
        </w:rPr>
        <w:t>AUSTRIA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60" w:lineRule="exact"/>
        <w:rPr>
          <w:sz w:val="20"/>
          <w:szCs w:val="20"/>
          <w:color w:val="auto"/>
        </w:rPr>
      </w:pPr>
    </w:p>
    <w:p>
      <w:pPr>
        <w:jc w:val="both"/>
        <w:spacing w:after="0" w:line="225"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the Grantee holds shares of Stock acquired under the Plan outside Austria (even if held</w:t>
      </w:r>
      <w:r>
        <w:rPr>
          <w:rFonts w:ascii="Arial" w:cs="Arial" w:eastAsia="Arial" w:hAnsi="Arial"/>
          <w:sz w:val="21"/>
          <w:szCs w:val="21"/>
          <w:b w:val="1"/>
          <w:bCs w:val="1"/>
          <w:color w:val="auto"/>
        </w:rPr>
        <w:t xml:space="preserve"> </w:t>
      </w:r>
      <w:r>
        <w:rPr>
          <w:rFonts w:ascii="Arial" w:cs="Arial" w:eastAsia="Arial" w:hAnsi="Arial"/>
          <w:sz w:val="21"/>
          <w:szCs w:val="21"/>
          <w:color w:val="auto"/>
        </w:rPr>
        <w:t>outside of Austria with an Austrian bank), the Grantee may need to submit an annual report to the Austrian National Bank using the form “</w:t>
      </w:r>
      <w:r>
        <w:rPr>
          <w:rFonts w:ascii="Arial" w:cs="Arial" w:eastAsia="Arial" w:hAnsi="Arial"/>
          <w:sz w:val="21"/>
          <w:szCs w:val="21"/>
          <w:i w:val="1"/>
          <w:iCs w:val="1"/>
          <w:color w:val="auto"/>
        </w:rPr>
        <w:t>Standmeldung/Wertpapiere</w:t>
      </w:r>
      <w:r>
        <w:rPr>
          <w:rFonts w:ascii="Arial" w:cs="Arial" w:eastAsia="Arial" w:hAnsi="Arial"/>
          <w:sz w:val="21"/>
          <w:szCs w:val="21"/>
          <w:color w:val="auto"/>
        </w:rPr>
        <w:t>.” Exemptions apply if the value of the shares of Stock held outside Austria as of December 31 does not exceed certain thresholds. If the thresholds are exceeded, annual or quarterly reporting obligations are imposed. If applicable, the deadline for filing the annual report is January 31 of the following year and the deadline for the quarterly report is the 15th of the month following the end of the respective quarter.</w:t>
      </w:r>
    </w:p>
    <w:p>
      <w:pPr>
        <w:spacing w:after="0" w:line="133"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When shares of Stock are sold or dividends are paid on such shares, there may be exchange control obligations if the cash received is held outside Austria, as a separate reporting requirement applies to any non-Austrian cash accounts. If the transaction volume of all of the Grantee's cash accounts abroad exceeds a certain threshold, the movements and the balance of all accounts must be reported monthly, as of the last day of the month, on or before the 15th day of the following month, using the form “</w:t>
      </w:r>
      <w:r>
        <w:rPr>
          <w:rFonts w:ascii="Arial" w:cs="Arial" w:eastAsia="Arial" w:hAnsi="Arial"/>
          <w:sz w:val="22"/>
          <w:szCs w:val="22"/>
          <w:i w:val="1"/>
          <w:iCs w:val="1"/>
          <w:color w:val="auto"/>
        </w:rPr>
        <w:t>Meldungen SI-Forderungen und/oder SI-Verpflichtungen.</w:t>
      </w:r>
      <w:r>
        <w:rPr>
          <w:rFonts w:ascii="Arial" w:cs="Arial" w:eastAsia="Arial" w:hAnsi="Arial"/>
          <w:sz w:val="22"/>
          <w:szCs w:val="22"/>
          <w:color w:val="auto"/>
        </w:rPr>
        <w:t>”</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CANADA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Restricted Stock Units Payable in Shares of Stock Only. </w:t>
      </w:r>
      <w:r>
        <w:rPr>
          <w:rFonts w:ascii="Arial" w:cs="Arial" w:eastAsia="Arial" w:hAnsi="Arial"/>
          <w:sz w:val="22"/>
          <w:szCs w:val="22"/>
          <w:color w:val="auto"/>
        </w:rPr>
        <w:t>Notwithstanding any discretion in Section 8(a) of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contrary in the Agreement, the Award does not provide any right for the Grantee to receive a cash payment, and the Restricted Stock Units are payable in shares of Stock only.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The following provision replaces Paragraph 8(a)(xii) of the RSU Agreement: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the Award, the Grantee’s Service Relationship will be considered terminated as of the date that is the earliest of</w:t>
      </w:r>
    </w:p>
    <w:p>
      <w:pPr>
        <w:spacing w:after="0" w:line="16" w:lineRule="exact"/>
        <w:rPr>
          <w:sz w:val="20"/>
          <w:szCs w:val="20"/>
          <w:color w:val="auto"/>
        </w:rPr>
      </w:pPr>
    </w:p>
    <w:p>
      <w:pPr>
        <w:jc w:val="both"/>
        <w:ind w:firstLine="8"/>
        <w:spacing w:after="0" w:line="242" w:lineRule="auto"/>
        <w:tabs>
          <w:tab w:leader="none" w:pos="29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date the Grantee's employment is terminated; (b) the date the Grantee receives notice of termination of employment; or (b) the date the Grantee is no longer providing services to the Company or any Affiliate (in all cases regardless of the reason for such termination and whether or not later found to be invalid or in breach of employment laws in the jurisdiction where the Grantee renders service or the terms of the Grantee’s employment agreement, if any). Unless otherwise expressly provided in this Agreement or determined by the Company, the Grantee’s right to continue to vest in the Restricted Stock Units, if any, will terminate effective as of such date and will not be extended any period during which notice, pay in lieu of notice or related payments or damages are provided or required to be provided under local law. The Committee shall have the exclusive discretion to determine when the Grantee’s employment is terminated for purposes of this Award (including whether the Grantee may still be considered providing services while on a leave of absence).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the foregoing, if applicable employment standards legislation explicitly requires</w:t>
      </w:r>
    </w:p>
    <w:p>
      <w:pPr>
        <w:jc w:val="both"/>
        <w:spacing w:after="0" w:line="214" w:lineRule="auto"/>
        <w:rPr>
          <w:sz w:val="20"/>
          <w:szCs w:val="20"/>
          <w:color w:val="auto"/>
        </w:rPr>
      </w:pPr>
      <w:r>
        <w:rPr>
          <w:rFonts w:ascii="Arial" w:cs="Arial" w:eastAsia="Arial" w:hAnsi="Arial"/>
          <w:sz w:val="22"/>
          <w:szCs w:val="22"/>
          <w:color w:val="auto"/>
        </w:rPr>
        <w:t>continued entitlement to vesting during a statutory notice period, the Grantee’s right to vest in the Award under the Plan, if any, will terminate effective as of the last day of the Grantee’s minimum statutory notice period, but the Grantee will not earn or be entitled to pro-rated vesting if the vesting date falls after the end of the Grantee’s statutory notice period, nor will the Grantee be entitled to any compensation for lost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i w:val="1"/>
          <w:iCs w:val="1"/>
          <w:color w:val="auto"/>
        </w:rPr>
        <w:t>The following provisions apply to the Award if the Grantee is a resident of Quebec</w:t>
      </w:r>
      <w:r>
        <w:rPr>
          <w:rFonts w:ascii="Arial" w:cs="Arial" w:eastAsia="Arial" w:hAnsi="Arial"/>
          <w:sz w:val="22"/>
          <w:szCs w:val="22"/>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Personal Data Authorization. </w:t>
      </w:r>
      <w:r>
        <w:rPr>
          <w:rFonts w:ascii="Arial" w:cs="Arial" w:eastAsia="Arial" w:hAnsi="Arial"/>
          <w:sz w:val="19"/>
          <w:szCs w:val="19"/>
          <w:color w:val="auto"/>
        </w:rPr>
        <w:t>The following provision supplements the Data Privacy Consent, set forth above in this Appendix:</w:t>
      </w:r>
    </w:p>
    <w:p>
      <w:pPr>
        <w:spacing w:after="0" w:line="22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the Employer and its other Affiliates to disclose and discuss with their advisors the Grantee’s participation in the Plan. The Grantee also authorizes the Company, the Employer and its other Affiliates to record such information and to keep it in his or her employment file. If the Grantee is resident in Quebec, the Grantee acknowledges and agrees that his or her personal information, including sensitive personal information, may be transferred or disclosed outside of the province of Quebec, including to the United States. The Grantee acknowledges and authorizes the Company and other parties involved in the administration of the Plan to use technology for profiling purposes and to make automated decisions that may have an impact on the Grantee or the administration of the Plan.</w:t>
      </w:r>
    </w:p>
    <w:p>
      <w:pPr>
        <w:spacing w:after="0" w:line="15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u w:val="single" w:color="auto"/>
          <w:color w:val="auto"/>
        </w:rPr>
        <w:t>French Language Documents</w:t>
      </w:r>
      <w:r>
        <w:rPr>
          <w:rFonts w:ascii="Arial" w:cs="Arial" w:eastAsia="Arial" w:hAnsi="Arial"/>
          <w:sz w:val="21"/>
          <w:szCs w:val="21"/>
          <w:color w:val="auto"/>
        </w:rPr>
        <w:t>. A French translation of this document and certain other documents related to the Restricted Stock Units will be made available to the Grantee concurrently or as soon as reasonably practicable. The Grantee understands that, from time to time, additional information related to the Restricted Stock Units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the Grantee indicates otherwise, the French translation of this document and certain other documents related to the Restricted Stock Units will govern the Grantee’s participation in the Plan.</w:t>
      </w:r>
    </w:p>
    <w:p>
      <w:pPr>
        <w:spacing w:after="0" w:line="16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u w:val="single" w:color="auto"/>
          <w:color w:val="auto"/>
        </w:rPr>
        <w:t>Documents en Langue Française</w:t>
      </w:r>
      <w:r>
        <w:rPr>
          <w:rFonts w:ascii="Arial" w:cs="Arial" w:eastAsia="Arial" w:hAnsi="Arial"/>
          <w:sz w:val="21"/>
          <w:szCs w:val="21"/>
          <w:color w:val="auto"/>
        </w:rPr>
        <w:t>. Une traduction française du présent document et de certains autres documents relatifs aux droits sur des actions assujettis à des restrictions (« RSUs ») sera mise à la disposition du Bénéficiaire en même temps que le présent document ou dès que raisonnablement possible. Le Bénéficiaire comprend que, de temps à autre, des informations supplémentaires relatives aux RSUs peuvent être fournies en anglais et que ces informations peuvent ne pas être immédiatement disponibles en français. Toutefois, sur demande, la Société fournira une traduction de ces informations en français dès que cela sera raisonnablement possible. Nonobstant toute disposition contraire dans le Contrat, et à moins que le Bénéficiaire n'indique le contraire, la traduction française du présent document et de certains autres documents relatifs aux RSUs régira la participation du Bénéficiaire au Plan.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Grantee is permitted to sell shares of Stock acquired through the Plan through the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broker appointed under the Plan, if any, provided the resale of shares of Stock acquired under the Plan takes place outside of Canada through the facilities of a stock exchange on which the shares of Stock are listed. The shares of Stock are currently listed on the New York Stock Exchange.</w:t>
      </w:r>
    </w:p>
    <w:p>
      <w:pPr>
        <w:spacing w:after="0" w:line="152"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 xml:space="preserve">Foreign Account/Asset Reporting Information. </w:t>
      </w:r>
      <w:r>
        <w:rPr>
          <w:rFonts w:ascii="Arial" w:cs="Arial" w:eastAsia="Arial" w:hAnsi="Arial"/>
          <w:sz w:val="22"/>
          <w:szCs w:val="22"/>
          <w:color w:val="auto"/>
        </w:rPr>
        <w:t>If the Grantee is a Canadian resident, the Grantee is required to report annually</w:t>
      </w:r>
      <w:r>
        <w:rPr>
          <w:rFonts w:ascii="Arial" w:cs="Arial" w:eastAsia="Arial" w:hAnsi="Arial"/>
          <w:sz w:val="22"/>
          <w:szCs w:val="22"/>
          <w:b w:val="1"/>
          <w:bCs w:val="1"/>
          <w:color w:val="auto"/>
        </w:rPr>
        <w:t xml:space="preserve"> </w:t>
      </w:r>
      <w:r>
        <w:rPr>
          <w:rFonts w:ascii="Arial" w:cs="Arial" w:eastAsia="Arial" w:hAnsi="Arial"/>
          <w:sz w:val="22"/>
          <w:szCs w:val="22"/>
          <w:color w:val="auto"/>
        </w:rPr>
        <w:t>on Form T1135 (Foreign Income Verification Statement) the foreign specified property (including shares of Stock acquired under the Plan) he or she holds if the total cost of such foreign specified property exceeds C$100,000 at any time during the year. Unvested Restricted Stock Units also must be reported (generally at nil cost) on Form T1135 if the C$100,000 threshold is exceeded due to other foreign property the Grantee holds. If shares of Stock are acquired, their cost generally is the adjusted cost base (“ACB”)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95" w:right="339" w:bottom="1440" w:gutter="0" w:footer="0" w:header="0"/>
        </w:sectPr>
      </w:pPr>
    </w:p>
    <w:bookmarkStart w:id="103" w:name="page104"/>
    <w:bookmarkEnd w:id="103"/>
    <w:p>
      <w:pPr>
        <w:jc w:val="both"/>
        <w:spacing w:after="0" w:line="218" w:lineRule="auto"/>
        <w:rPr>
          <w:sz w:val="20"/>
          <w:szCs w:val="20"/>
          <w:color w:val="auto"/>
        </w:rPr>
      </w:pPr>
      <w:r>
        <w:rPr>
          <w:rFonts w:ascii="Arial" w:cs="Arial" w:eastAsia="Arial" w:hAnsi="Arial"/>
          <w:sz w:val="22"/>
          <w:szCs w:val="22"/>
          <w:color w:val="auto"/>
        </w:rPr>
        <w:t>of Stock. The ACB would normally equal the fair market value of the shares of Stock at vesting, but if the Grantee owns other shares, this ACB may have to be averaged with the ACB of the other shares. The Form T1135 must be filed at the same time the Grantee files his or her annual tax return. The Grantee is advised to consult with a personal advisor to ensure he or she complies with the applicable reporting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FRANCE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Restricted Stock Units Not Tax-Qualified. </w:t>
      </w:r>
      <w:r>
        <w:rPr>
          <w:rFonts w:ascii="Arial" w:cs="Arial" w:eastAsia="Arial" w:hAnsi="Arial"/>
          <w:sz w:val="22"/>
          <w:szCs w:val="22"/>
          <w:color w:val="auto"/>
        </w:rPr>
        <w:t>The Grantee understands that the Restricted Stock Units are not intended to qualify</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special tax and social security treatment in France under Sections L. 225-197-1 to L. 225-197-6 of the French Commercial Code, as amended.</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By accepting the Agreement, the Grantee confirms having read and understood the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relating to the Award (the Plan and the Agreement), which were provided in the English language. The Grantee accepts the terms of those documents accordingly.</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i w:val="1"/>
          <w:iCs w:val="1"/>
          <w:color w:val="auto"/>
        </w:rPr>
        <w:t>En acceptant le Contrat d'Attribution décrivant les termes et conditions de l’attribution, le Bénéficiaire confirme ainsi avoir lu et compris les documents relatifs à cette attribution (le Plan et ce Contrat d'Attribution) qui ont été communiqués en langue anglaise. Le Bénéficiaire accepte les termes en connaissance de cause.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Foreign Account/Asset Reporting Information. </w:t>
      </w:r>
      <w:r>
        <w:rPr>
          <w:rFonts w:ascii="Arial" w:cs="Arial" w:eastAsia="Arial" w:hAnsi="Arial"/>
          <w:sz w:val="22"/>
          <w:szCs w:val="22"/>
          <w:color w:val="auto"/>
        </w:rPr>
        <w:t>French residents must report all foreign bank and brokerage accounts on an</w:t>
      </w:r>
      <w:r>
        <w:rPr>
          <w:rFonts w:ascii="Arial" w:cs="Arial" w:eastAsia="Arial" w:hAnsi="Arial"/>
          <w:sz w:val="22"/>
          <w:szCs w:val="22"/>
          <w:b w:val="1"/>
          <w:bCs w:val="1"/>
          <w:color w:val="auto"/>
        </w:rPr>
        <w:t xml:space="preserve"> </w:t>
      </w:r>
      <w:r>
        <w:rPr>
          <w:rFonts w:ascii="Arial" w:cs="Arial" w:eastAsia="Arial" w:hAnsi="Arial"/>
          <w:sz w:val="22"/>
          <w:szCs w:val="22"/>
          <w:color w:val="auto"/>
        </w:rPr>
        <w:t>annual basis (including accounts opened or closed during the tax year) on a specific form together with the income tax return. Failure to comply could trigger significant penalties.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GERMANY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Bank. If the Grantee receives cross-border payments in excess of €12,500 in connection with the sale of securities (including shares of Stock acquired under the Plan) or the receipt of dividends paid on such shares of Stock, the Grantee must report by the fifth day of the month following the month in which the payment was received. The report must be filed electronically. The form of report can be accessed via the German Federal Bank’s website at </w:t>
      </w:r>
      <w:r>
        <w:rPr>
          <w:rFonts w:ascii="Arial" w:cs="Arial" w:eastAsia="Arial" w:hAnsi="Arial"/>
          <w:sz w:val="19"/>
          <w:szCs w:val="19"/>
          <w:u w:val="single" w:color="auto"/>
          <w:color w:val="0000FF"/>
        </w:rPr>
        <w:t>www.bundesbank.de</w:t>
      </w:r>
      <w:r>
        <w:rPr>
          <w:rFonts w:ascii="Arial" w:cs="Arial" w:eastAsia="Arial" w:hAnsi="Arial"/>
          <w:sz w:val="19"/>
          <w:szCs w:val="19"/>
          <w:color w:val="auto"/>
        </w:rPr>
        <w:t xml:space="preserve"> and is available in both German and English. In addition, the Grantee may be required to report the acquisition of securities if the value of the securities acquired exceeds €12,500 to the Bundesbank via email or telephone.The Grantee is advised to consult a personal legal advisor to ensure compliance with applicable reporting obligations.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the acquisition of shares of Stock under the Plan leads to a “qualified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at any point during the calendar year, Grantee understands that Grantee will need to report the acquisition when Grantee files his or her tax return for the relevant year. A qualified participation is attained only if (a) the value of the shares of Stock acquired exceeds €150,000 and the Grantee holds 1% or more of the total shares of Stock, or (b) the Grantee holds shares of Stock exceeding 10% of the Company’s total Stock. Grantee should contact his or her personal advisor for further information regarding whether Grantee's acquisition of Stock under the Plan will result in a qualified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highlight w:val="lightGray"/>
        </w:rPr>
        <w:t>HONG KONG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Lapse of Restrictions. </w:t>
      </w:r>
      <w:r>
        <w:rPr>
          <w:rFonts w:ascii="Arial" w:cs="Arial" w:eastAsia="Arial" w:hAnsi="Arial"/>
          <w:sz w:val="22"/>
          <w:szCs w:val="22"/>
          <w:color w:val="auto"/>
        </w:rPr>
        <w:t>If, for any reason, shares of Stock are issued to the Grantee within six (6) months of the Grant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he or she will not sell or otherwise dispose of any such shares of Stock prior to the six-month anniversary of the Grant Date.</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Restricted Stock Units Payable in Shares of Stock Only. </w:t>
      </w:r>
      <w:r>
        <w:rPr>
          <w:rFonts w:ascii="Arial" w:cs="Arial" w:eastAsia="Arial" w:hAnsi="Arial"/>
          <w:sz w:val="22"/>
          <w:szCs w:val="22"/>
          <w:color w:val="auto"/>
        </w:rPr>
        <w:t>Notwithstanding any discretion in Section 8(a) of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contrary in the Agreement, the Award does not provide any right for the Grantee to receive a cash payment, and the Restricted Stock Units are payable in shares of Stock only.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i w:val="1"/>
          <w:iCs w:val="1"/>
          <w:color w:val="auto"/>
        </w:rPr>
        <w:t>Warning: The contents of the Agreement, including this Appendix, the Plan, and all other materials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pertaining to the Restricted Stock Units and/or the Plan have not been reviewed by any regulatory authority in Hong Kong. The Grantee is hereby advised to exercise caution in relation to the offer thereunder. If the Grantee has any doubts about any of the contents of the aforesaid materials, the Grantee should obtain independent professional advice.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INDIA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laws and regulations in India require that all proceeds resulting from the sale</w:t>
      </w:r>
      <w:r>
        <w:rPr>
          <w:rFonts w:ascii="Arial" w:cs="Arial" w:eastAsia="Arial" w:hAnsi="Arial"/>
          <w:sz w:val="19"/>
          <w:szCs w:val="19"/>
          <w:b w:val="1"/>
          <w:bCs w:val="1"/>
          <w:color w:val="auto"/>
        </w:rPr>
        <w:t xml:space="preserve"> </w:t>
      </w:r>
      <w:r>
        <w:rPr>
          <w:rFonts w:ascii="Arial" w:cs="Arial" w:eastAsia="Arial" w:hAnsi="Arial"/>
          <w:sz w:val="19"/>
          <w:szCs w:val="19"/>
          <w:color w:val="auto"/>
        </w:rPr>
        <w:t>of shares of Stock and any dividends received in relation to the shares of Stock be repatriated to India within such time as prescribed under applicable Indian exchange control laws, as may be amended from time to time. Indian residents must obtain a foreign inward remittance certificate (“FIRC”) from the bank into which foreign currency is deposited and retain the FIRC as evidence of repatriation of funds in the event that the Reserve Bank of India or the Employer requests proof of repatriation.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Foreign bank accounts and any foreign financial assets (including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 held outside India) must be reported in the annual Indian personal tax return. It is the Grantee’s responsibility to comply with this reporting obligation and the Grantee should consult with his or her personal advisor in this regard.</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IRELAND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ITALY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 Acknowledgement</w:t>
      </w:r>
      <w:r>
        <w:rPr>
          <w:rFonts w:ascii="Arial" w:cs="Arial" w:eastAsia="Arial" w:hAnsi="Arial"/>
          <w:sz w:val="22"/>
          <w:szCs w:val="22"/>
          <w:color w:val="auto"/>
        </w:rPr>
        <w:t>. This provision supplements Paragraph 8 of the RSU Agreement:</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The Grantee acknowledges that the Grantee has read and specifically and expressly approves the following paragraphs of the RSU Agreement: (a) Responsibility for Taxes (Paragraph 6), (b) the Nature of the Grant (Paragraph 8); (d) Governing Law; Choice of Venue (Paragraph 12(a)), (e) Language (Paragraph 12(b)), (f) Appendix (Paragraph 12(d)) (g) the Imposition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395"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Requirements (Paragraph 12(e)), and (h) the Data Privacy Consent, set forth above in this Appendix.</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(such as cash, shares of Stock or Restricted Stock Units)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The Grantee should consult a personal legal advisor to ensure compliance with applicable reporting requirements.</w:t>
      </w:r>
    </w:p>
    <w:p>
      <w:pPr>
        <w:spacing w:after="0" w:line="152" w:lineRule="exact"/>
        <w:rPr>
          <w:sz w:val="20"/>
          <w:szCs w:val="20"/>
          <w:color w:val="auto"/>
        </w:rPr>
      </w:pPr>
    </w:p>
    <w:p>
      <w:pPr>
        <w:jc w:val="both"/>
        <w:ind w:right="20"/>
        <w:spacing w:after="0" w:line="225" w:lineRule="auto"/>
        <w:rPr>
          <w:sz w:val="20"/>
          <w:szCs w:val="20"/>
          <w:color w:val="auto"/>
        </w:rPr>
      </w:pPr>
      <w:r>
        <w:rPr>
          <w:rFonts w:ascii="Arial" w:cs="Arial" w:eastAsia="Arial" w:hAnsi="Arial"/>
          <w:sz w:val="22"/>
          <w:szCs w:val="22"/>
          <w:b w:val="1"/>
          <w:bCs w:val="1"/>
          <w:color w:val="auto"/>
        </w:rPr>
        <w:t xml:space="preserve">Foreign Asset Tax Information. </w:t>
      </w:r>
      <w:r>
        <w:rPr>
          <w:rFonts w:ascii="Arial" w:cs="Arial" w:eastAsia="Arial" w:hAnsi="Arial"/>
          <w:sz w:val="22"/>
          <w:szCs w:val="22"/>
          <w:color w:val="auto"/>
        </w:rPr>
        <w:t>The value of the financial assets held outside of Italy (including shares of Stock) by Italian</w:t>
      </w:r>
      <w:r>
        <w:rPr>
          <w:rFonts w:ascii="Arial" w:cs="Arial" w:eastAsia="Arial" w:hAnsi="Arial"/>
          <w:sz w:val="22"/>
          <w:szCs w:val="22"/>
          <w:b w:val="1"/>
          <w:bCs w:val="1"/>
          <w:color w:val="auto"/>
        </w:rPr>
        <w:t xml:space="preserve"> </w:t>
      </w:r>
      <w:r>
        <w:rPr>
          <w:rFonts w:ascii="Arial" w:cs="Arial" w:eastAsia="Arial" w:hAnsi="Arial"/>
          <w:sz w:val="22"/>
          <w:szCs w:val="22"/>
          <w:color w:val="auto"/>
        </w:rPr>
        <w:t>residents is subject to a foreign asset tax. The taxable amount will be the fair market value of the financial assets (</w:t>
      </w:r>
      <w:r>
        <w:rPr>
          <w:rFonts w:ascii="Arial" w:cs="Arial" w:eastAsia="Arial" w:hAnsi="Arial"/>
          <w:sz w:val="22"/>
          <w:szCs w:val="22"/>
          <w:i w:val="1"/>
          <w:iCs w:val="1"/>
          <w:color w:val="auto"/>
        </w:rPr>
        <w:t>e.g.,</w:t>
      </w:r>
      <w:r>
        <w:rPr>
          <w:rFonts w:ascii="Arial" w:cs="Arial" w:eastAsia="Arial" w:hAnsi="Arial"/>
          <w:sz w:val="22"/>
          <w:szCs w:val="22"/>
          <w:color w:val="auto"/>
        </w:rPr>
        <w:t xml:space="preserve"> shares of Stock acquired under the Plan) assessed at the end of the calendar year.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JAPAN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Grantee will be required to report to the Japanese tax authorities details of</w:t>
      </w:r>
      <w:r>
        <w:rPr>
          <w:rFonts w:ascii="Arial" w:cs="Arial" w:eastAsia="Arial" w:hAnsi="Arial"/>
          <w:sz w:val="19"/>
          <w:szCs w:val="19"/>
          <w:b w:val="1"/>
          <w:bCs w:val="1"/>
          <w:color w:val="auto"/>
        </w:rPr>
        <w:t xml:space="preserve"> </w:t>
      </w:r>
      <w:r>
        <w:rPr>
          <w:rFonts w:ascii="Arial" w:cs="Arial" w:eastAsia="Arial" w:hAnsi="Arial"/>
          <w:sz w:val="19"/>
          <w:szCs w:val="19"/>
          <w:color w:val="auto"/>
        </w:rPr>
        <w:t>any assets held outside of Japan as of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(including any shares of Stock acquired under the Plan), to the extent such assets have a total net fair market value exceeding ¥50,000,000. Such report will be due by March 15th each year. The Grantee should consult with his or her personal tax advisor as to whether the reporting obligation applies to the Grantee and whether the Grantee will be required to report details of his or her outstanding Restricted Stock Units, as well as shares of Stock, in the report.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MALAYSIA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Director Notification Obligation</w:t>
      </w:r>
      <w:r>
        <w:rPr>
          <w:rFonts w:ascii="Arial" w:cs="Arial" w:eastAsia="Arial" w:hAnsi="Arial"/>
          <w:sz w:val="22"/>
          <w:szCs w:val="22"/>
          <w:color w:val="auto"/>
        </w:rPr>
        <w:t>. If the Grantee is a director of a Malaysian Affiliate, the Grantee is subject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notification requirements under the Malaysian Companies Act. Among these requirements is an obligation to notify the Malaysian Affiliate in writing when the Grantee receives or disposes of an interest (</w:t>
      </w:r>
      <w:r>
        <w:rPr>
          <w:rFonts w:ascii="Arial" w:cs="Arial" w:eastAsia="Arial" w:hAnsi="Arial"/>
          <w:sz w:val="22"/>
          <w:szCs w:val="22"/>
          <w:i w:val="1"/>
          <w:iCs w:val="1"/>
          <w:color w:val="auto"/>
        </w:rPr>
        <w:t>e.g</w:t>
      </w:r>
      <w:r>
        <w:rPr>
          <w:rFonts w:ascii="Arial" w:cs="Arial" w:eastAsia="Arial" w:hAnsi="Arial"/>
          <w:sz w:val="22"/>
          <w:szCs w:val="22"/>
          <w:color w:val="auto"/>
        </w:rPr>
        <w:t>., Restricted Stock Units, shares of Stock, etc.) in the Company or any related company. This notification must be made within 14 days of receiving or disposing of any interest in the Company or any related company.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NETHERLANDS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NORWAY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POLAND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106" w:name="page107"/>
    <w:bookmarkEnd w:id="106"/>
    <w:p>
      <w:pPr>
        <w:jc w:val="both"/>
        <w:spacing w:after="0" w:line="227"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the Grantee holds foreign securities (including shares of Stock) and maintains accounts</w:t>
      </w:r>
      <w:r>
        <w:rPr>
          <w:rFonts w:ascii="Arial" w:cs="Arial" w:eastAsia="Arial" w:hAnsi="Arial"/>
          <w:sz w:val="21"/>
          <w:szCs w:val="21"/>
          <w:b w:val="1"/>
          <w:bCs w:val="1"/>
          <w:color w:val="auto"/>
        </w:rPr>
        <w:t xml:space="preserve"> </w:t>
      </w:r>
      <w:r>
        <w:rPr>
          <w:rFonts w:ascii="Arial" w:cs="Arial" w:eastAsia="Arial" w:hAnsi="Arial"/>
          <w:sz w:val="21"/>
          <w:szCs w:val="21"/>
          <w:color w:val="auto"/>
        </w:rPr>
        <w:t>abroad, the Grantee may be required to file certain reports with the National Bank of Poland on the transactions and balances of the securities and cash deposited in such accounts if the value of such transactions or balances exceeds PLN 7,000,000 in the aggregate. If required, the Grantee must file reports on the transactions and balances of the accounts on a quarterly basis on special forms available on the website of the National Bank of Poland.</w:t>
      </w:r>
    </w:p>
    <w:p>
      <w:pPr>
        <w:spacing w:after="0" w:line="160"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Further, if the Grantee transfers funds in excess of €15,000 into Poland in connection with the sale of shares of Stock under the Plan, the funds must be transferred via a bank account held at a bank in Poland. The Grantee is required to maintain all documents related to foreign exchange transactions for a period of five years, in case of a request for their production from the Bank of Poland.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SPAIN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No Entitlement for Claims or Compensation</w:t>
      </w:r>
      <w:r>
        <w:rPr>
          <w:rFonts w:ascii="Arial" w:cs="Arial" w:eastAsia="Arial" w:hAnsi="Arial"/>
          <w:sz w:val="19"/>
          <w:szCs w:val="19"/>
          <w:color w:val="auto"/>
        </w:rPr>
        <w:t>. By accepting the Restricted Stock Units, the Grantee acknowledges that he or</w:t>
      </w:r>
      <w:r>
        <w:rPr>
          <w:rFonts w:ascii="Arial" w:cs="Arial" w:eastAsia="Arial" w:hAnsi="Arial"/>
          <w:sz w:val="19"/>
          <w:szCs w:val="19"/>
          <w:b w:val="1"/>
          <w:bCs w:val="1"/>
          <w:color w:val="auto"/>
        </w:rPr>
        <w:t xml:space="preserve"> </w:t>
      </w:r>
      <w:r>
        <w:rPr>
          <w:rFonts w:ascii="Arial" w:cs="Arial" w:eastAsia="Arial" w:hAnsi="Arial"/>
          <w:sz w:val="19"/>
          <w:szCs w:val="19"/>
          <w:color w:val="auto"/>
        </w:rPr>
        <w:t>she consents to participation in the Plan and has received a copy of the Plan. The Grantee understands that the Company has unilaterally, gratuitously and in its sole discretion decided to grant Restricted Stock Units under the Plan to individuals who may be employees of the Employer, the Company or its other Affiliates throughout the world. The decision is a limited decision that is entered into upon the express assumption and condition that any Restricted Stock Units will not economically or otherwise bind the Employer, the Company or its other Affiliates on an ongoing basis. Consequently, the Grantee understands that the Restricted Stock Units are granted on the assumption and condition that the Restricted Stock Units and the shares of Stock acquired upon settlement shall not become a part of any employment contract (either with the Employer, the Company or any of its other Affiliates) and shall not be considered a mandatory benefit, salary for any purposes (including severance compensation) or any other right whatsoever. In addition, the Grantee understands that grant of Restricted Stock Units would not be made to the Grantee but for the assumptions and conditions referred to above; thus, the Grantee acknowledges and freely accepts that should any or all of the assumptions be mistaken or should any of the conditions not be met for any reason, then any grant of Restricted Stock Units shall be null and void.</w:t>
      </w:r>
    </w:p>
    <w:p>
      <w:pPr>
        <w:spacing w:after="0" w:line="38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Further, the vesting of the Restricted Stock Units is expressly conditioned on the Grantee’s continued employment, such that if the Grantee’s status as an employee terminates for any reason whatsoever, the Restricted Stock Units may cease vesting immediately, in whole or in part, effective on the date of the Grantee ceases to be an employee. This will be the case, for example, even if (a) the Grantee is considered to be unfairly dismissed without good cause; (b) the Grantee is dismissed for disciplinary or objective reasons or due to a collective dismissal; (c) the Grantee ceases to be an employee due to a change of work location, duties or any other employment or contractual condition; (d) the Grantee ceases to be an employee due to a unilateral breach of contract by the Employer, the Company or its other Affiliates; or (e) the Grantee ceases to be an employee for any other reason whatsoever. Consequently, once the Grantee ceases to be an employee any of the above reasons, the Grantee may automatically lose any rights to Restricted Stock Units that were not vested on the date of the Grantee’s termination of employment, as described in the Plan and the Agreement.</w:t>
      </w:r>
    </w:p>
    <w:p>
      <w:pPr>
        <w:spacing w:after="0" w:line="16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Grantee acknowledges that he or she has read and specifically accepts the conditions referred to in Paragraph 11 of the RSU Agreement.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95" w:right="339" w:bottom="1440" w:gutter="0" w:footer="0" w:header="0"/>
        </w:sectPr>
      </w:pPr>
    </w:p>
    <w:bookmarkStart w:id="107" w:name="page108"/>
    <w:bookmarkEnd w:id="107"/>
    <w:p>
      <w:pPr>
        <w:jc w:val="both"/>
        <w:spacing w:after="0" w:line="271"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No “offer of securities to the public,” as defined under Spanish law, has taken place or will take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place in the Spanish territory in connection with the grant of the Restricted Stock Units. The Agreement has not been nor will it be registered with the </w:t>
      </w:r>
      <w:r>
        <w:rPr>
          <w:rFonts w:ascii="Arial" w:cs="Arial" w:eastAsia="Arial" w:hAnsi="Arial"/>
          <w:sz w:val="19"/>
          <w:szCs w:val="19"/>
          <w:i w:val="1"/>
          <w:iCs w:val="1"/>
          <w:color w:val="auto"/>
        </w:rPr>
        <w:t>Comisión Nacional del Mercado de Valores</w:t>
      </w:r>
      <w:r>
        <w:rPr>
          <w:rFonts w:ascii="Arial" w:cs="Arial" w:eastAsia="Arial" w:hAnsi="Arial"/>
          <w:sz w:val="19"/>
          <w:szCs w:val="19"/>
          <w:color w:val="auto"/>
        </w:rPr>
        <w:t>, and does not constitute a public offering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SWITZERLAND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Neither the Agreement nor any other materials relating to the Restricted Stock Units (1)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a prospectus according to articles 35 et seq. of the Swiss Federal Act on Financial Services ("FinSA"), (2) may be publicly distributed nor otherwise made publicly available in Switzerland to any person other than an employee of the Company or (3) have been or will be filed with, approved or supervised by any Swiss reviewing body according to article 51 FinSA or any Swiss regulatory authority, including the Swiss Financial Market Supervisory Authority (FINMA).</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UNITED KINGDOM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Restricted Stock Units Payable in Shares of Stock Only. </w:t>
      </w:r>
      <w:r>
        <w:rPr>
          <w:rFonts w:ascii="Arial" w:cs="Arial" w:eastAsia="Arial" w:hAnsi="Arial"/>
          <w:sz w:val="22"/>
          <w:szCs w:val="22"/>
          <w:color w:val="auto"/>
        </w:rPr>
        <w:t>Notwithstanding any discretion in Section 8(a) of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contrary in the Agreement, the Award does not provide any right for the Grantee to receive a cash payment, and the Restricted Stock Units are payable in shares of Stock only.</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 xml:space="preserve">Joint Election for Transfer of Liability for Employer National Insurance Contributions. </w:t>
      </w:r>
      <w:r>
        <w:rPr>
          <w:rFonts w:ascii="Arial" w:cs="Arial" w:eastAsia="Arial" w:hAnsi="Arial"/>
          <w:sz w:val="19"/>
          <w:szCs w:val="19"/>
          <w:color w:val="auto"/>
        </w:rPr>
        <w:t>As a condition of participation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and settlement of any Award vesting, the Grantee hereby irrevocably agrees to accept any liability for secondary Class 1 National Insurance contributions and, to the extent permissible, the employer portion of the Health and Social Care Levy (the “Employer NICs”) that may be payable by the Company or the Employer (and any successor to the Company and/or the Employer) in connection with the Award and any event giving rise to Tax-Related Items. Without prejudice to the foregoing, the Grantee agrees to execute a joint election with the Company and/or the Employer in such form as the Company may determine (the “Joint Election”), and any other required consent or election requested by the Company. The Grantee further agrees to execute such other joint elections as may be required between the Grantee and any successor to the Company or the Employer. The Grantee further agrees that the Company and the Employer (and any successor to the Company and/or the Employer) may collect the Employer NICs from the Grantee by any of the means set forth in Paragraph 6 of the RSU Agreement.</w:t>
      </w:r>
    </w:p>
    <w:p>
      <w:pPr>
        <w:spacing w:after="0" w:line="16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the Grantee does not enter into a Joint Election prior to exercise of the Award, the Award shall not be settled unless and until he or she enters into a Joint Election, and no shares of Stock will be issued to the Grantee under the Plan, without any liability to the Company, the Employer, or any other Affiliate.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following provision supplements Paragraph 6 of the RSU Agreement:</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Without limitation to Paragraph 6 of the RSU Agreement, the Grantee agrees that he or she is liable for all Tax-Related Items, including, to the extent permissible, the Employer’s portion of the Health and Social Care levy, and hereby covenants to pay all such Tax-Related Items as and when requested by the Company, the Employer or by HM Revenue &amp; Customs ("HMRC") (or any other tax authority or any other relevant authority). The Grantee also agrees to indemnify and keep indemnified the Company and the Employer (and any successor to the Company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95" w:right="339" w:bottom="1440" w:gutter="0" w:footer="0" w:header="0"/>
        </w:sectPr>
      </w:pPr>
    </w:p>
    <w:bookmarkStart w:id="108" w:name="page109"/>
    <w:bookmarkEnd w:id="108"/>
    <w:p>
      <w:pPr>
        <w:jc w:val="both"/>
        <w:spacing w:after="0" w:line="218" w:lineRule="auto"/>
        <w:rPr>
          <w:sz w:val="20"/>
          <w:szCs w:val="20"/>
          <w:color w:val="auto"/>
        </w:rPr>
      </w:pPr>
      <w:r>
        <w:rPr>
          <w:rFonts w:ascii="Arial" w:cs="Arial" w:eastAsia="Arial" w:hAnsi="Arial"/>
          <w:sz w:val="22"/>
          <w:szCs w:val="22"/>
          <w:color w:val="auto"/>
        </w:rPr>
        <w:t xml:space="preserve">the Employer) against any Tax-Related Items that they are required to pay or withhold on or have paid or will pay to HMRC (or any other tax authority or any other relevant authority) on the Grantee’s behalf. </w:t>
      </w:r>
      <w:r>
        <w:rPr>
          <w:rFonts w:ascii="Arial" w:cs="Arial" w:eastAsia="Arial" w:hAnsi="Arial"/>
          <w:sz w:val="19"/>
          <w:szCs w:val="19"/>
          <w:color w:val="auto"/>
        </w:rPr>
        <w:t>F</w:t>
      </w:r>
      <w:r>
        <w:rPr>
          <w:rFonts w:ascii="Arial" w:cs="Arial" w:eastAsia="Arial" w:hAnsi="Arial"/>
          <w:sz w:val="22"/>
          <w:szCs w:val="22"/>
          <w:color w:val="auto"/>
        </w:rPr>
        <w:t>or the purposes of the RSU Agreement, Tax-Related Items include (without limitation) employment income tax, employee National Insurance contributions and the employee portion of the Health and Social Care levy.</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Notwithstanding the foregoing, if the Grantee is an executive officer or director (within the meaning of Section 13(k) of the Exchange Act), the Grantee acknowledges that may not be able to indemnify the Company or the Employer for the amount of any income tax not collected from or paid by the Grantee, as it may be considered a loan. In such case, if the amount of any income tax due is not collected from or paid by the Grantee within ninety (90) days of the end of the U.K. tax year in which an event giving rise to the indemnification described above occurs, the amount of any uncollected income tax may constitute an additional benefit to the Grantee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may be payable. The Grantee will be responsible for reporting and paying any income tax due on this additional benefit directly to HMRC under the self-assessment regime and for paying the Company and/or the Employer (and any successor to the Company and/or the Employer) the value of any employee NICs due on this additional benefit, which the Company and/or the Employer may recover at any time thereafter by any of the means referred to in Paragraph 6 of the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109" w:name="page110"/>
    <w:bookmarkEnd w:id="109"/>
    <w:p>
      <w:pPr>
        <w:jc w:val="center"/>
        <w:spacing w:after="0" w:line="235" w:lineRule="auto"/>
        <w:rPr>
          <w:sz w:val="20"/>
          <w:szCs w:val="20"/>
          <w:color w:val="auto"/>
        </w:rPr>
      </w:pPr>
      <w:r>
        <w:rPr>
          <w:rFonts w:ascii="Arial" w:cs="Arial" w:eastAsia="Arial" w:hAnsi="Arial"/>
          <w:sz w:val="22"/>
          <w:szCs w:val="22"/>
          <w:b w:val="1"/>
          <w:bCs w:val="1"/>
          <w:color w:val="auto"/>
        </w:rPr>
        <w:t>NICs JOINT ELECTION FOR UK PARTICIPANTS FOR THE GUIDEWIRE SOFTWARE, INC. AMENDED AND RESTATED 2020 STOCK PLAN</w:t>
      </w:r>
    </w:p>
    <w:p>
      <w:pPr>
        <w:spacing w:after="0" w:line="18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(the “Election”)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Note on the Election to Transfer Employer’s NICs</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As a condition of your participation in the Guidewire Software, Inc. Amended and Restated 2020 Stock Plan, you are required to enter into the Election to transfer to you any liability for employer National Insurance contributions (“Employer NICs”) that may arise in connection with your participation in the Plan.</w:t>
      </w:r>
    </w:p>
    <w:p>
      <w:pPr>
        <w:spacing w:after="0" w:line="18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By accepting your award (the “Award”) (whether by signing the applicable award or by clicking on the “ACCEPT” box as part of the Company’s online acceptance procedures) or by separately accepting the Election (whether in hard copy or by clicking on the “ACCEPT” box), you indicate your acceptance to transfer Employer’s NICs and to be bound by the terms of the Election. You should read this important note and the Election in their entirety before accepting the applicable award agreement and the Election. Please print and keep a copy of the Election for your records.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entering into the Election:</w:t>
      </w:r>
    </w:p>
    <w:p>
      <w:pPr>
        <w:spacing w:after="0" w:line="206" w:lineRule="exact"/>
        <w:rPr>
          <w:sz w:val="20"/>
          <w:szCs w:val="20"/>
          <w:color w:val="auto"/>
        </w:rPr>
      </w:pPr>
    </w:p>
    <w:p>
      <w:pPr>
        <w:ind w:left="660" w:hanging="328"/>
        <w:spacing w:after="0" w:line="232" w:lineRule="auto"/>
        <w:tabs>
          <w:tab w:leader="none" w:pos="655" w:val="left"/>
        </w:tabs>
        <w:numPr>
          <w:ilvl w:val="0"/>
          <w:numId w:val="58"/>
        </w:numPr>
        <w:rPr>
          <w:rFonts w:ascii="Arial" w:cs="Arial" w:eastAsia="Arial" w:hAnsi="Arial"/>
          <w:sz w:val="22"/>
          <w:szCs w:val="22"/>
          <w:color w:val="auto"/>
        </w:rPr>
      </w:pPr>
      <w:r>
        <w:rPr>
          <w:rFonts w:ascii="Arial" w:cs="Arial" w:eastAsia="Arial" w:hAnsi="Arial"/>
          <w:sz w:val="22"/>
          <w:szCs w:val="22"/>
          <w:color w:val="auto"/>
        </w:rPr>
        <w:t>you agree that any Employer’s NICs liability that may arise in connection with your participation in the Plan will be transferred to you;</w:t>
      </w:r>
    </w:p>
    <w:p>
      <w:pPr>
        <w:spacing w:after="0" w:line="185" w:lineRule="exact"/>
        <w:rPr>
          <w:rFonts w:ascii="Arial" w:cs="Arial" w:eastAsia="Arial" w:hAnsi="Arial"/>
          <w:sz w:val="22"/>
          <w:szCs w:val="22"/>
          <w:color w:val="auto"/>
        </w:rPr>
      </w:pPr>
    </w:p>
    <w:p>
      <w:pPr>
        <w:jc w:val="both"/>
        <w:ind w:left="660" w:hanging="328"/>
        <w:spacing w:after="0" w:line="223" w:lineRule="auto"/>
        <w:tabs>
          <w:tab w:leader="none" w:pos="655" w:val="left"/>
        </w:tabs>
        <w:numPr>
          <w:ilvl w:val="0"/>
          <w:numId w:val="58"/>
        </w:numPr>
        <w:rPr>
          <w:rFonts w:ascii="Arial" w:cs="Arial" w:eastAsia="Arial" w:hAnsi="Arial"/>
          <w:sz w:val="22"/>
          <w:szCs w:val="22"/>
          <w:color w:val="auto"/>
        </w:rPr>
      </w:pPr>
      <w:r>
        <w:rPr>
          <w:rFonts w:ascii="Arial" w:cs="Arial" w:eastAsia="Arial" w:hAnsi="Arial"/>
          <w:sz w:val="22"/>
          <w:szCs w:val="22"/>
          <w:color w:val="auto"/>
        </w:rPr>
        <w:t>you authorise your employer to recover an amount sufficient to cover this liability by such methods as set forth in Paragraph 6 of the RSU Agreement including, but not limited to, deductions from your salary or other payments due or the sale of sufficient shares acquired pursuant to your Awards; and</w:t>
      </w:r>
    </w:p>
    <w:p>
      <w:pPr>
        <w:spacing w:after="0" w:line="185" w:lineRule="exact"/>
        <w:rPr>
          <w:rFonts w:ascii="Arial" w:cs="Arial" w:eastAsia="Arial" w:hAnsi="Arial"/>
          <w:sz w:val="22"/>
          <w:szCs w:val="22"/>
          <w:color w:val="auto"/>
        </w:rPr>
      </w:pPr>
    </w:p>
    <w:p>
      <w:pPr>
        <w:jc w:val="both"/>
        <w:ind w:left="660" w:hanging="328"/>
        <w:spacing w:after="0" w:line="268" w:lineRule="auto"/>
        <w:tabs>
          <w:tab w:leader="none" w:pos="655" w:val="left"/>
        </w:tabs>
        <w:numPr>
          <w:ilvl w:val="0"/>
          <w:numId w:val="58"/>
        </w:numPr>
        <w:rPr>
          <w:rFonts w:ascii="Arial" w:cs="Arial" w:eastAsia="Arial" w:hAnsi="Arial"/>
          <w:sz w:val="19"/>
          <w:szCs w:val="19"/>
          <w:color w:val="auto"/>
        </w:rPr>
      </w:pPr>
      <w:r>
        <w:rPr>
          <w:rFonts w:ascii="Arial" w:cs="Arial" w:eastAsia="Arial" w:hAnsi="Arial"/>
          <w:sz w:val="19"/>
          <w:szCs w:val="19"/>
          <w:color w:val="auto"/>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395"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Joint Election for Transfer of Liability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Employer National Insurance Contributions to Employee</w:t>
      </w:r>
    </w:p>
    <w:p>
      <w:pPr>
        <w:spacing w:after="0" w:line="206" w:lineRule="exact"/>
        <w:rPr>
          <w:sz w:val="20"/>
          <w:szCs w:val="20"/>
          <w:color w:val="auto"/>
        </w:rPr>
      </w:pPr>
    </w:p>
    <w:p>
      <w:pPr>
        <w:ind w:right="1840" w:firstLine="1832"/>
        <w:spacing w:after="0" w:line="435" w:lineRule="auto"/>
        <w:rPr>
          <w:sz w:val="20"/>
          <w:szCs w:val="20"/>
          <w:color w:val="auto"/>
        </w:rPr>
      </w:pPr>
      <w:r>
        <w:rPr>
          <w:rFonts w:ascii="Arial" w:cs="Arial" w:eastAsia="Arial" w:hAnsi="Arial"/>
          <w:sz w:val="22"/>
          <w:szCs w:val="22"/>
          <w:b w:val="1"/>
          <w:bCs w:val="1"/>
          <w:u w:val="single" w:color="auto"/>
          <w:color w:val="auto"/>
        </w:rPr>
        <w:t xml:space="preserve">Election To Transfer the Employer’s National Insurance Liability to the Employee </w:t>
      </w:r>
      <w:r>
        <w:rPr>
          <w:rFonts w:ascii="Arial" w:cs="Arial" w:eastAsia="Arial" w:hAnsi="Arial"/>
          <w:sz w:val="22"/>
          <w:szCs w:val="22"/>
          <w:color w:val="auto"/>
        </w:rPr>
        <w:t>This Election is between:</w:t>
      </w:r>
    </w:p>
    <w:p>
      <w:pPr>
        <w:spacing w:after="0" w:line="1" w:lineRule="exact"/>
        <w:rPr>
          <w:sz w:val="20"/>
          <w:szCs w:val="20"/>
          <w:color w:val="auto"/>
        </w:rPr>
      </w:pPr>
    </w:p>
    <w:p>
      <w:pPr>
        <w:jc w:val="both"/>
        <w:ind w:left="660" w:hanging="652"/>
        <w:spacing w:after="0" w:line="220"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individual who has obtained authorised access to this Election (the “</w:t>
      </w:r>
      <w:r>
        <w:rPr>
          <w:rFonts w:ascii="Arial" w:cs="Arial" w:eastAsia="Arial" w:hAnsi="Arial"/>
          <w:sz w:val="22"/>
          <w:szCs w:val="22"/>
          <w:b w:val="1"/>
          <w:bCs w:val="1"/>
          <w:color w:val="auto"/>
        </w:rPr>
        <w:t>Employee</w:t>
      </w:r>
      <w:r>
        <w:rPr>
          <w:rFonts w:ascii="Arial" w:cs="Arial" w:eastAsia="Arial" w:hAnsi="Arial"/>
          <w:sz w:val="22"/>
          <w:szCs w:val="22"/>
          <w:color w:val="auto"/>
        </w:rPr>
        <w:t>”), who is employed by one of the employing companies listed in the attached schedule (the “</w:t>
      </w:r>
      <w:r>
        <w:rPr>
          <w:rFonts w:ascii="Arial" w:cs="Arial" w:eastAsia="Arial" w:hAnsi="Arial"/>
          <w:sz w:val="22"/>
          <w:szCs w:val="22"/>
          <w:b w:val="1"/>
          <w:bCs w:val="1"/>
          <w:color w:val="auto"/>
        </w:rPr>
        <w:t>Employer</w:t>
      </w:r>
      <w:r>
        <w:rPr>
          <w:rFonts w:ascii="Arial" w:cs="Arial" w:eastAsia="Arial" w:hAnsi="Arial"/>
          <w:sz w:val="22"/>
          <w:szCs w:val="22"/>
          <w:color w:val="auto"/>
        </w:rPr>
        <w:t>”) and who is eligible to receive stock options and/or restricted stock units (the “</w:t>
      </w:r>
      <w:r>
        <w:rPr>
          <w:rFonts w:ascii="Arial" w:cs="Arial" w:eastAsia="Arial" w:hAnsi="Arial"/>
          <w:sz w:val="22"/>
          <w:szCs w:val="22"/>
          <w:b w:val="1"/>
          <w:bCs w:val="1"/>
          <w:color w:val="auto"/>
        </w:rPr>
        <w:t>Awards</w:t>
      </w:r>
      <w:r>
        <w:rPr>
          <w:rFonts w:ascii="Arial" w:cs="Arial" w:eastAsia="Arial" w:hAnsi="Arial"/>
          <w:sz w:val="22"/>
          <w:szCs w:val="22"/>
          <w:color w:val="auto"/>
        </w:rPr>
        <w:t>”) pursuant to the Guidewire Software, Inc. Amended and Restated 2020 Stock Plan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660" w:hanging="652"/>
        <w:spacing w:after="0" w:line="223"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Guiderwire Software, Inc., a Delaware corporation, with registered offices at 2850 S. Delaware Street, Suite 100, San Mateo, CA 94403, U.S.A. (the “</w:t>
      </w:r>
      <w:r>
        <w:rPr>
          <w:rFonts w:ascii="Arial" w:cs="Arial" w:eastAsia="Arial" w:hAnsi="Arial"/>
          <w:sz w:val="22"/>
          <w:szCs w:val="22"/>
          <w:b w:val="1"/>
          <w:bCs w:val="1"/>
          <w:color w:val="auto"/>
        </w:rPr>
        <w:t>Company</w:t>
      </w:r>
      <w:r>
        <w:rPr>
          <w:rFonts w:ascii="Arial" w:cs="Arial" w:eastAsia="Arial" w:hAnsi="Arial"/>
          <w:sz w:val="22"/>
          <w:szCs w:val="22"/>
          <w:color w:val="auto"/>
        </w:rPr>
        <w:t>”), which may grant Awards under the Plan and is entering into this Election on behalf of the Employer.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Introduction</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This Election relates to all Awards granted to the Employee under the Plan up to the termination date of the Plan.</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 this Election the following words and phrases have the following meanings:</w:t>
      </w:r>
    </w:p>
    <w:p>
      <w:pPr>
        <w:spacing w:after="0" w:line="200"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Chargeable Event</w:t>
      </w:r>
      <w:r>
        <w:rPr>
          <w:rFonts w:ascii="Arial" w:cs="Arial" w:eastAsia="Arial" w:hAnsi="Arial"/>
          <w:sz w:val="22"/>
          <w:szCs w:val="22"/>
          <w:color w:val="auto"/>
        </w:rPr>
        <w:t>” means any event giving rise to Relevant Employment Income.</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ITEPA</w:t>
      </w:r>
      <w:r>
        <w:rPr>
          <w:rFonts w:ascii="Arial" w:cs="Arial" w:eastAsia="Arial" w:hAnsi="Arial"/>
          <w:sz w:val="22"/>
          <w:szCs w:val="22"/>
          <w:color w:val="auto"/>
        </w:rPr>
        <w:t>” means the Income Tax (Earnings and Pensions) Act 2003.</w:t>
      </w:r>
    </w:p>
    <w:p>
      <w:pPr>
        <w:spacing w:after="0" w:line="206" w:lineRule="exact"/>
        <w:rPr>
          <w:rFonts w:ascii="Arial" w:cs="Arial" w:eastAsia="Arial" w:hAnsi="Arial"/>
          <w:sz w:val="22"/>
          <w:szCs w:val="22"/>
          <w:color w:val="auto"/>
        </w:rPr>
      </w:pPr>
    </w:p>
    <w:p>
      <w:pPr>
        <w:ind w:left="980" w:hanging="324"/>
        <w:spacing w:after="0" w:line="235" w:lineRule="auto"/>
        <w:tabs>
          <w:tab w:leader="none" w:pos="975"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Employment Income</w:t>
      </w:r>
      <w:r>
        <w:rPr>
          <w:rFonts w:ascii="Arial" w:cs="Arial" w:eastAsia="Arial" w:hAnsi="Arial"/>
          <w:sz w:val="22"/>
          <w:szCs w:val="22"/>
          <w:color w:val="auto"/>
        </w:rPr>
        <w:t>” from Awards on which Employer's National Insurance Contributions becomes due is defined as:</w:t>
      </w:r>
    </w:p>
    <w:p>
      <w:pPr>
        <w:spacing w:after="0" w:line="185" w:lineRule="exact"/>
        <w:rPr>
          <w:rFonts w:ascii="Arial" w:cs="Arial" w:eastAsia="Arial" w:hAnsi="Arial"/>
          <w:sz w:val="22"/>
          <w:szCs w:val="22"/>
          <w:color w:val="auto"/>
        </w:rPr>
      </w:pPr>
    </w:p>
    <w:p>
      <w:pPr>
        <w:ind w:left="1460" w:hanging="318"/>
        <w:spacing w:after="0" w:line="232" w:lineRule="auto"/>
        <w:tabs>
          <w:tab w:leader="none" w:pos="1481"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426 ITEPA (restricted securities: charge on certain post-acquisition events);</w:t>
      </w:r>
    </w:p>
    <w:p>
      <w:pPr>
        <w:spacing w:after="0" w:line="185" w:lineRule="exact"/>
        <w:rPr>
          <w:rFonts w:ascii="Arial" w:cs="Arial" w:eastAsia="Arial" w:hAnsi="Arial"/>
          <w:sz w:val="22"/>
          <w:szCs w:val="22"/>
          <w:color w:val="auto"/>
        </w:rPr>
      </w:pPr>
    </w:p>
    <w:p>
      <w:pPr>
        <w:ind w:left="1460" w:hanging="318"/>
        <w:spacing w:after="0" w:line="232" w:lineRule="auto"/>
        <w:tabs>
          <w:tab w:leader="none" w:pos="1481"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438 of ITEPA (convertible securities: charge on certain post-acquisition events); or</w:t>
      </w:r>
    </w:p>
    <w:p>
      <w:pPr>
        <w:spacing w:after="0" w:line="185" w:lineRule="exact"/>
        <w:rPr>
          <w:rFonts w:ascii="Arial" w:cs="Arial" w:eastAsia="Arial" w:hAnsi="Arial"/>
          <w:sz w:val="22"/>
          <w:szCs w:val="22"/>
          <w:color w:val="auto"/>
        </w:rPr>
      </w:pPr>
    </w:p>
    <w:p>
      <w:pPr>
        <w:ind w:left="1460" w:right="20" w:hanging="318"/>
        <w:spacing w:after="0" w:line="232" w:lineRule="auto"/>
        <w:tabs>
          <w:tab w:leader="none" w:pos="1481"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any gain that is treated as remuneration derived from the earner's employment by virtue of section 4(4)(a) SSCBA, including without limitation:</w:t>
      </w:r>
    </w:p>
    <w:p>
      <w:pPr>
        <w:spacing w:after="0" w:line="185" w:lineRule="exact"/>
        <w:rPr>
          <w:rFonts w:ascii="Arial" w:cs="Arial" w:eastAsia="Arial" w:hAnsi="Arial"/>
          <w:sz w:val="22"/>
          <w:szCs w:val="22"/>
          <w:color w:val="auto"/>
        </w:rPr>
      </w:pPr>
    </w:p>
    <w:p>
      <w:pPr>
        <w:ind w:left="1780" w:hanging="314"/>
        <w:spacing w:after="0"/>
        <w:tabs>
          <w:tab w:leader="none" w:pos="1780" w:val="left"/>
        </w:tabs>
        <w:numPr>
          <w:ilvl w:val="2"/>
          <w:numId w:val="60"/>
        </w:numPr>
        <w:rPr>
          <w:rFonts w:ascii="Arial" w:cs="Arial" w:eastAsia="Arial" w:hAnsi="Arial"/>
          <w:sz w:val="19"/>
          <w:szCs w:val="19"/>
          <w:color w:val="auto"/>
        </w:rPr>
      </w:pPr>
      <w:r>
        <w:rPr>
          <w:rFonts w:ascii="Arial" w:cs="Arial" w:eastAsia="Arial" w:hAnsi="Arial"/>
          <w:sz w:val="19"/>
          <w:szCs w:val="19"/>
          <w:color w:val="auto"/>
        </w:rPr>
        <w:t>the acquisition of securities pursuant to the Awards (within the meaning of section 477(3)(a) of ITEPA);</w:t>
      </w:r>
    </w:p>
    <w:p>
      <w:pPr>
        <w:spacing w:after="0" w:line="240" w:lineRule="exact"/>
        <w:rPr>
          <w:rFonts w:ascii="Arial" w:cs="Arial" w:eastAsia="Arial" w:hAnsi="Arial"/>
          <w:sz w:val="19"/>
          <w:szCs w:val="19"/>
          <w:color w:val="auto"/>
        </w:rPr>
      </w:pPr>
    </w:p>
    <w:p>
      <w:pPr>
        <w:ind w:left="1800" w:hanging="334"/>
        <w:spacing w:after="0" w:line="232" w:lineRule="auto"/>
        <w:tabs>
          <w:tab w:leader="none" w:pos="1795"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assignment (if applicable) or release of the Awards in return for consideration (within the meaning of section 477(3)(b) of ITEPA);</w:t>
      </w:r>
    </w:p>
    <w:p>
      <w:pPr>
        <w:spacing w:after="0" w:line="185" w:lineRule="exact"/>
        <w:rPr>
          <w:rFonts w:ascii="Arial" w:cs="Arial" w:eastAsia="Arial" w:hAnsi="Arial"/>
          <w:sz w:val="22"/>
          <w:szCs w:val="22"/>
          <w:color w:val="auto"/>
        </w:rPr>
      </w:pPr>
    </w:p>
    <w:p>
      <w:pPr>
        <w:ind w:left="1800" w:hanging="334"/>
        <w:spacing w:after="0" w:line="232" w:lineRule="auto"/>
        <w:tabs>
          <w:tab w:leader="none" w:pos="1795"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receipt of a benefit in connection with the Awards, other than a benefit within (i) or (ii) above (within the meaning of section 477(3)(c) of ITEPA).</w:t>
      </w:r>
    </w:p>
    <w:p>
      <w:pPr>
        <w:spacing w:after="0" w:line="185" w:lineRule="exact"/>
        <w:rPr>
          <w:rFonts w:ascii="Arial" w:cs="Arial" w:eastAsia="Arial" w:hAnsi="Arial"/>
          <w:sz w:val="22"/>
          <w:szCs w:val="22"/>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“SSCBA” means the Social Security Contributions and Benefits Act 1992.</w:t>
      </w:r>
    </w:p>
    <w:p>
      <w:pPr>
        <w:spacing w:after="0" w:line="206" w:lineRule="exact"/>
        <w:rPr>
          <w:sz w:val="20"/>
          <w:szCs w:val="20"/>
          <w:color w:val="auto"/>
        </w:rPr>
      </w:pPr>
    </w:p>
    <w:p>
      <w:pPr>
        <w:ind w:left="660" w:hanging="647"/>
        <w:spacing w:after="0" w:line="232"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This Election relates to the Employer’s secondary Class 1 National Insurance Contributions (the “Employer’s Liability”) which may arise in respect of Relevant</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95" w:right="339" w:bottom="1440" w:gutter="0" w:footer="0" w:header="0"/>
          <w:type w:val="continuous"/>
        </w:sectPr>
      </w:pPr>
    </w:p>
    <w:bookmarkStart w:id="111" w:name="page112"/>
    <w:bookmarkEnd w:id="111"/>
    <w:p>
      <w:pPr>
        <w:ind w:left="660"/>
        <w:spacing w:after="0" w:line="232" w:lineRule="auto"/>
        <w:rPr>
          <w:sz w:val="20"/>
          <w:szCs w:val="20"/>
          <w:color w:val="auto"/>
        </w:rPr>
      </w:pPr>
      <w:r>
        <w:rPr>
          <w:rFonts w:ascii="Arial" w:cs="Arial" w:eastAsia="Arial" w:hAnsi="Arial"/>
          <w:sz w:val="22"/>
          <w:szCs w:val="22"/>
          <w:color w:val="auto"/>
        </w:rPr>
        <w:t>Employment Income in respect of the Awards pursuant to section 4(4)(a) and/or paragraph 3B(1A) of Schedule 1 of the SSCBA.</w:t>
      </w:r>
    </w:p>
    <w:p>
      <w:pPr>
        <w:spacing w:after="0" w:line="186" w:lineRule="exact"/>
        <w:rPr>
          <w:sz w:val="20"/>
          <w:szCs w:val="20"/>
          <w:color w:val="auto"/>
        </w:rPr>
      </w:pPr>
    </w:p>
    <w:p>
      <w:pPr>
        <w:jc w:val="both"/>
        <w:ind w:left="660" w:hanging="647"/>
        <w:spacing w:after="0" w:line="223"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86" w:lineRule="exact"/>
        <w:rPr>
          <w:sz w:val="20"/>
          <w:szCs w:val="20"/>
          <w:color w:val="auto"/>
        </w:rPr>
      </w:pPr>
    </w:p>
    <w:p>
      <w:pPr>
        <w:jc w:val="both"/>
        <w:ind w:left="660" w:hanging="647"/>
        <w:spacing w:after="0" w:line="223"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color w:val="auto"/>
        </w:rPr>
        <w:t>The Election</w:t>
      </w:r>
    </w:p>
    <w:p>
      <w:pPr>
        <w:spacing w:after="0" w:line="212" w:lineRule="exact"/>
        <w:rPr>
          <w:sz w:val="20"/>
          <w:szCs w:val="20"/>
          <w:color w:val="auto"/>
        </w:rPr>
      </w:pPr>
    </w:p>
    <w:p>
      <w:pPr>
        <w:jc w:val="both"/>
        <w:ind w:left="660"/>
        <w:spacing w:after="0" w:line="214" w:lineRule="auto"/>
        <w:rPr>
          <w:sz w:val="20"/>
          <w:szCs w:val="20"/>
          <w:color w:val="auto"/>
        </w:rPr>
      </w:pPr>
      <w:r>
        <w:rPr>
          <w:rFonts w:ascii="Arial" w:cs="Arial" w:eastAsia="Arial" w:hAnsi="Arial"/>
          <w:sz w:val="22"/>
          <w:szCs w:val="22"/>
          <w:color w:val="auto"/>
        </w:rPr>
        <w:t>The Employee and the Company jointly elect that the entire liability of the Employer to pay the Employer’s Liability that arises on any Relevant Employment Income is hereby transferred to the Employee. The Employee understands that, by signing this Election (including by electronic signature process) or by accepting the Awards (including by electronic signature process if made available by the Company), as applicable, he or she will become personally liable for the Employer’s Liability covered by this Election. This Election is made in accordance with paragraph 3B(1) of Schedule 1 of the SSCBA.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color w:val="auto"/>
        </w:rPr>
        <w:t>Payment of the Employer’s Liability</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1.a</w:t>
      </w:r>
      <w:r>
        <w:rPr>
          <w:sz w:val="20"/>
          <w:szCs w:val="20"/>
          <w:color w:val="auto"/>
        </w:rPr>
        <w:tab/>
      </w:r>
      <w:r>
        <w:rPr>
          <w:rFonts w:ascii="Arial" w:cs="Arial" w:eastAsia="Arial" w:hAnsi="Arial"/>
          <w:sz w:val="19"/>
          <w:szCs w:val="19"/>
          <w:color w:val="auto"/>
        </w:rPr>
        <w:t>The Employee hereby authorises the Company and/or the Employer to collect the Employer’s Liability in respect of any</w:t>
      </w:r>
    </w:p>
    <w:p>
      <w:pPr>
        <w:ind w:left="660"/>
        <w:spacing w:after="0"/>
        <w:rPr>
          <w:sz w:val="20"/>
          <w:szCs w:val="20"/>
          <w:color w:val="auto"/>
        </w:rPr>
      </w:pPr>
      <w:r>
        <w:rPr>
          <w:rFonts w:ascii="Arial" w:cs="Arial" w:eastAsia="Arial" w:hAnsi="Arial"/>
          <w:sz w:val="22"/>
          <w:szCs w:val="22"/>
          <w:color w:val="auto"/>
        </w:rPr>
        <w:t>Relevant Employment Income from the Employee at any time after the Chargeable Event:</w:t>
      </w:r>
    </w:p>
    <w:p>
      <w:pPr>
        <w:spacing w:after="0" w:line="188" w:lineRule="exact"/>
        <w:rPr>
          <w:sz w:val="20"/>
          <w:szCs w:val="20"/>
          <w:color w:val="auto"/>
        </w:rPr>
      </w:pPr>
    </w:p>
    <w:p>
      <w:pPr>
        <w:ind w:left="980" w:hanging="324"/>
        <w:spacing w:after="0" w:line="232" w:lineRule="auto"/>
        <w:tabs>
          <w:tab w:leader="none" w:pos="975" w:val="left"/>
        </w:tabs>
        <w:numPr>
          <w:ilvl w:val="0"/>
          <w:numId w:val="61"/>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Chargeable Event; and/or</w:t>
      </w:r>
    </w:p>
    <w:p>
      <w:pPr>
        <w:spacing w:after="0" w:line="185" w:lineRule="exact"/>
        <w:rPr>
          <w:rFonts w:ascii="Arial" w:cs="Arial" w:eastAsia="Arial" w:hAnsi="Arial"/>
          <w:sz w:val="22"/>
          <w:szCs w:val="22"/>
          <w:color w:val="auto"/>
        </w:rPr>
      </w:pPr>
    </w:p>
    <w:p>
      <w:pPr>
        <w:ind w:left="980" w:hanging="324"/>
        <w:spacing w:after="0"/>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06" w:lineRule="exact"/>
        <w:rPr>
          <w:rFonts w:ascii="Arial" w:cs="Arial" w:eastAsia="Arial" w:hAnsi="Arial"/>
          <w:sz w:val="22"/>
          <w:szCs w:val="22"/>
          <w:color w:val="auto"/>
        </w:rPr>
      </w:pPr>
    </w:p>
    <w:p>
      <w:pPr>
        <w:jc w:val="both"/>
        <w:ind w:left="980" w:hanging="324"/>
        <w:spacing w:after="0" w:line="234" w:lineRule="auto"/>
        <w:tabs>
          <w:tab w:leader="none" w:pos="975" w:val="left"/>
        </w:tabs>
        <w:numPr>
          <w:ilvl w:val="0"/>
          <w:numId w:val="61"/>
        </w:numPr>
        <w:rPr>
          <w:rFonts w:ascii="Arial" w:cs="Arial" w:eastAsia="Arial" w:hAnsi="Arial"/>
          <w:sz w:val="21"/>
          <w:szCs w:val="21"/>
          <w:color w:val="auto"/>
        </w:rPr>
      </w:pPr>
      <w:r>
        <w:rPr>
          <w:rFonts w:ascii="Arial" w:cs="Arial" w:eastAsia="Arial" w:hAnsi="Arial"/>
          <w:sz w:val="21"/>
          <w:szCs w:val="21"/>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(“HMRC”) by the due date; and/or</w:t>
      </w:r>
    </w:p>
    <w:p>
      <w:pPr>
        <w:spacing w:after="0" w:line="184" w:lineRule="exact"/>
        <w:rPr>
          <w:rFonts w:ascii="Arial" w:cs="Arial" w:eastAsia="Arial" w:hAnsi="Arial"/>
          <w:sz w:val="21"/>
          <w:szCs w:val="21"/>
          <w:color w:val="auto"/>
        </w:rPr>
      </w:pPr>
    </w:p>
    <w:p>
      <w:pPr>
        <w:ind w:left="980" w:right="20" w:hanging="324"/>
        <w:spacing w:after="0" w:line="232" w:lineRule="auto"/>
        <w:tabs>
          <w:tab w:leader="none" w:pos="975" w:val="left"/>
        </w:tabs>
        <w:numPr>
          <w:ilvl w:val="0"/>
          <w:numId w:val="61"/>
        </w:numPr>
        <w:rPr>
          <w:rFonts w:ascii="Arial" w:cs="Arial" w:eastAsia="Arial" w:hAnsi="Arial"/>
          <w:sz w:val="22"/>
          <w:szCs w:val="22"/>
          <w:color w:val="auto"/>
        </w:rPr>
      </w:pPr>
      <w:r>
        <w:rPr>
          <w:rFonts w:ascii="Arial" w:cs="Arial" w:eastAsia="Arial" w:hAnsi="Arial"/>
          <w:sz w:val="22"/>
          <w:szCs w:val="22"/>
          <w:color w:val="auto"/>
        </w:rPr>
        <w:t>by any other means specified in the applicable Restricted Stock Unit agreement entered into between the Employee and the Company.</w:t>
      </w:r>
    </w:p>
    <w:p>
      <w:pPr>
        <w:spacing w:after="0" w:line="186" w:lineRule="exact"/>
        <w:rPr>
          <w:sz w:val="20"/>
          <w:szCs w:val="20"/>
          <w:color w:val="auto"/>
        </w:rPr>
      </w:pPr>
    </w:p>
    <w:p>
      <w:pPr>
        <w:jc w:val="both"/>
        <w:ind w:left="640" w:hanging="647"/>
        <w:spacing w:after="0" w:line="232" w:lineRule="auto"/>
        <w:tabs>
          <w:tab w:leader="none" w:pos="620" w:val="left"/>
        </w:tabs>
        <w:rPr>
          <w:sz w:val="20"/>
          <w:szCs w:val="20"/>
          <w:color w:val="auto"/>
        </w:rPr>
      </w:pPr>
      <w:r>
        <w:rPr>
          <w:rFonts w:ascii="Arial" w:cs="Arial" w:eastAsia="Arial" w:hAnsi="Arial"/>
          <w:sz w:val="22"/>
          <w:szCs w:val="22"/>
          <w:color w:val="auto"/>
        </w:rPr>
        <w:t>1.a</w:t>
      </w:r>
      <w:r>
        <w:rPr>
          <w:sz w:val="20"/>
          <w:szCs w:val="20"/>
          <w:color w:val="auto"/>
        </w:rPr>
        <w:tab/>
      </w:r>
      <w:r>
        <w:rPr>
          <w:rFonts w:ascii="Arial" w:cs="Arial" w:eastAsia="Arial" w:hAnsi="Arial"/>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18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22"/>
          <w:szCs w:val="22"/>
          <w:color w:val="auto"/>
        </w:rPr>
        <w:t>1.b</w:t>
      </w:r>
      <w:r>
        <w:rPr>
          <w:sz w:val="20"/>
          <w:szCs w:val="20"/>
          <w:color w:val="auto"/>
        </w:rPr>
        <w:tab/>
      </w:r>
      <w:r>
        <w:rPr>
          <w:rFonts w:ascii="Arial" w:cs="Arial" w:eastAsia="Arial" w:hAnsi="Arial"/>
          <w:sz w:val="19"/>
          <w:szCs w:val="19"/>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color w:val="auto"/>
        </w:rPr>
        <w:t>Duration of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1" w:right="339" w:bottom="1440" w:gutter="0" w:footer="0" w:header="0"/>
        </w:sectPr>
      </w:pPr>
    </w:p>
    <w:bookmarkStart w:id="112" w:name="page113"/>
    <w:bookmarkEnd w:id="112"/>
    <w:p>
      <w:pPr>
        <w:jc w:val="both"/>
        <w:ind w:left="560" w:right="20" w:hanging="647"/>
        <w:spacing w:after="0" w:line="298" w:lineRule="auto"/>
        <w:tabs>
          <w:tab w:leader="none" w:pos="5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2" w:lineRule="exact"/>
        <w:rPr>
          <w:sz w:val="20"/>
          <w:szCs w:val="20"/>
          <w:color w:val="auto"/>
        </w:rPr>
      </w:pPr>
    </w:p>
    <w:p>
      <w:pPr>
        <w:jc w:val="both"/>
        <w:ind w:left="540" w:hanging="647"/>
        <w:spacing w:after="0" w:line="234" w:lineRule="auto"/>
        <w:tabs>
          <w:tab w:leader="none" w:pos="5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This Election will continue in effect until the earliest of the following:</w:t>
      </w:r>
    </w:p>
    <w:p>
      <w:pPr>
        <w:spacing w:after="0" w:line="206"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date on which the Employee and the Company agree in writing that it should cease to have effect;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date on which the Company serves written notice on the Employee terminating its effect;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date on which HMRC withdraws approval of this Election; or</w:t>
      </w:r>
    </w:p>
    <w:p>
      <w:pPr>
        <w:spacing w:after="0" w:line="206" w:lineRule="exact"/>
        <w:rPr>
          <w:rFonts w:ascii="Arial" w:cs="Arial" w:eastAsia="Arial" w:hAnsi="Arial"/>
          <w:sz w:val="22"/>
          <w:szCs w:val="22"/>
          <w:color w:val="auto"/>
        </w:rPr>
      </w:pPr>
    </w:p>
    <w:p>
      <w:pPr>
        <w:ind w:left="980" w:right="20" w:hanging="324"/>
        <w:spacing w:after="0" w:line="247" w:lineRule="auto"/>
        <w:tabs>
          <w:tab w:leader="none" w:pos="975"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178" w:lineRule="exact"/>
        <w:rPr>
          <w:sz w:val="20"/>
          <w:szCs w:val="20"/>
          <w:color w:val="auto"/>
        </w:rPr>
      </w:pPr>
    </w:p>
    <w:p>
      <w:pPr>
        <w:ind w:right="740"/>
        <w:spacing w:after="0" w:line="432" w:lineRule="auto"/>
        <w:rPr>
          <w:sz w:val="20"/>
          <w:szCs w:val="20"/>
          <w:color w:val="auto"/>
        </w:rPr>
      </w:pPr>
      <w:r>
        <w:rPr>
          <w:rFonts w:ascii="Arial" w:cs="Arial" w:eastAsia="Arial" w:hAnsi="Arial"/>
          <w:sz w:val="22"/>
          <w:szCs w:val="22"/>
          <w:color w:val="auto"/>
        </w:rPr>
        <w:t xml:space="preserve">4.4 This Election will continue in force regardless of whether the Employee ceases to be an employee of the Employer. </w:t>
      </w:r>
      <w:r>
        <w:rPr>
          <w:rFonts w:ascii="Arial" w:cs="Arial" w:eastAsia="Arial" w:hAnsi="Arial"/>
          <w:sz w:val="22"/>
          <w:szCs w:val="22"/>
          <w:b w:val="1"/>
          <w:bCs w:val="1"/>
          <w:u w:val="single" w:color="auto"/>
          <w:color w:val="auto"/>
        </w:rPr>
        <w:t>Acceptance by the Employee</w:t>
      </w:r>
    </w:p>
    <w:p>
      <w:pPr>
        <w:spacing w:after="0" w:line="1" w:lineRule="exact"/>
        <w:rPr>
          <w:sz w:val="20"/>
          <w:szCs w:val="20"/>
          <w:color w:val="auto"/>
        </w:rPr>
      </w:pPr>
    </w:p>
    <w:p>
      <w:pPr>
        <w:jc w:val="both"/>
        <w:ind w:right="140"/>
        <w:spacing w:after="0" w:line="225" w:lineRule="auto"/>
        <w:rPr>
          <w:sz w:val="20"/>
          <w:szCs w:val="20"/>
          <w:color w:val="auto"/>
        </w:rPr>
      </w:pPr>
      <w:r>
        <w:rPr>
          <w:rFonts w:ascii="Arial" w:cs="Arial" w:eastAsia="Arial" w:hAnsi="Arial"/>
          <w:sz w:val="22"/>
          <w:szCs w:val="22"/>
          <w:b w:val="1"/>
          <w:bCs w:val="1"/>
          <w:color w:val="auto"/>
        </w:rPr>
        <w:t>The Employee acknowledges that, by signing this Election (including by electronic signature process) or by accepting the Awards (including by electronic signature process if made available by the Company), the Employee agrees to be bound by the terms of this Election.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rPr>
          <w:sz w:val="20"/>
          <w:szCs w:val="20"/>
          <w:color w:val="auto"/>
        </w:rPr>
      </w:pPr>
      <w:r>
        <w:rPr>
          <w:rFonts w:ascii="Arial" w:cs="Arial" w:eastAsia="Arial" w:hAnsi="Arial"/>
          <w:sz w:val="22"/>
          <w:szCs w:val="22"/>
          <w:color w:val="auto"/>
        </w:rPr>
        <w:t>Signature (Employee) Date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Company</w:t>
      </w:r>
    </w:p>
    <w:p>
      <w:pPr>
        <w:spacing w:after="0" w:line="206" w:lineRule="exact"/>
        <w:rPr>
          <w:sz w:val="20"/>
          <w:szCs w:val="20"/>
          <w:color w:val="auto"/>
        </w:rPr>
      </w:pPr>
    </w:p>
    <w:p>
      <w:pPr>
        <w:ind w:right="60"/>
        <w:spacing w:after="0" w:line="225" w:lineRule="auto"/>
        <w:rPr>
          <w:sz w:val="20"/>
          <w:szCs w:val="20"/>
          <w:color w:val="auto"/>
        </w:rPr>
      </w:pPr>
      <w:r>
        <w:rPr>
          <w:rFonts w:ascii="Arial" w:cs="Arial" w:eastAsia="Arial" w:hAnsi="Arial"/>
          <w:sz w:val="22"/>
          <w:szCs w:val="22"/>
          <w:b w:val="1"/>
          <w:bCs w:val="1"/>
          <w:color w:val="auto"/>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gridSpan w:val="2"/>
          </w:tcPr>
          <w:p>
            <w:pPr>
              <w:spacing w:after="0"/>
              <w:rPr>
                <w:sz w:val="20"/>
                <w:szCs w:val="20"/>
                <w:color w:val="auto"/>
              </w:rPr>
            </w:pPr>
            <w:r>
              <w:rPr>
                <w:rFonts w:ascii="Arial" w:cs="Arial" w:eastAsia="Arial" w:hAnsi="Arial"/>
                <w:sz w:val="22"/>
                <w:szCs w:val="22"/>
                <w:color w:val="auto"/>
              </w:rPr>
              <w:t>Signature for and on</w:t>
            </w:r>
          </w:p>
        </w:tc>
        <w:tc>
          <w:tcPr>
            <w:tcW w:w="2380" w:type="dxa"/>
            <w:vAlign w:val="bottom"/>
            <w:vMerge w:val="restart"/>
          </w:tcPr>
          <w:p>
            <w:pPr>
              <w:jc w:val="right"/>
              <w:spacing w:after="0"/>
              <w:rPr>
                <w:sz w:val="20"/>
                <w:szCs w:val="20"/>
                <w:color w:val="auto"/>
              </w:rPr>
            </w:pPr>
            <w:r>
              <w:rPr>
                <w:rFonts w:ascii="Arial" w:cs="Arial" w:eastAsia="Arial" w:hAnsi="Arial"/>
                <w:sz w:val="22"/>
                <w:szCs w:val="22"/>
                <w:color w:val="auto"/>
                <w:w w:val="96"/>
              </w:rPr>
              <w:t>____________________</w:t>
            </w:r>
          </w:p>
        </w:tc>
        <w:tc>
          <w:tcPr>
            <w:tcW w:w="0" w:type="dxa"/>
            <w:vAlign w:val="bottom"/>
          </w:tcPr>
          <w:p>
            <w:pPr>
              <w:spacing w:after="0"/>
              <w:rPr>
                <w:sz w:val="1"/>
                <w:szCs w:val="1"/>
                <w:color w:val="auto"/>
              </w:rPr>
            </w:pPr>
          </w:p>
        </w:tc>
      </w:tr>
      <w:tr>
        <w:trPr>
          <w:trHeight w:val="274"/>
        </w:trPr>
        <w:tc>
          <w:tcPr>
            <w:tcW w:w="2200" w:type="dxa"/>
            <w:vAlign w:val="bottom"/>
            <w:gridSpan w:val="2"/>
          </w:tcPr>
          <w:p>
            <w:pPr>
              <w:spacing w:after="0"/>
              <w:rPr>
                <w:sz w:val="20"/>
                <w:szCs w:val="20"/>
                <w:color w:val="auto"/>
              </w:rPr>
            </w:pPr>
            <w:r>
              <w:rPr>
                <w:rFonts w:ascii="Arial" w:cs="Arial" w:eastAsia="Arial" w:hAnsi="Arial"/>
                <w:sz w:val="22"/>
                <w:szCs w:val="22"/>
                <w:color w:val="auto"/>
                <w:w w:val="98"/>
              </w:rPr>
              <w:t>behalf of the Company</w:t>
            </w:r>
          </w:p>
        </w:tc>
        <w:tc>
          <w:tcPr>
            <w:tcW w:w="2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0"/>
                <w:szCs w:val="20"/>
                <w:color w:val="auto"/>
              </w:rPr>
            </w:pPr>
            <w:r>
              <w:rPr>
                <w:rFonts w:ascii="Arial" w:cs="Arial" w:eastAsia="Arial" w:hAnsi="Arial"/>
                <w:sz w:val="22"/>
                <w:szCs w:val="22"/>
                <w:color w:val="auto"/>
                <w:w w:val="97"/>
              </w:rPr>
              <w:t>Position</w:t>
            </w:r>
          </w:p>
        </w:tc>
        <w:tc>
          <w:tcPr>
            <w:tcW w:w="3800" w:type="dxa"/>
            <w:vAlign w:val="bottom"/>
            <w:gridSpan w:val="2"/>
          </w:tcPr>
          <w:p>
            <w:pPr>
              <w:jc w:val="right"/>
              <w:ind w:right="1172"/>
              <w:spacing w:after="0"/>
              <w:rPr>
                <w:sz w:val="20"/>
                <w:szCs w:val="20"/>
                <w:color w:val="auto"/>
              </w:rPr>
            </w:pPr>
            <w:r>
              <w:rPr>
                <w:rFonts w:ascii="Arial" w:cs="Arial" w:eastAsia="Arial" w:hAnsi="Arial"/>
                <w:sz w:val="22"/>
                <w:szCs w:val="22"/>
                <w:color w:val="auto"/>
              </w:rPr>
              <w:t>____________________</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0"/>
                <w:szCs w:val="20"/>
                <w:color w:val="auto"/>
              </w:rPr>
            </w:pPr>
            <w:r>
              <w:rPr>
                <w:rFonts w:ascii="Arial" w:cs="Arial" w:eastAsia="Arial" w:hAnsi="Arial"/>
                <w:sz w:val="22"/>
                <w:szCs w:val="22"/>
                <w:color w:val="auto"/>
              </w:rPr>
              <w:t>Date</w:t>
            </w:r>
          </w:p>
        </w:tc>
        <w:tc>
          <w:tcPr>
            <w:tcW w:w="3800" w:type="dxa"/>
            <w:vAlign w:val="bottom"/>
            <w:gridSpan w:val="2"/>
          </w:tcPr>
          <w:p>
            <w:pPr>
              <w:jc w:val="right"/>
              <w:ind w:right="1472"/>
              <w:spacing w:after="0"/>
              <w:rPr>
                <w:sz w:val="20"/>
                <w:szCs w:val="20"/>
                <w:color w:val="auto"/>
              </w:rPr>
            </w:pPr>
            <w:r>
              <w:rPr>
                <w:rFonts w:ascii="Arial" w:cs="Arial" w:eastAsia="Arial" w:hAnsi="Arial"/>
                <w:sz w:val="22"/>
                <w:szCs w:val="22"/>
                <w:color w:val="auto"/>
                <w:w w:val="89"/>
              </w:rPr>
              <w:t>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80"/>
        </w:trPr>
        <w:tc>
          <w:tcPr>
            <w:tcW w:w="3940" w:type="dxa"/>
            <w:vAlign w:val="bottom"/>
          </w:tcPr>
          <w:p>
            <w:pPr>
              <w:spacing w:after="0"/>
              <w:rPr>
                <w:sz w:val="24"/>
                <w:szCs w:val="24"/>
                <w:color w:val="auto"/>
              </w:rPr>
            </w:pPr>
          </w:p>
        </w:tc>
        <w:tc>
          <w:tcPr>
            <w:tcW w:w="7320" w:type="dxa"/>
            <w:vAlign w:val="bottom"/>
          </w:tcPr>
          <w:p>
            <w:pPr>
              <w:ind w:left="120"/>
              <w:spacing w:after="0"/>
              <w:rPr>
                <w:sz w:val="20"/>
                <w:szCs w:val="20"/>
                <w:color w:val="auto"/>
              </w:rPr>
            </w:pPr>
            <w:r>
              <w:rPr>
                <w:rFonts w:ascii="Arial" w:cs="Arial" w:eastAsia="Arial" w:hAnsi="Arial"/>
                <w:sz w:val="22"/>
                <w:szCs w:val="22"/>
                <w:b w:val="1"/>
                <w:bCs w:val="1"/>
                <w:color w:val="auto"/>
              </w:rPr>
              <w:t>Schedule of Employer Companies</w:t>
            </w:r>
          </w:p>
        </w:tc>
      </w:tr>
      <w:tr>
        <w:trPr>
          <w:trHeight w:val="459"/>
        </w:trPr>
        <w:tc>
          <w:tcPr>
            <w:tcW w:w="11260" w:type="dxa"/>
            <w:vAlign w:val="bottom"/>
            <w:gridSpan w:val="2"/>
          </w:tcPr>
          <w:p>
            <w:pPr>
              <w:spacing w:after="0"/>
              <w:rPr>
                <w:sz w:val="20"/>
                <w:szCs w:val="20"/>
                <w:color w:val="auto"/>
              </w:rPr>
            </w:pPr>
            <w:r>
              <w:rPr>
                <w:rFonts w:ascii="Arial" w:cs="Arial" w:eastAsia="Arial" w:hAnsi="Arial"/>
                <w:sz w:val="22"/>
                <w:szCs w:val="22"/>
                <w:color w:val="auto"/>
              </w:rPr>
              <w:t>The employing companies to which this Election relates include:</w:t>
            </w:r>
          </w:p>
        </w:tc>
      </w:tr>
      <w:tr>
        <w:trPr>
          <w:trHeight w:val="246"/>
        </w:trPr>
        <w:tc>
          <w:tcPr>
            <w:tcW w:w="3940" w:type="dxa"/>
            <w:vAlign w:val="bottom"/>
            <w:tcBorders>
              <w:bottom w:val="single" w:sz="8" w:color="auto"/>
            </w:tcBorders>
          </w:tcPr>
          <w:p>
            <w:pPr>
              <w:spacing w:after="0"/>
              <w:rPr>
                <w:sz w:val="21"/>
                <w:szCs w:val="21"/>
                <w:color w:val="auto"/>
              </w:rPr>
            </w:pPr>
          </w:p>
        </w:tc>
        <w:tc>
          <w:tcPr>
            <w:tcW w:w="7320" w:type="dxa"/>
            <w:vAlign w:val="bottom"/>
            <w:tcBorders>
              <w:bottom w:val="single" w:sz="8" w:color="auto"/>
            </w:tcBorders>
          </w:tcPr>
          <w:p>
            <w:pPr>
              <w:spacing w:after="0"/>
              <w:rPr>
                <w:sz w:val="21"/>
                <w:szCs w:val="21"/>
                <w:color w:val="auto"/>
              </w:rPr>
            </w:pPr>
          </w:p>
        </w:tc>
      </w:tr>
      <w:tr>
        <w:trPr>
          <w:trHeight w:val="264"/>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Name</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Guidewire Software (UK) Ltd</w:t>
            </w:r>
            <w:r>
              <w:rPr>
                <w:rFonts w:ascii="Arial" w:cs="Arial" w:eastAsia="Arial" w:hAnsi="Arial"/>
                <w:sz w:val="22"/>
                <w:szCs w:val="22"/>
                <w:color w:val="auto"/>
              </w:rPr>
              <w:t>.</w:t>
            </w:r>
          </w:p>
        </w:tc>
      </w:tr>
      <w:tr>
        <w:trPr>
          <w:trHeight w:val="202"/>
        </w:trPr>
        <w:tc>
          <w:tcPr>
            <w:tcW w:w="39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color w:val="auto"/>
              </w:rPr>
              <w:t>Registered Office:</w:t>
            </w:r>
          </w:p>
        </w:tc>
        <w:tc>
          <w:tcPr>
            <w:tcW w:w="73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4th Floor, 9 Cloak Lane</w:t>
            </w:r>
          </w:p>
        </w:tc>
      </w:tr>
      <w:tr>
        <w:trPr>
          <w:trHeight w:val="276"/>
        </w:trPr>
        <w:tc>
          <w:tcPr>
            <w:tcW w:w="3940" w:type="dxa"/>
            <w:vAlign w:val="bottom"/>
            <w:tcBorders>
              <w:left w:val="single" w:sz="8" w:color="auto"/>
              <w:bottom w:val="single" w:sz="8" w:color="auto"/>
              <w:right w:val="single" w:sz="8" w:color="auto"/>
            </w:tcBorders>
          </w:tcPr>
          <w:p>
            <w:pPr>
              <w:spacing w:after="0"/>
              <w:rPr>
                <w:sz w:val="24"/>
                <w:szCs w:val="24"/>
                <w:color w:val="auto"/>
              </w:rPr>
            </w:pP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London EC4R 2RU, U.K.</w:t>
            </w:r>
          </w:p>
        </w:tc>
      </w:tr>
      <w:tr>
        <w:trPr>
          <w:trHeight w:val="265"/>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Company Registration Number:</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05427894</w:t>
            </w:r>
          </w:p>
        </w:tc>
      </w:tr>
      <w:tr>
        <w:trPr>
          <w:trHeight w:val="264"/>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Corporation Tax Reference:</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18293 29999</w:t>
            </w:r>
          </w:p>
        </w:tc>
      </w:tr>
      <w:tr>
        <w:trPr>
          <w:trHeight w:val="263"/>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PAYE Reference:</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951 / BZ75816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60"/>
          </w:cols>
          <w:pgMar w:left="320" w:top="1395" w:right="31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27"/>
          <w:szCs w:val="27"/>
          <w:b w:val="1"/>
          <w:bCs w:val="1"/>
          <w:color w:val="auto"/>
        </w:rPr>
        <w:t>Guidewire Software, Inc.</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auto"/>
        </w:rPr>
        <w:t>Amended and Restated 2020 Stock Plan</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auto"/>
        </w:rPr>
        <w:t>Notice of Restricted Stock Unit Award</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360" w:val="left"/>
        </w:tabs>
        <w:rPr>
          <w:sz w:val="20"/>
          <w:szCs w:val="20"/>
          <w:color w:val="auto"/>
        </w:rPr>
      </w:pPr>
      <w:r>
        <w:rPr>
          <w:rFonts w:ascii="Arial" w:cs="Arial" w:eastAsia="Arial" w:hAnsi="Arial"/>
          <w:sz w:val="18"/>
          <w:szCs w:val="18"/>
          <w:b w:val="1"/>
          <w:bCs w:val="1"/>
          <w:color w:val="auto"/>
        </w:rPr>
        <w:t>Name of Grantee:</w:t>
      </w:r>
      <w:r>
        <w:rPr>
          <w:sz w:val="20"/>
          <w:szCs w:val="20"/>
          <w:color w:val="auto"/>
        </w:rPr>
        <w:tab/>
      </w:r>
      <w:r>
        <w:rPr>
          <w:rFonts w:ascii="Arial" w:cs="Arial" w:eastAsia="Arial" w:hAnsi="Arial"/>
          <w:sz w:val="16"/>
          <w:szCs w:val="16"/>
          <w:b w:val="1"/>
          <w:bCs w:val="1"/>
          <w:color w:val="auto"/>
        </w:rPr>
        <w:t>Award Number:</w:t>
      </w:r>
    </w:p>
    <w:p>
      <w:pPr>
        <w:spacing w:after="0" w:line="200" w:lineRule="exact"/>
        <w:rPr>
          <w:sz w:val="20"/>
          <w:szCs w:val="20"/>
          <w:color w:val="auto"/>
        </w:rPr>
      </w:pPr>
    </w:p>
    <w:p>
      <w:pPr>
        <w:spacing w:after="0" w:line="37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ID:</w:t>
      </w:r>
    </w:p>
    <w:p>
      <w:pPr>
        <w:spacing w:after="0" w:line="200" w:lineRule="exact"/>
        <w:rPr>
          <w:sz w:val="20"/>
          <w:szCs w:val="20"/>
          <w:color w:val="auto"/>
        </w:rPr>
      </w:pPr>
    </w:p>
    <w:p>
      <w:pPr>
        <w:spacing w:after="0" w:line="272" w:lineRule="exact"/>
        <w:rPr>
          <w:sz w:val="20"/>
          <w:szCs w:val="20"/>
          <w:color w:val="auto"/>
        </w:rPr>
      </w:pPr>
    </w:p>
    <w:p>
      <w:pPr>
        <w:jc w:val="both"/>
        <w:ind w:right="100" w:firstLine="324"/>
        <w:spacing w:after="0" w:line="233" w:lineRule="auto"/>
        <w:rPr>
          <w:sz w:val="20"/>
          <w:szCs w:val="20"/>
          <w:color w:val="auto"/>
        </w:rPr>
      </w:pPr>
      <w:r>
        <w:rPr>
          <w:rFonts w:ascii="Arial" w:cs="Arial" w:eastAsia="Arial" w:hAnsi="Arial"/>
          <w:sz w:val="17"/>
          <w:szCs w:val="17"/>
          <w:color w:val="auto"/>
        </w:rPr>
        <w:t>Pursuant to the Guidewire Software, Inc. Amended and Restated 2020 Stock Plan (the “Plan”), this Notice of Restricted Stock Unit Award (the “Notice”) and the terms and conditions set forth in the Restricted Stock Unit Award Agreement (together with the Notice, the “Award Agreement”),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Guidewire Software, Inc. (the “Company”) hereby grants an award of the number of Restricted Stock Units listed below (an “Award”) to the named Grantee. Each Restricted Stock Unit shall relate to one share (a “Share”) of Common Stock (the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40575" cy="626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40575" cy="6261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 of Restricted Stock Units Granted:</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Grant Date:</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Vesting Conditions: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Vesting Commencement Date:</w:t>
      </w:r>
    </w:p>
    <w:p>
      <w:pPr>
        <w:spacing w:after="0" w:line="200" w:lineRule="exact"/>
        <w:rPr>
          <w:sz w:val="20"/>
          <w:szCs w:val="20"/>
          <w:color w:val="auto"/>
        </w:rPr>
      </w:pPr>
    </w:p>
    <w:p>
      <w:pPr>
        <w:spacing w:after="0" w:line="286"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By clicking on the “Accept” button or signing below, the Grantee and the Company agree this Award is granted under, and governed by the terms and conditions of, the Plan and the Award Agreement.</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729"/>
        </w:trPr>
        <w:tc>
          <w:tcPr>
            <w:tcW w:w="80" w:type="dxa"/>
            <w:vAlign w:val="bottom"/>
            <w:tcBorders>
              <w:top w:val="single" w:sz="8" w:color="auto"/>
              <w:left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3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tcBorders>
          </w:tcPr>
          <w:p>
            <w:pPr>
              <w:spacing w:after="0"/>
              <w:rPr>
                <w:sz w:val="17"/>
                <w:szCs w:val="17"/>
                <w:color w:val="auto"/>
              </w:rPr>
            </w:pPr>
          </w:p>
        </w:tc>
        <w:tc>
          <w:tcPr>
            <w:tcW w:w="2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By:</w:t>
            </w:r>
          </w:p>
        </w:tc>
        <w:tc>
          <w:tcPr>
            <w:tcW w:w="334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6"/>
                <w:szCs w:val="16"/>
                <w:b w:val="1"/>
                <w:bCs w:val="1"/>
                <w:i w:val="1"/>
                <w:iCs w:val="1"/>
                <w:color w:val="auto"/>
              </w:rPr>
              <w:t>Employee Name</w:t>
            </w:r>
          </w:p>
        </w:tc>
        <w:tc>
          <w:tcPr>
            <w:tcW w:w="3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Borders>
              <w:left w:val="single" w:sz="8" w:color="auto"/>
            </w:tcBorders>
          </w:tcPr>
          <w:p>
            <w:pPr>
              <w:spacing w:after="0"/>
              <w:rPr>
                <w:sz w:val="5"/>
                <w:szCs w:val="5"/>
                <w:color w:val="auto"/>
              </w:rPr>
            </w:pPr>
          </w:p>
        </w:tc>
        <w:tc>
          <w:tcPr>
            <w:tcW w:w="2280" w:type="dxa"/>
            <w:vAlign w:val="bottom"/>
            <w:vMerge w:val="continue"/>
          </w:tcPr>
          <w:p>
            <w:pPr>
              <w:spacing w:after="0"/>
              <w:rPr>
                <w:sz w:val="5"/>
                <w:szCs w:val="5"/>
                <w:color w:val="auto"/>
              </w:rPr>
            </w:pPr>
          </w:p>
        </w:tc>
        <w:tc>
          <w:tcPr>
            <w:tcW w:w="33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3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0" w:type="dxa"/>
            <w:vAlign w:val="bottom"/>
            <w:tcBorders>
              <w:left w:val="single" w:sz="8" w:color="auto"/>
            </w:tcBorders>
          </w:tcPr>
          <w:p>
            <w:pPr>
              <w:spacing w:after="0"/>
              <w:rPr>
                <w:sz w:val="12"/>
                <w:szCs w:val="12"/>
                <w:color w:val="auto"/>
              </w:rPr>
            </w:pPr>
          </w:p>
        </w:tc>
        <w:tc>
          <w:tcPr>
            <w:tcW w:w="2280" w:type="dxa"/>
            <w:vAlign w:val="bottom"/>
          </w:tcPr>
          <w:p>
            <w:pPr>
              <w:spacing w:after="0" w:line="142" w:lineRule="exact"/>
              <w:rPr>
                <w:sz w:val="20"/>
                <w:szCs w:val="20"/>
                <w:color w:val="auto"/>
              </w:rPr>
            </w:pPr>
            <w:r>
              <w:rPr>
                <w:rFonts w:ascii="Arial" w:cs="Arial" w:eastAsia="Arial" w:hAnsi="Arial"/>
                <w:sz w:val="16"/>
                <w:szCs w:val="16"/>
                <w:b w:val="1"/>
                <w:bCs w:val="1"/>
                <w:i w:val="1"/>
                <w:iCs w:val="1"/>
                <w:color w:val="auto"/>
              </w:rPr>
              <w:t>Name:</w:t>
            </w:r>
          </w:p>
        </w:tc>
        <w:tc>
          <w:tcPr>
            <w:tcW w:w="3340" w:type="dxa"/>
            <w:vAlign w:val="bottom"/>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3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bottom w:val="single" w:sz="8" w:color="auto"/>
            </w:tcBorders>
          </w:tcPr>
          <w:p>
            <w:pPr>
              <w:spacing w:after="0"/>
              <w:rPr>
                <w:sz w:val="15"/>
                <w:szCs w:val="15"/>
                <w:color w:val="auto"/>
              </w:rPr>
            </w:pPr>
          </w:p>
        </w:tc>
        <w:tc>
          <w:tcPr>
            <w:tcW w:w="2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Title:</w:t>
            </w:r>
          </w:p>
        </w:tc>
        <w:tc>
          <w:tcPr>
            <w:tcW w:w="33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Date</w:t>
            </w:r>
          </w:p>
        </w:tc>
        <w:tc>
          <w:tcPr>
            <w:tcW w:w="33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94" w:right="319" w:bottom="1440" w:gutter="0" w:footer="0" w:header="0"/>
        </w:sectPr>
      </w:pPr>
    </w:p>
    <w:bookmarkStart w:id="115" w:name="page116"/>
    <w:bookmarkEnd w:id="115"/>
    <w:p>
      <w:pPr>
        <w:ind w:left="2640"/>
        <w:spacing w:after="0"/>
        <w:rPr>
          <w:sz w:val="20"/>
          <w:szCs w:val="20"/>
          <w:color w:val="auto"/>
        </w:rPr>
      </w:pPr>
      <w:r>
        <w:rPr>
          <w:rFonts w:ascii="Arial" w:cs="Arial" w:eastAsia="Arial" w:hAnsi="Arial"/>
          <w:sz w:val="25"/>
          <w:szCs w:val="25"/>
          <w:b w:val="1"/>
          <w:bCs w:val="1"/>
          <w:color w:val="auto"/>
        </w:rPr>
        <w:t>RESTRICTED STOCK UNIT AWARD AGREEMENT</w:t>
      </w:r>
    </w:p>
    <w:p>
      <w:pPr>
        <w:ind w:left="4220"/>
        <w:spacing w:after="0" w:line="202" w:lineRule="auto"/>
        <w:rPr>
          <w:sz w:val="20"/>
          <w:szCs w:val="20"/>
          <w:color w:val="auto"/>
        </w:rPr>
      </w:pPr>
      <w:r>
        <w:rPr>
          <w:rFonts w:ascii="Arial" w:cs="Arial" w:eastAsia="Arial" w:hAnsi="Arial"/>
          <w:sz w:val="25"/>
          <w:szCs w:val="25"/>
          <w:b w:val="1"/>
          <w:bCs w:val="1"/>
          <w:color w:val="auto"/>
        </w:rPr>
        <w:t>FOR NON-EMPLOYEES</w:t>
      </w:r>
    </w:p>
    <w:p>
      <w:pPr>
        <w:jc w:val="center"/>
        <w:ind w:right="-19"/>
        <w:spacing w:after="0" w:line="215" w:lineRule="auto"/>
        <w:rPr>
          <w:sz w:val="20"/>
          <w:szCs w:val="20"/>
          <w:color w:val="auto"/>
        </w:rPr>
      </w:pPr>
      <w:r>
        <w:rPr>
          <w:rFonts w:ascii="Arial" w:cs="Arial" w:eastAsia="Arial" w:hAnsi="Arial"/>
          <w:sz w:val="25"/>
          <w:szCs w:val="25"/>
          <w:b w:val="1"/>
          <w:bCs w:val="1"/>
          <w:color w:val="auto"/>
        </w:rPr>
        <w:t>UNDER THE GUIDEWIRE SOFTWARE, INC.</w:t>
      </w:r>
    </w:p>
    <w:p>
      <w:pPr>
        <w:jc w:val="center"/>
        <w:ind w:right="-19"/>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-17780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u w:val="single" w:color="auto"/>
          <w:color w:val="auto"/>
        </w:rPr>
        <w:t>_____________________</w:t>
      </w:r>
    </w:p>
    <w:p>
      <w:pPr>
        <w:spacing w:after="0" w:line="395"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Pursuant to the Guidewire Software, Inc. Amended and Restated 2020 Stock Plan as amended through the date hereof (the “Plan”), Guidewire Software, Inc. (the “Company”) hereby grants an award of the number of Restricted Stock Units listed above (an “Award”) to the Grantee named above. Each Restricted Stock Unit shall relate to one share of Common Stock (the “Stock”) of the Company.</w:t>
      </w:r>
    </w:p>
    <w:p>
      <w:pPr>
        <w:spacing w:after="0" w:line="161" w:lineRule="exact"/>
        <w:rPr>
          <w:sz w:val="20"/>
          <w:szCs w:val="20"/>
          <w:color w:val="auto"/>
        </w:rPr>
      </w:pPr>
    </w:p>
    <w:p>
      <w:pPr>
        <w:ind w:right="20" w:firstLine="648"/>
        <w:spacing w:after="0" w:line="21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50" w:lineRule="exact"/>
        <w:rPr>
          <w:sz w:val="20"/>
          <w:szCs w:val="20"/>
          <w:color w:val="auto"/>
        </w:rPr>
      </w:pPr>
    </w:p>
    <w:p>
      <w:pPr>
        <w:ind w:right="260" w:firstLine="648"/>
        <w:spacing w:after="0" w:line="211"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[Subject to any Company leave of absence policy in effect, t]</w:t>
      </w:r>
      <w:r>
        <w:rPr>
          <w:rFonts w:ascii="Arial" w:cs="Arial" w:eastAsia="Arial" w:hAnsi="Arial"/>
          <w:sz w:val="25"/>
          <w:szCs w:val="25"/>
          <w:color w:val="auto"/>
          <w:vertAlign w:val="superscript"/>
        </w:rPr>
        <w:t>5</w:t>
      </w:r>
      <w:r>
        <w:rPr>
          <w:rFonts w:ascii="Arial" w:cs="Arial" w:eastAsia="Arial" w:hAnsi="Arial"/>
          <w:sz w:val="19"/>
          <w:szCs w:val="19"/>
          <w:color w:val="auto"/>
        </w:rPr>
        <w:t xml:space="preserve"> [T]he restrictions and conditions of Paragraph 1 of this Agreement shall lapse on the Vesting Date or Dates specified in the following schedule so long as the Grantee [remains in service as a member of the Board]</w:t>
      </w:r>
      <w:r>
        <w:rPr>
          <w:rFonts w:ascii="Arial" w:cs="Arial" w:eastAsia="Arial" w:hAnsi="Arial"/>
          <w:sz w:val="25"/>
          <w:szCs w:val="25"/>
          <w:color w:val="auto"/>
          <w:vertAlign w:val="superscript"/>
        </w:rPr>
        <w:t>6</w:t>
      </w:r>
      <w:r>
        <w:rPr>
          <w:rFonts w:ascii="Arial" w:cs="Arial" w:eastAsia="Arial" w:hAnsi="Arial"/>
          <w:sz w:val="19"/>
          <w:szCs w:val="19"/>
          <w:color w:val="auto"/>
        </w:rPr>
        <w:t xml:space="preserve"> [continues to have a Service Relationship with the Company or a Subsidiary]</w:t>
      </w:r>
      <w:r>
        <w:rPr>
          <w:rFonts w:ascii="Arial" w:cs="Arial" w:eastAsia="Arial" w:hAnsi="Arial"/>
          <w:sz w:val="25"/>
          <w:szCs w:val="25"/>
          <w:color w:val="auto"/>
          <w:vertAlign w:val="superscript"/>
        </w:rPr>
        <w:t>7</w:t>
      </w:r>
      <w:r>
        <w:rPr>
          <w:rFonts w:ascii="Arial" w:cs="Arial" w:eastAsia="Arial" w:hAnsi="Arial"/>
          <w:sz w:val="19"/>
          <w:szCs w:val="19"/>
          <w:color w:val="auto"/>
        </w:rPr>
        <w:t xml:space="preserve"> on such Dates. If a series of Vesting Dates is specified, then the restrictions and conditions in Paragraph 1 shall lapse only with respect to the number of Restricted Stock Units specified as vested on such date.</w:t>
      </w:r>
    </w:p>
    <w:p>
      <w:pPr>
        <w:spacing w:after="0" w:line="196" w:lineRule="exact"/>
        <w:rPr>
          <w:sz w:val="20"/>
          <w:szCs w:val="20"/>
          <w:color w:val="auto"/>
        </w:rPr>
      </w:pPr>
    </w:p>
    <w:p>
      <w:pPr>
        <w:jc w:val="center"/>
        <w:ind w:right="4800"/>
        <w:spacing w:after="0"/>
        <w:rPr>
          <w:sz w:val="20"/>
          <w:szCs w:val="20"/>
          <w:color w:val="auto"/>
        </w:rPr>
      </w:pPr>
      <w:r>
        <w:rPr>
          <w:rFonts w:ascii="Arial" w:cs="Arial" w:eastAsia="Arial" w:hAnsi="Arial"/>
          <w:sz w:val="22"/>
          <w:szCs w:val="22"/>
          <w:color w:val="auto"/>
        </w:rPr>
        <w:t>Incremental Number of</w:t>
      </w:r>
    </w:p>
    <w:p>
      <w:pPr>
        <w:jc w:val="center"/>
        <w:ind w:right="4800"/>
        <w:spacing w:after="0" w:line="195" w:lineRule="auto"/>
        <w:rPr>
          <w:sz w:val="20"/>
          <w:szCs w:val="20"/>
          <w:color w:val="auto"/>
        </w:rPr>
      </w:pPr>
      <w:r>
        <w:rPr>
          <w:rFonts w:ascii="Arial" w:cs="Arial" w:eastAsia="Arial" w:hAnsi="Arial"/>
          <w:sz w:val="22"/>
          <w:szCs w:val="22"/>
          <w:color w:val="auto"/>
        </w:rPr>
        <w:t>Restricted Stock Units Vested</w:t>
      </w:r>
    </w:p>
    <w:tbl>
      <w:tblPr>
        <w:tblLayout w:type="fixed"/>
        <w:tblInd w:w="1940" w:type="dxa"/>
        <w:tblCellMar>
          <w:top w:w="0" w:type="dxa"/>
          <w:left w:w="0" w:type="dxa"/>
          <w:bottom w:w="0" w:type="dxa"/>
          <w:right w:w="0" w:type="dxa"/>
        </w:tblCellMar>
      </w:tblPr>
      <w:tr>
        <w:trPr>
          <w:trHeight w:val="196"/>
        </w:trPr>
        <w:tc>
          <w:tcPr>
            <w:tcW w:w="258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1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7"/>
              </w:rPr>
              <w:t>Vesting Date</w:t>
            </w:r>
          </w:p>
        </w:tc>
        <w:tc>
          <w:tcPr>
            <w:tcW w:w="360" w:type="dxa"/>
            <w:vAlign w:val="bottom"/>
          </w:tcPr>
          <w:p>
            <w:pPr>
              <w:spacing w:after="0"/>
              <w:rPr>
                <w:sz w:val="17"/>
                <w:szCs w:val="17"/>
                <w:color w:val="auto"/>
              </w:rPr>
            </w:pPr>
          </w:p>
        </w:tc>
      </w:tr>
      <w:tr>
        <w:trPr>
          <w:trHeight w:val="317"/>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4040" w:type="dxa"/>
            <w:vAlign w:val="bottom"/>
            <w:gridSpan w:val="3"/>
          </w:tcPr>
          <w:p>
            <w:pPr>
              <w:jc w:val="center"/>
              <w:ind w:left="2092"/>
              <w:spacing w:after="0" w:line="317" w:lineRule="exact"/>
              <w:rPr>
                <w:sz w:val="20"/>
                <w:szCs w:val="20"/>
                <w:color w:val="auto"/>
              </w:rPr>
            </w:pPr>
            <w:r>
              <w:rPr>
                <w:rFonts w:ascii="Arial" w:cs="Arial" w:eastAsia="Arial" w:hAnsi="Arial"/>
                <w:sz w:val="22"/>
                <w:szCs w:val="22"/>
                <w:b w:val="1"/>
                <w:bCs w:val="1"/>
                <w:color w:val="auto"/>
                <w:w w:val="88"/>
              </w:rPr>
              <w:t>[_______________]</w:t>
            </w:r>
            <w:r>
              <w:rPr>
                <w:rFonts w:ascii="Arial" w:cs="Arial" w:eastAsia="Arial" w:hAnsi="Arial"/>
                <w:sz w:val="28"/>
                <w:szCs w:val="28"/>
                <w:b w:val="1"/>
                <w:bCs w:val="1"/>
                <w:color w:val="auto"/>
                <w:w w:val="88"/>
                <w:vertAlign w:val="superscript"/>
              </w:rPr>
              <w:t>8</w:t>
            </w:r>
          </w:p>
        </w:tc>
      </w:tr>
      <w:tr>
        <w:trPr>
          <w:trHeight w:val="27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4040" w:type="dxa"/>
            <w:vAlign w:val="bottom"/>
            <w:gridSpan w:val="3"/>
          </w:tcPr>
          <w:p>
            <w:pPr>
              <w:jc w:val="center"/>
              <w:ind w:left="2072"/>
              <w:spacing w:after="0"/>
              <w:rPr>
                <w:sz w:val="20"/>
                <w:szCs w:val="20"/>
                <w:color w:val="auto"/>
              </w:rPr>
            </w:pPr>
            <w:r>
              <w:rPr>
                <w:rFonts w:ascii="Arial" w:cs="Arial" w:eastAsia="Arial" w:hAnsi="Arial"/>
                <w:sz w:val="22"/>
                <w:szCs w:val="22"/>
                <w:b w:val="1"/>
                <w:bCs w:val="1"/>
                <w:color w:val="auto"/>
                <w:w w:val="88"/>
              </w:rPr>
              <w:t>_______________</w:t>
            </w:r>
          </w:p>
        </w:tc>
      </w:tr>
      <w:tr>
        <w:trPr>
          <w:trHeight w:val="27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4040" w:type="dxa"/>
            <w:vAlign w:val="bottom"/>
            <w:gridSpan w:val="3"/>
          </w:tcPr>
          <w:p>
            <w:pPr>
              <w:jc w:val="center"/>
              <w:ind w:left="2072"/>
              <w:spacing w:after="0"/>
              <w:rPr>
                <w:sz w:val="20"/>
                <w:szCs w:val="20"/>
                <w:color w:val="auto"/>
              </w:rPr>
            </w:pPr>
            <w:r>
              <w:rPr>
                <w:rFonts w:ascii="Arial" w:cs="Arial" w:eastAsia="Arial" w:hAnsi="Arial"/>
                <w:sz w:val="22"/>
                <w:szCs w:val="22"/>
                <w:b w:val="1"/>
                <w:bCs w:val="1"/>
                <w:color w:val="auto"/>
                <w:w w:val="88"/>
              </w:rPr>
              <w:t>_______________</w:t>
            </w:r>
          </w:p>
        </w:tc>
      </w:tr>
      <w:tr>
        <w:trPr>
          <w:trHeight w:val="280"/>
        </w:trPr>
        <w:tc>
          <w:tcPr>
            <w:tcW w:w="2580" w:type="dxa"/>
            <w:vAlign w:val="bottom"/>
          </w:tcPr>
          <w:p>
            <w:pPr>
              <w:jc w:val="right"/>
              <w:ind w:right="132"/>
              <w:spacing w:after="0"/>
              <w:rPr>
                <w:sz w:val="20"/>
                <w:szCs w:val="20"/>
                <w:color w:val="auto"/>
              </w:rPr>
            </w:pPr>
            <w:r>
              <w:rPr>
                <w:rFonts w:ascii="Arial" w:cs="Arial" w:eastAsia="Arial" w:hAnsi="Arial"/>
                <w:sz w:val="22"/>
                <w:szCs w:val="22"/>
                <w:color w:val="auto"/>
                <w:w w:val="98"/>
              </w:rPr>
              <w:t>_____________ (___%)</w:t>
            </w:r>
          </w:p>
        </w:tc>
        <w:tc>
          <w:tcPr>
            <w:tcW w:w="4040" w:type="dxa"/>
            <w:vAlign w:val="bottom"/>
            <w:gridSpan w:val="3"/>
          </w:tcPr>
          <w:p>
            <w:pPr>
              <w:jc w:val="center"/>
              <w:ind w:left="2072"/>
              <w:spacing w:after="0"/>
              <w:rPr>
                <w:sz w:val="20"/>
                <w:szCs w:val="20"/>
                <w:color w:val="auto"/>
              </w:rPr>
            </w:pPr>
            <w:r>
              <w:rPr>
                <w:rFonts w:ascii="Arial" w:cs="Arial" w:eastAsia="Arial" w:hAnsi="Arial"/>
                <w:sz w:val="22"/>
                <w:szCs w:val="22"/>
                <w:b w:val="1"/>
                <w:bCs w:val="1"/>
                <w:color w:val="auto"/>
                <w:w w:val="88"/>
              </w:rPr>
              <w:t>_______________</w:t>
            </w:r>
          </w:p>
        </w:tc>
      </w:tr>
    </w:tbl>
    <w:p>
      <w:pPr>
        <w:spacing w:after="0" w:line="266"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[Notwithstanding anything in this Agreement to the contrary, in the case of a Sale Event, the Restricted Stock Units shall be treated as provided in Section 3(c) of the Plan;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14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left="500" w:hanging="103"/>
        <w:spacing w:after="0"/>
        <w:tabs>
          <w:tab w:leader="none" w:pos="50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Include if LOA policy is in effect.</w:t>
      </w:r>
    </w:p>
    <w:p>
      <w:pPr>
        <w:spacing w:after="0" w:line="60" w:lineRule="exact"/>
        <w:rPr>
          <w:sz w:val="20"/>
          <w:szCs w:val="20"/>
          <w:color w:val="auto"/>
        </w:rPr>
      </w:pPr>
    </w:p>
    <w:p>
      <w:pPr>
        <w:ind w:left="500" w:hanging="103"/>
        <w:spacing w:after="0"/>
        <w:tabs>
          <w:tab w:leader="none" w:pos="50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For directors.</w:t>
      </w:r>
    </w:p>
    <w:p>
      <w:pPr>
        <w:spacing w:after="0" w:line="60" w:lineRule="exact"/>
        <w:rPr>
          <w:sz w:val="20"/>
          <w:szCs w:val="20"/>
          <w:color w:val="auto"/>
        </w:rPr>
      </w:pPr>
    </w:p>
    <w:p>
      <w:pPr>
        <w:ind w:left="500" w:hanging="103"/>
        <w:spacing w:after="0"/>
        <w:tabs>
          <w:tab w:leader="none" w:pos="500"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For consultants.</w:t>
      </w:r>
    </w:p>
    <w:p>
      <w:pPr>
        <w:spacing w:after="0" w:line="71" w:lineRule="exact"/>
        <w:rPr>
          <w:sz w:val="20"/>
          <w:szCs w:val="20"/>
          <w:color w:val="auto"/>
        </w:rPr>
      </w:pPr>
    </w:p>
    <w:p>
      <w:pPr>
        <w:ind w:left="500" w:hanging="103"/>
        <w:spacing w:after="0"/>
        <w:tabs>
          <w:tab w:leader="none" w:pos="500" w:val="left"/>
        </w:tabs>
        <w:numPr>
          <w:ilvl w:val="0"/>
          <w:numId w:val="66"/>
        </w:numPr>
        <w:rPr>
          <w:rFonts w:ascii="Arial" w:cs="Arial" w:eastAsia="Arial" w:hAnsi="Arial"/>
          <w:sz w:val="22"/>
          <w:szCs w:val="22"/>
          <w:color w:val="auto"/>
          <w:vertAlign w:val="superscript"/>
        </w:rPr>
      </w:pPr>
      <w:r>
        <w:rPr>
          <w:rFonts w:ascii="Arial" w:cs="Arial" w:eastAsia="Arial" w:hAnsi="Arial"/>
          <w:sz w:val="17"/>
          <w:szCs w:val="17"/>
          <w:color w:val="auto"/>
        </w:rPr>
        <w:t>For directors, enter “Earlier of the Company’s next annual meeting of stockholders or the one-year anniversary of the Vesting Commencement</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Date.”</w:t>
      </w:r>
    </w:p>
    <w:p>
      <w:pPr>
        <w:sectPr>
          <w:pgSz w:w="11900" w:h="16838" w:orient="portrait"/>
          <w:cols w:equalWidth="0" w:num="1">
            <w:col w:w="11240"/>
          </w:cols>
          <w:pgMar w:left="320" w:top="1383" w:right="339" w:bottom="1440" w:gutter="0" w:footer="0" w:header="0"/>
        </w:sectPr>
      </w:pPr>
    </w:p>
    <w:bookmarkStart w:id="116" w:name="page117"/>
    <w:bookmarkEnd w:id="116"/>
    <w:p>
      <w:pPr>
        <w:ind w:right="20"/>
        <w:spacing w:after="0" w:line="210" w:lineRule="auto"/>
        <w:rPr>
          <w:sz w:val="20"/>
          <w:szCs w:val="20"/>
          <w:color w:val="auto"/>
        </w:rPr>
      </w:pPr>
      <w:r>
        <w:rPr>
          <w:rFonts w:ascii="Arial" w:cs="Arial" w:eastAsia="Arial" w:hAnsi="Arial"/>
          <w:sz w:val="22"/>
          <w:szCs w:val="22"/>
          <w:color w:val="auto"/>
        </w:rPr>
        <w:t>in the event of a Sale Event, 100% of the then-outstanding and unvested Restricted Stock Units shall immediately be deemed vested on the date of such Sale Event, subject to the Grantee remaining in service as a member of the Board until the date of such Sale Event.]</w:t>
      </w:r>
      <w:r>
        <w:rPr>
          <w:rFonts w:ascii="Arial" w:cs="Arial" w:eastAsia="Arial" w:hAnsi="Arial"/>
          <w:sz w:val="28"/>
          <w:szCs w:val="28"/>
          <w:color w:val="auto"/>
          <w:vertAlign w:val="superscript"/>
        </w:rPr>
        <w:t>9</w:t>
      </w:r>
      <w:r>
        <w:rPr>
          <w:rFonts w:ascii="Arial" w:cs="Arial" w:eastAsia="Arial" w:hAnsi="Arial"/>
          <w:sz w:val="22"/>
          <w:szCs w:val="22"/>
          <w:color w:val="auto"/>
        </w:rPr>
        <w:t xml:space="preserve"> [Notwithstanding anything in this Agreement to the contrary, in the case of a Sale Event, the Restricted Stock Units shall be treated as provided in Section 3(c) of the Plan]</w:t>
      </w:r>
      <w:r>
        <w:rPr>
          <w:rFonts w:ascii="Arial" w:cs="Arial" w:eastAsia="Arial" w:hAnsi="Arial"/>
          <w:sz w:val="28"/>
          <w:szCs w:val="28"/>
          <w:color w:val="auto"/>
          <w:vertAlign w:val="superscript"/>
        </w:rPr>
        <w:t>10</w:t>
      </w:r>
    </w:p>
    <w:p>
      <w:pPr>
        <w:spacing w:after="0" w:line="74" w:lineRule="exact"/>
        <w:rPr>
          <w:sz w:val="20"/>
          <w:szCs w:val="20"/>
          <w:color w:val="auto"/>
        </w:rPr>
      </w:pPr>
    </w:p>
    <w:p>
      <w:pPr>
        <w:ind w:right="760" w:firstLine="648"/>
        <w:spacing w:after="0" w:line="232" w:lineRule="auto"/>
        <w:rPr>
          <w:sz w:val="20"/>
          <w:szCs w:val="20"/>
          <w:color w:val="auto"/>
        </w:rPr>
      </w:pPr>
      <w:r>
        <w:rPr>
          <w:rFonts w:ascii="Arial" w:cs="Arial" w:eastAsia="Arial" w:hAnsi="Arial"/>
          <w:sz w:val="22"/>
          <w:szCs w:val="22"/>
          <w:color w:val="auto"/>
        </w:rPr>
        <w:t>The Administrator may at any time accelerate the vesting schedule specified in this Paragraph 2 in circumstances involving the Grantee’s death or disability.</w:t>
      </w:r>
    </w:p>
    <w:p>
      <w:pPr>
        <w:spacing w:after="0" w:line="159" w:lineRule="exact"/>
        <w:rPr>
          <w:sz w:val="20"/>
          <w:szCs w:val="20"/>
          <w:color w:val="auto"/>
        </w:rPr>
      </w:pPr>
    </w:p>
    <w:p>
      <w:pPr>
        <w:ind w:right="40" w:firstLine="648"/>
        <w:spacing w:after="0" w:line="226"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[Termination of Service as a Non-Employee Director</w:t>
      </w:r>
      <w:r>
        <w:rPr>
          <w:rFonts w:ascii="Arial" w:cs="Arial" w:eastAsia="Arial" w:hAnsi="Arial"/>
          <w:sz w:val="20"/>
          <w:szCs w:val="20"/>
          <w:color w:val="auto"/>
        </w:rPr>
        <w:t>. If the Grantee’s service with the Company and its Subsidiaries as a member of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r>
        <w:rPr>
          <w:rFonts w:ascii="Arial" w:cs="Arial" w:eastAsia="Arial" w:hAnsi="Arial"/>
          <w:sz w:val="26"/>
          <w:szCs w:val="26"/>
          <w:color w:val="auto"/>
          <w:vertAlign w:val="superscript"/>
        </w:rPr>
        <w:t>11</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 of Service Relationship</w:t>
      </w:r>
      <w:r>
        <w:rPr>
          <w:rFonts w:ascii="Arial" w:cs="Arial" w:eastAsia="Arial" w:hAnsi="Arial"/>
          <w:sz w:val="20"/>
          <w:szCs w:val="20"/>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r>
        <w:rPr>
          <w:rFonts w:ascii="Arial" w:cs="Arial" w:eastAsia="Arial" w:hAnsi="Arial"/>
          <w:sz w:val="26"/>
          <w:szCs w:val="26"/>
          <w:color w:val="auto"/>
          <w:vertAlign w:val="superscript"/>
        </w:rPr>
        <w:t>12</w:t>
      </w:r>
    </w:p>
    <w:p>
      <w:pPr>
        <w:spacing w:after="0" w:line="80"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58"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sz w:val="20"/>
          <w:szCs w:val="20"/>
          <w:color w:val="auto"/>
        </w:rPr>
      </w:pPr>
    </w:p>
    <w:p>
      <w:pPr>
        <w:ind w:right="180" w:firstLine="648"/>
        <w:spacing w:after="0" w:line="22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9" w:lineRule="exact"/>
        <w:rPr>
          <w:sz w:val="20"/>
          <w:szCs w:val="20"/>
          <w:color w:val="auto"/>
        </w:rPr>
      </w:pPr>
    </w:p>
    <w:p>
      <w:pPr>
        <w:ind w:firstLine="648"/>
        <w:spacing w:after="0" w:line="223"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[No Obligation to Continue as a Non-Employee Director</w:t>
      </w:r>
      <w:r>
        <w:rPr>
          <w:rFonts w:ascii="Arial" w:cs="Arial" w:eastAsia="Arial" w:hAnsi="Arial"/>
          <w:sz w:val="20"/>
          <w:szCs w:val="20"/>
          <w:color w:val="auto"/>
        </w:rPr>
        <w:t>. Neither the Plan nor this Award confers upon the Grantee any rights with respect to continuance as a Non-Employee Director.]</w:t>
      </w:r>
      <w:r>
        <w:rPr>
          <w:rFonts w:ascii="Arial" w:cs="Arial" w:eastAsia="Arial" w:hAnsi="Arial"/>
          <w:sz w:val="26"/>
          <w:szCs w:val="26"/>
          <w:color w:val="auto"/>
          <w:vertAlign w:val="superscript"/>
        </w:rPr>
        <w:t>13</w:t>
      </w:r>
      <w:r>
        <w:rPr>
          <w:rFonts w:ascii="Arial" w:cs="Arial" w:eastAsia="Arial" w:hAnsi="Arial"/>
          <w:sz w:val="20"/>
          <w:szCs w:val="20"/>
          <w:color w:val="auto"/>
        </w:rPr>
        <w:t xml:space="preserve"> [</w:t>
      </w:r>
      <w:r>
        <w:rPr>
          <w:rFonts w:ascii="Arial" w:cs="Arial" w:eastAsia="Arial" w:hAnsi="Arial"/>
          <w:sz w:val="20"/>
          <w:szCs w:val="20"/>
          <w:u w:val="single" w:color="auto"/>
          <w:color w:val="auto"/>
        </w:rPr>
        <w:t>No Obligation to Continue Service Relationship</w:t>
      </w:r>
      <w:r>
        <w:rPr>
          <w:rFonts w:ascii="Arial" w:cs="Arial" w:eastAsia="Arial" w:hAnsi="Arial"/>
          <w:sz w:val="20"/>
          <w:szCs w:val="20"/>
          <w:color w:val="auto"/>
        </w:rPr>
        <w:t>. Neither the Company nor any Subsidiary is obligated by or as a result of the Plan or this Agreement to continue the Grantee in a Service Relationship with the Company or a Subsidiary and neither the Plan nor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6" w:lineRule="exact"/>
        <w:rPr>
          <w:sz w:val="20"/>
          <w:szCs w:val="20"/>
          <w:color w:val="auto"/>
        </w:rPr>
      </w:pPr>
    </w:p>
    <w:p>
      <w:pPr>
        <w:ind w:left="500" w:hanging="103"/>
        <w:spacing w:after="0"/>
        <w:tabs>
          <w:tab w:leader="none" w:pos="50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For directors.</w:t>
      </w:r>
    </w:p>
    <w:p>
      <w:pPr>
        <w:spacing w:after="0" w:line="71" w:lineRule="exact"/>
        <w:rPr>
          <w:sz w:val="20"/>
          <w:szCs w:val="20"/>
          <w:color w:val="auto"/>
        </w:rPr>
      </w:pPr>
    </w:p>
    <w:p>
      <w:pPr>
        <w:ind w:left="560" w:hanging="163"/>
        <w:spacing w:after="0"/>
        <w:tabs>
          <w:tab w:leader="none" w:pos="560" w:val="left"/>
        </w:tabs>
        <w:numPr>
          <w:ilvl w:val="0"/>
          <w:numId w:val="68"/>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68"/>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68"/>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68"/>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01" w:right="379" w:bottom="1440" w:gutter="0" w:footer="0" w:header="0"/>
        </w:sectPr>
      </w:pPr>
    </w:p>
    <w:bookmarkStart w:id="117" w:name="page118"/>
    <w:bookmarkEnd w:id="117"/>
    <w:p>
      <w:pPr>
        <w:ind w:right="20"/>
        <w:spacing w:after="0"/>
        <w:rPr>
          <w:sz w:val="20"/>
          <w:szCs w:val="20"/>
          <w:color w:val="auto"/>
        </w:rPr>
      </w:pPr>
      <w:r>
        <w:rPr>
          <w:rFonts w:ascii="Arial" w:cs="Arial" w:eastAsia="Arial" w:hAnsi="Arial"/>
          <w:sz w:val="22"/>
          <w:szCs w:val="22"/>
          <w:color w:val="auto"/>
        </w:rPr>
        <w:t>shall interfere in any way with the right of the Company or any Subsidiary to terminate the Service Relationship of the Grantee at any time.]</w:t>
      </w:r>
      <w:r>
        <w:rPr>
          <w:rFonts w:ascii="Arial" w:cs="Arial" w:eastAsia="Arial" w:hAnsi="Arial"/>
          <w:sz w:val="28"/>
          <w:szCs w:val="28"/>
          <w:color w:val="auto"/>
          <w:vertAlign w:val="superscript"/>
        </w:rPr>
        <w:t>14</w:t>
      </w:r>
    </w:p>
    <w:p>
      <w:pPr>
        <w:spacing w:after="0" w:line="73"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1" w:lineRule="exact"/>
        <w:rPr>
          <w:sz w:val="20"/>
          <w:szCs w:val="20"/>
          <w:color w:val="auto"/>
        </w:rPr>
      </w:pPr>
    </w:p>
    <w:p>
      <w:pPr>
        <w:ind w:right="60" w:firstLine="648"/>
        <w:spacing w:after="0" w:line="244"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5"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5" w:lineRule="exact"/>
        <w:rPr>
          <w:sz w:val="20"/>
          <w:szCs w:val="20"/>
          <w:color w:val="auto"/>
        </w:rPr>
      </w:pPr>
    </w:p>
    <w:p>
      <w:pPr>
        <w:ind w:left="560" w:hanging="163"/>
        <w:spacing w:after="0"/>
        <w:tabs>
          <w:tab w:leader="none" w:pos="560" w:val="left"/>
        </w:tabs>
        <w:numPr>
          <w:ilvl w:val="0"/>
          <w:numId w:val="69"/>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01" w:right="3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255905</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530225</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804545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0"/>
          </w:cols>
          <w:pgMar w:left="320" w:top="1395" w:right="839" w:bottom="1440" w:gutter="0" w:footer="0" w:header="0"/>
        </w:sectPr>
      </w:pPr>
    </w:p>
    <w:bookmarkStart w:id="119" w:name="page120"/>
    <w:bookmarkEnd w:id="119"/>
    <w:p>
      <w:pPr>
        <w:jc w:val="center"/>
        <w:ind w:right="-99"/>
        <w:spacing w:after="0"/>
        <w:rPr>
          <w:sz w:val="20"/>
          <w:szCs w:val="20"/>
          <w:color w:val="auto"/>
        </w:rPr>
      </w:pPr>
      <w:r>
        <w:rPr>
          <w:rFonts w:ascii="Arial" w:cs="Arial" w:eastAsia="Arial" w:hAnsi="Arial"/>
          <w:sz w:val="25"/>
          <w:szCs w:val="25"/>
          <w:b w:val="1"/>
          <w:bCs w:val="1"/>
          <w:color w:val="auto"/>
        </w:rPr>
        <w:t>GUIDEWIRE SOFTWARE,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AMENDED AND RESTATED 2020 STOCK PLAN</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Notice of Performance-Based Restricted Stock Unit Award</w:t>
      </w:r>
    </w:p>
    <w:p>
      <w:pPr>
        <w:spacing w:after="0" w:line="374" w:lineRule="exact"/>
        <w:rPr>
          <w:sz w:val="20"/>
          <w:szCs w:val="20"/>
          <w:color w:val="auto"/>
        </w:rPr>
      </w:pPr>
    </w:p>
    <w:p>
      <w:pPr>
        <w:ind w:left="20"/>
        <w:spacing w:after="0"/>
        <w:tabs>
          <w:tab w:leader="none" w:pos="6360" w:val="left"/>
        </w:tabs>
        <w:rPr>
          <w:sz w:val="20"/>
          <w:szCs w:val="20"/>
          <w:color w:val="auto"/>
        </w:rPr>
      </w:pPr>
      <w:r>
        <w:rPr>
          <w:rFonts w:ascii="Arial" w:cs="Arial" w:eastAsia="Arial" w:hAnsi="Arial"/>
          <w:sz w:val="18"/>
          <w:szCs w:val="18"/>
          <w:b w:val="1"/>
          <w:bCs w:val="1"/>
          <w:color w:val="auto"/>
        </w:rPr>
        <w:t>Name of Grantee:</w:t>
      </w:r>
      <w:r>
        <w:rPr>
          <w:sz w:val="20"/>
          <w:szCs w:val="20"/>
          <w:color w:val="auto"/>
        </w:rPr>
        <w:tab/>
      </w:r>
      <w:r>
        <w:rPr>
          <w:rFonts w:ascii="Arial" w:cs="Arial" w:eastAsia="Arial" w:hAnsi="Arial"/>
          <w:sz w:val="16"/>
          <w:szCs w:val="16"/>
          <w:b w:val="1"/>
          <w:bCs w:val="1"/>
          <w:color w:val="auto"/>
        </w:rPr>
        <w:t>Award Number:</w:t>
      </w:r>
    </w:p>
    <w:p>
      <w:pPr>
        <w:spacing w:after="0" w:line="200" w:lineRule="exact"/>
        <w:rPr>
          <w:sz w:val="20"/>
          <w:szCs w:val="20"/>
          <w:color w:val="auto"/>
        </w:rPr>
      </w:pPr>
    </w:p>
    <w:p>
      <w:pPr>
        <w:spacing w:after="0" w:line="37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ID:</w:t>
      </w:r>
    </w:p>
    <w:p>
      <w:pPr>
        <w:spacing w:after="0" w:line="200" w:lineRule="exact"/>
        <w:rPr>
          <w:sz w:val="20"/>
          <w:szCs w:val="20"/>
          <w:color w:val="auto"/>
        </w:rPr>
      </w:pPr>
    </w:p>
    <w:p>
      <w:pPr>
        <w:spacing w:after="0" w:line="245"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Pursuant to the Guidewire Software, Inc. Amended and Restated 2020 Stock Plan (the “Plan”), this Notice of Performance-Based Restricted Stock Unit Award (the “Notice”) and the terms and conditions set forth in the Performance-Based Restricted Stock Unit Award Agreement (together with the</w:t>
      </w:r>
    </w:p>
    <w:p>
      <w:pPr>
        <w:spacing w:after="0" w:line="268" w:lineRule="auto"/>
        <w:rPr>
          <w:sz w:val="20"/>
          <w:szCs w:val="20"/>
          <w:color w:val="auto"/>
        </w:rPr>
      </w:pPr>
      <w:r>
        <w:rPr>
          <w:rFonts w:ascii="Arial" w:cs="Arial" w:eastAsia="Arial" w:hAnsi="Arial"/>
          <w:sz w:val="16"/>
          <w:szCs w:val="16"/>
          <w:color w:val="auto"/>
        </w:rPr>
        <w:t>Notice, the “Award Agreement”), Guidewire Software, Inc. (the “Company”) hereby grants an award of the number of Restricted Stock Units listed below (an “Award”) to the named Grantee. Each Restricted Stock Unit shall relate to one share (a “Share”) of Common Stock (the “Stock”) of the Company.</w:t>
      </w:r>
    </w:p>
    <w:p>
      <w:pPr>
        <w:sectPr>
          <w:pgSz w:w="11900" w:h="16838" w:orient="portrait"/>
          <w:cols w:equalWidth="0" w:num="1">
            <w:col w:w="11160"/>
          </w:cols>
          <w:pgMar w:left="320" w:top="1386" w:right="419" w:bottom="1440" w:gutter="0" w:footer="0" w:header="0"/>
        </w:sectPr>
      </w:pPr>
    </w:p>
    <w:bookmarkStart w:id="120" w:name="page121"/>
    <w:bookmarkEnd w:id="120"/>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5006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40575" cy="50063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Target No. of Restricted Stock Units Granted:</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Grant Date:</w:t>
      </w:r>
    </w:p>
    <w:p>
      <w:pPr>
        <w:spacing w:after="0" w:line="40" w:lineRule="exact"/>
        <w:rPr>
          <w:sz w:val="20"/>
          <w:szCs w:val="20"/>
          <w:color w:val="auto"/>
        </w:rPr>
      </w:pPr>
    </w:p>
    <w:p>
      <w:pPr>
        <w:ind w:left="4240" w:right="160"/>
        <w:spacing w:after="0" w:line="248" w:lineRule="auto"/>
        <w:rPr>
          <w:sz w:val="20"/>
          <w:szCs w:val="20"/>
          <w:color w:val="auto"/>
        </w:rPr>
      </w:pPr>
      <w:r>
        <w:rPr>
          <w:rFonts w:ascii="Arial" w:cs="Arial" w:eastAsia="Arial" w:hAnsi="Arial"/>
          <w:sz w:val="16"/>
          <w:szCs w:val="16"/>
          <w:color w:val="auto"/>
        </w:rPr>
        <w:t>These Restricted Stock Units vest upon the achievement of the associated performance factors and satisfaction of a time-based vesting schedule, at which time the Grantee will receive shares</w:t>
      </w:r>
    </w:p>
    <w:p>
      <w:pPr>
        <w:ind w:left="4240" w:right="120"/>
        <w:spacing w:after="0" w:line="234" w:lineRule="auto"/>
        <w:rPr>
          <w:sz w:val="20"/>
          <w:szCs w:val="20"/>
          <w:color w:val="auto"/>
        </w:rPr>
      </w:pPr>
      <w:r>
        <w:rPr>
          <w:rFonts w:ascii="Arial" w:cs="Arial" w:eastAsia="Arial" w:hAnsi="Arial"/>
          <w:sz w:val="16"/>
          <w:szCs w:val="16"/>
          <w:color w:val="auto"/>
        </w:rPr>
        <w:t>of Guidewire Software, Inc. common stock. The performance factors will be measured as described in the Award Agreement and the time-based vesting will be satisfied in increments on the date(s) shown, subject to Grantee’s continuous employment with the Company through the</w:t>
      </w:r>
    </w:p>
    <w:p>
      <w:pPr>
        <w:spacing w:after="0" w:line="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applicable date(s):</w:t>
      </w:r>
    </w:p>
    <w:p>
      <w:pPr>
        <w:spacing w:after="0" w:line="12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For FY[XX] Final Grant Amount:</w:t>
      </w:r>
    </w:p>
    <w:p>
      <w:pPr>
        <w:spacing w:after="0" w:line="14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Vest Period</w:t>
      </w:r>
    </w:p>
    <w:p>
      <w:pPr>
        <w:ind w:left="4240"/>
        <w:spacing w:after="0" w:line="203" w:lineRule="auto"/>
        <w:rPr>
          <w:sz w:val="20"/>
          <w:szCs w:val="20"/>
          <w:color w:val="auto"/>
        </w:rPr>
      </w:pPr>
      <w:r>
        <w:rPr>
          <w:rFonts w:ascii="Arial" w:cs="Arial" w:eastAsia="Arial" w:hAnsi="Arial"/>
          <w:sz w:val="18"/>
          <w:szCs w:val="18"/>
          <w:color w:val="auto"/>
        </w:rPr>
        <w:t>Shares</w:t>
      </w:r>
    </w:p>
    <w:p>
      <w:pPr>
        <w:ind w:left="4240"/>
        <w:spacing w:after="0"/>
        <w:rPr>
          <w:sz w:val="20"/>
          <w:szCs w:val="20"/>
          <w:color w:val="auto"/>
        </w:rPr>
      </w:pPr>
      <w:r>
        <w:rPr>
          <w:rFonts w:ascii="Arial" w:cs="Arial" w:eastAsia="Arial" w:hAnsi="Arial"/>
          <w:sz w:val="18"/>
          <w:szCs w:val="18"/>
          <w:color w:val="auto"/>
        </w:rPr>
        <w:t>Vesting Date</w:t>
      </w:r>
    </w:p>
    <w:p>
      <w:pPr>
        <w:spacing w:after="0" w:line="12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1</w:t>
      </w:r>
    </w:p>
    <w:p>
      <w:pPr>
        <w:ind w:left="4480" w:hanging="233"/>
        <w:spacing w:after="0" w:line="203" w:lineRule="auto"/>
        <w:tabs>
          <w:tab w:leader="none" w:pos="4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1/3%</w:t>
      </w:r>
    </w:p>
    <w:p>
      <w:pPr>
        <w:ind w:left="4240"/>
        <w:spacing w:after="0"/>
        <w:rPr>
          <w:rFonts w:ascii="Arial" w:cs="Arial" w:eastAsia="Arial" w:hAnsi="Arial"/>
          <w:sz w:val="18"/>
          <w:szCs w:val="18"/>
          <w:color w:val="auto"/>
        </w:rPr>
      </w:pPr>
      <w:r>
        <w:rPr>
          <w:rFonts w:ascii="Arial" w:cs="Arial" w:eastAsia="Arial" w:hAnsi="Arial"/>
          <w:sz w:val="18"/>
          <w:szCs w:val="18"/>
          <w:color w:val="auto"/>
        </w:rPr>
        <w:t>MM/DD/20[XX]</w:t>
      </w:r>
    </w:p>
    <w:p>
      <w:pPr>
        <w:spacing w:after="0" w:line="12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2</w:t>
      </w:r>
    </w:p>
    <w:p>
      <w:pPr>
        <w:ind w:left="4240" w:right="5340" w:firstLine="7"/>
        <w:spacing w:after="0" w:line="195" w:lineRule="auto"/>
        <w:tabs>
          <w:tab w:leader="none" w:pos="44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1/3% MM/DD/20[XX+1 Yr]</w:t>
      </w:r>
    </w:p>
    <w:p>
      <w:pPr>
        <w:ind w:left="80"/>
        <w:spacing w:after="0" w:line="220" w:lineRule="auto"/>
        <w:rPr>
          <w:sz w:val="20"/>
          <w:szCs w:val="20"/>
          <w:color w:val="auto"/>
        </w:rPr>
      </w:pPr>
      <w:r>
        <w:rPr>
          <w:rFonts w:ascii="Arial" w:cs="Arial" w:eastAsia="Arial" w:hAnsi="Arial"/>
          <w:sz w:val="18"/>
          <w:szCs w:val="18"/>
          <w:b w:val="1"/>
          <w:bCs w:val="1"/>
          <w:color w:val="auto"/>
        </w:rPr>
        <w:t>Vesting Conditions:</w:t>
      </w:r>
    </w:p>
    <w:p>
      <w:pPr>
        <w:ind w:left="4240"/>
        <w:spacing w:after="0" w:line="219" w:lineRule="auto"/>
        <w:rPr>
          <w:sz w:val="20"/>
          <w:szCs w:val="20"/>
          <w:color w:val="auto"/>
        </w:rPr>
      </w:pPr>
      <w:r>
        <w:rPr>
          <w:rFonts w:ascii="Arial" w:cs="Arial" w:eastAsia="Arial" w:hAnsi="Arial"/>
          <w:sz w:val="18"/>
          <w:szCs w:val="18"/>
          <w:color w:val="auto"/>
        </w:rPr>
        <w:t>3</w:t>
      </w:r>
    </w:p>
    <w:p>
      <w:pPr>
        <w:spacing w:after="0" w:line="1" w:lineRule="exact"/>
        <w:rPr>
          <w:sz w:val="20"/>
          <w:szCs w:val="20"/>
          <w:color w:val="auto"/>
        </w:rPr>
      </w:pPr>
    </w:p>
    <w:p>
      <w:pPr>
        <w:ind w:left="4240" w:right="5280" w:firstLine="7"/>
        <w:spacing w:after="0" w:line="226" w:lineRule="auto"/>
        <w:tabs>
          <w:tab w:leader="none" w:pos="44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1/3% MM/DD/20[XX+2 Yrs]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880"/>
        <w:spacing w:after="0"/>
        <w:rPr>
          <w:sz w:val="20"/>
          <w:szCs w:val="20"/>
          <w:color w:val="auto"/>
        </w:rPr>
      </w:pPr>
      <w:r>
        <w:rPr>
          <w:rFonts w:ascii="Arial" w:cs="Arial" w:eastAsia="Arial" w:hAnsi="Arial"/>
          <w:sz w:val="18"/>
          <w:szCs w:val="18"/>
          <w:color w:val="auto"/>
        </w:rPr>
        <w:t>For FY[YY] Final Grant Amount: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Vest Period</w:t>
      </w:r>
    </w:p>
    <w:p>
      <w:pPr>
        <w:ind w:left="4240"/>
        <w:spacing w:after="0" w:line="203" w:lineRule="auto"/>
        <w:rPr>
          <w:sz w:val="20"/>
          <w:szCs w:val="20"/>
          <w:color w:val="auto"/>
        </w:rPr>
      </w:pPr>
      <w:r>
        <w:rPr>
          <w:rFonts w:ascii="Arial" w:cs="Arial" w:eastAsia="Arial" w:hAnsi="Arial"/>
          <w:sz w:val="18"/>
          <w:szCs w:val="18"/>
          <w:color w:val="auto"/>
        </w:rPr>
        <w:t>Shares</w:t>
      </w:r>
    </w:p>
    <w:p>
      <w:pPr>
        <w:ind w:left="4240"/>
        <w:spacing w:after="0"/>
        <w:rPr>
          <w:sz w:val="20"/>
          <w:szCs w:val="20"/>
          <w:color w:val="auto"/>
        </w:rPr>
      </w:pPr>
      <w:r>
        <w:rPr>
          <w:rFonts w:ascii="Arial" w:cs="Arial" w:eastAsia="Arial" w:hAnsi="Arial"/>
          <w:sz w:val="18"/>
          <w:szCs w:val="18"/>
          <w:color w:val="auto"/>
        </w:rPr>
        <w:t>Vesting Date</w:t>
      </w:r>
    </w:p>
    <w:p>
      <w:pPr>
        <w:spacing w:after="0" w:line="12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1</w:t>
      </w:r>
    </w:p>
    <w:p>
      <w:pPr>
        <w:ind w:left="4240"/>
        <w:spacing w:after="0" w:line="203" w:lineRule="auto"/>
        <w:rPr>
          <w:sz w:val="20"/>
          <w:szCs w:val="20"/>
          <w:color w:val="auto"/>
        </w:rPr>
      </w:pPr>
      <w:r>
        <w:rPr>
          <w:rFonts w:ascii="Arial" w:cs="Arial" w:eastAsia="Arial" w:hAnsi="Arial"/>
          <w:sz w:val="18"/>
          <w:szCs w:val="18"/>
          <w:color w:val="auto"/>
        </w:rPr>
        <w:t>100%</w:t>
      </w:r>
    </w:p>
    <w:p>
      <w:pPr>
        <w:ind w:left="4300"/>
        <w:spacing w:after="0"/>
        <w:rPr>
          <w:sz w:val="20"/>
          <w:szCs w:val="20"/>
          <w:color w:val="auto"/>
        </w:rPr>
      </w:pPr>
      <w:r>
        <w:rPr>
          <w:rFonts w:ascii="Arial" w:cs="Arial" w:eastAsia="Arial" w:hAnsi="Arial"/>
          <w:sz w:val="18"/>
          <w:szCs w:val="18"/>
          <w:color w:val="auto"/>
        </w:rPr>
        <w:t>MM/DD/20[YY]</w:t>
      </w:r>
    </w:p>
    <w:p>
      <w:pPr>
        <w:spacing w:after="0" w:line="344"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By clicking on the “Accept” button or signing below, the Grantee and the Company agree this Award is granted under, and governed by the terms and conditions of, the Plan and the Award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729"/>
        </w:trPr>
        <w:tc>
          <w:tcPr>
            <w:tcW w:w="80" w:type="dxa"/>
            <w:vAlign w:val="bottom"/>
            <w:tcBorders>
              <w:top w:val="single" w:sz="8" w:color="auto"/>
              <w:left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3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tcBorders>
          </w:tcPr>
          <w:p>
            <w:pPr>
              <w:spacing w:after="0"/>
              <w:rPr>
                <w:sz w:val="17"/>
                <w:szCs w:val="17"/>
                <w:color w:val="auto"/>
              </w:rPr>
            </w:pPr>
          </w:p>
        </w:tc>
        <w:tc>
          <w:tcPr>
            <w:tcW w:w="2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By:</w:t>
            </w:r>
          </w:p>
        </w:tc>
        <w:tc>
          <w:tcPr>
            <w:tcW w:w="334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6"/>
                <w:szCs w:val="16"/>
                <w:b w:val="1"/>
                <w:bCs w:val="1"/>
                <w:i w:val="1"/>
                <w:iCs w:val="1"/>
                <w:color w:val="auto"/>
              </w:rPr>
              <w:t>Employee Name</w:t>
            </w:r>
          </w:p>
        </w:tc>
        <w:tc>
          <w:tcPr>
            <w:tcW w:w="3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0" w:type="dxa"/>
            <w:vAlign w:val="bottom"/>
            <w:tcBorders>
              <w:left w:val="single" w:sz="8" w:color="auto"/>
            </w:tcBorders>
          </w:tcPr>
          <w:p>
            <w:pPr>
              <w:spacing w:after="0"/>
              <w:rPr>
                <w:sz w:val="5"/>
                <w:szCs w:val="5"/>
                <w:color w:val="auto"/>
              </w:rPr>
            </w:pPr>
          </w:p>
        </w:tc>
        <w:tc>
          <w:tcPr>
            <w:tcW w:w="2280" w:type="dxa"/>
            <w:vAlign w:val="bottom"/>
            <w:vMerge w:val="continue"/>
          </w:tcPr>
          <w:p>
            <w:pPr>
              <w:spacing w:after="0"/>
              <w:rPr>
                <w:sz w:val="5"/>
                <w:szCs w:val="5"/>
                <w:color w:val="auto"/>
              </w:rPr>
            </w:pPr>
          </w:p>
        </w:tc>
        <w:tc>
          <w:tcPr>
            <w:tcW w:w="33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3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0" w:type="dxa"/>
            <w:vAlign w:val="bottom"/>
            <w:tcBorders>
              <w:left w:val="single" w:sz="8" w:color="auto"/>
            </w:tcBorders>
          </w:tcPr>
          <w:p>
            <w:pPr>
              <w:spacing w:after="0"/>
              <w:rPr>
                <w:sz w:val="12"/>
                <w:szCs w:val="12"/>
                <w:color w:val="auto"/>
              </w:rPr>
            </w:pPr>
          </w:p>
        </w:tc>
        <w:tc>
          <w:tcPr>
            <w:tcW w:w="2280" w:type="dxa"/>
            <w:vAlign w:val="bottom"/>
          </w:tcPr>
          <w:p>
            <w:pPr>
              <w:spacing w:after="0" w:line="142" w:lineRule="exact"/>
              <w:rPr>
                <w:sz w:val="20"/>
                <w:szCs w:val="20"/>
                <w:color w:val="auto"/>
              </w:rPr>
            </w:pPr>
            <w:r>
              <w:rPr>
                <w:rFonts w:ascii="Arial" w:cs="Arial" w:eastAsia="Arial" w:hAnsi="Arial"/>
                <w:sz w:val="16"/>
                <w:szCs w:val="16"/>
                <w:b w:val="1"/>
                <w:bCs w:val="1"/>
                <w:i w:val="1"/>
                <w:iCs w:val="1"/>
                <w:color w:val="auto"/>
              </w:rPr>
              <w:t>Name:</w:t>
            </w:r>
          </w:p>
        </w:tc>
        <w:tc>
          <w:tcPr>
            <w:tcW w:w="3340" w:type="dxa"/>
            <w:vAlign w:val="bottom"/>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3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auto"/>
              <w:bottom w:val="single" w:sz="8" w:color="auto"/>
            </w:tcBorders>
          </w:tcPr>
          <w:p>
            <w:pPr>
              <w:spacing w:after="0"/>
              <w:rPr>
                <w:sz w:val="15"/>
                <w:szCs w:val="15"/>
                <w:color w:val="auto"/>
              </w:rPr>
            </w:pPr>
          </w:p>
        </w:tc>
        <w:tc>
          <w:tcPr>
            <w:tcW w:w="2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Title:</w:t>
            </w:r>
          </w:p>
        </w:tc>
        <w:tc>
          <w:tcPr>
            <w:tcW w:w="33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Date</w:t>
            </w:r>
          </w:p>
        </w:tc>
        <w:tc>
          <w:tcPr>
            <w:tcW w:w="33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60"/>
          </w:cols>
          <w:pgMar w:left="320" w:top="1440" w:right="319" w:bottom="1440" w:gutter="0" w:footer="0" w:header="0"/>
          <w:type w:val="continuous"/>
        </w:sectPr>
      </w:pPr>
    </w:p>
    <w:bookmarkStart w:id="121" w:name="page122"/>
    <w:bookmarkEnd w:id="121"/>
    <w:p>
      <w:pPr>
        <w:ind w:left="1160"/>
        <w:spacing w:after="0"/>
        <w:rPr>
          <w:sz w:val="20"/>
          <w:szCs w:val="20"/>
          <w:color w:val="auto"/>
        </w:rPr>
      </w:pPr>
      <w:r>
        <w:rPr>
          <w:rFonts w:ascii="Arial" w:cs="Arial" w:eastAsia="Arial" w:hAnsi="Arial"/>
          <w:sz w:val="25"/>
          <w:szCs w:val="25"/>
          <w:b w:val="1"/>
          <w:bCs w:val="1"/>
          <w:color w:val="auto"/>
        </w:rPr>
        <w:t>PERFORMANCE-BASED RESTRICTED STOCK UNIT AWARD AGREEMENT</w:t>
      </w:r>
    </w:p>
    <w:p>
      <w:pPr>
        <w:ind w:left="3860"/>
        <w:spacing w:after="0" w:line="202" w:lineRule="auto"/>
        <w:rPr>
          <w:sz w:val="20"/>
          <w:szCs w:val="20"/>
          <w:color w:val="auto"/>
        </w:rPr>
      </w:pPr>
      <w:r>
        <w:rPr>
          <w:rFonts w:ascii="Arial" w:cs="Arial" w:eastAsia="Arial" w:hAnsi="Arial"/>
          <w:sz w:val="25"/>
          <w:szCs w:val="25"/>
          <w:b w:val="1"/>
          <w:bCs w:val="1"/>
          <w:color w:val="auto"/>
        </w:rPr>
        <w:t>FOR COMPANY EMPLOYEES</w:t>
      </w:r>
    </w:p>
    <w:p>
      <w:pPr>
        <w:jc w:val="center"/>
        <w:spacing w:after="0" w:line="215" w:lineRule="auto"/>
        <w:rPr>
          <w:sz w:val="20"/>
          <w:szCs w:val="20"/>
          <w:color w:val="auto"/>
        </w:rPr>
      </w:pPr>
      <w:r>
        <w:rPr>
          <w:rFonts w:ascii="Arial" w:cs="Arial" w:eastAsia="Arial" w:hAnsi="Arial"/>
          <w:sz w:val="25"/>
          <w:szCs w:val="25"/>
          <w:b w:val="1"/>
          <w:bCs w:val="1"/>
          <w:color w:val="auto"/>
        </w:rPr>
        <w:t>UNDER THE GUIDEWIRE SOFTWARE, INC.</w:t>
      </w:r>
    </w:p>
    <w:p>
      <w:pPr>
        <w:jc w:val="center"/>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Target No. of Restricted Stock Units (“Target Grant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-17780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Pursuant to the Guidewire Software, Inc. Amended and Restated 2020 Stock Plan as amended through the date hereof (the “Plan”), Guidewire Software, Inc. (the “Company”) hereby grants an award of the number of Restricted Stock Units listed above (an “Award”) to the Grantee named above. Each Restricted Stock Unit shall relate to one share of Common Stock (the “Stock”) of the Company.</w:t>
      </w:r>
    </w:p>
    <w:p>
      <w:pPr>
        <w:spacing w:after="0" w:line="161" w:lineRule="exact"/>
        <w:rPr>
          <w:sz w:val="20"/>
          <w:szCs w:val="20"/>
          <w:color w:val="auto"/>
        </w:rPr>
      </w:pPr>
    </w:p>
    <w:p>
      <w:pPr>
        <w:ind w:right="20" w:firstLine="648"/>
        <w:spacing w:after="0" w:line="21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50" w:lineRule="exact"/>
        <w:rPr>
          <w:sz w:val="20"/>
          <w:szCs w:val="20"/>
          <w:color w:val="auto"/>
        </w:rPr>
      </w:pPr>
    </w:p>
    <w:p>
      <w:pPr>
        <w:ind w:right="20" w:firstLine="648"/>
        <w:spacing w:after="0" w:line="205"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[Subject to any Company leave of absence policy in effect, t]</w:t>
      </w:r>
      <w:r>
        <w:rPr>
          <w:rFonts w:ascii="Arial" w:cs="Arial" w:eastAsia="Arial" w:hAnsi="Arial"/>
          <w:sz w:val="28"/>
          <w:szCs w:val="28"/>
          <w:color w:val="auto"/>
          <w:vertAlign w:val="superscript"/>
        </w:rPr>
        <w:t>15</w:t>
      </w:r>
      <w:r>
        <w:rPr>
          <w:rFonts w:ascii="Arial" w:cs="Arial" w:eastAsia="Arial" w:hAnsi="Arial"/>
          <w:sz w:val="22"/>
          <w:szCs w:val="22"/>
          <w:color w:val="auto"/>
        </w:rPr>
        <w:t xml:space="preserve"> [T]he restrictions and conditions of Paragraph 1 of this Agreement shall lapse on the date that both (A) the time-based vesting condition indicated on the Notice of Performance-Based Restricted Stock Unit Award (the “Time Condition”) and (B) the FY[XX] performance-based vesting factor (the “FY[XX] Performance Factor”) and the FY[YY] performance-based vesting factor (the “FY[YY] Performance Factor” and together with the FY[XX] Performance Factor, the “Performance Factors”), as described below, are satisfied. The date on which both the Time Condition and applicable Performance Factor is satisfied shall be the “Vesting Date”.</w:t>
      </w:r>
    </w:p>
    <w:p>
      <w:pPr>
        <w:spacing w:after="0" w:line="164"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After a determination of the Performance Factors have been made, as applicable, the total number of Restricted Stock Units granted to the Grantee (the “Final Grant Amount”) shall be set pursuant to the following formula: 50% Target Grant Amount * FY[XX] Performance Factor (the “FY[XX] Final Grant Amount”) + 50% Target Grant Amount * FY[YY] Performance Factor (the “FY[YY] Final Grant Amount”) = Final Grant Amount. The FY[XX] Performance Factor is dependent on Fiscal Year 20[XX] Annual Recurring Revenue (“FY[XX] ARR”) and the FY[YY] Performance Factor is dependent on Fiscal Year 20[YY] Annual Recurring Revenue ( “FY[YY] ARR”), in each case measured on a constant currency basis using July 31, 20[XX] exchange rates.</w:t>
      </w:r>
    </w:p>
    <w:p>
      <w:pPr>
        <w:spacing w:after="0" w:line="16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If the Company’s FY[XX] ARR is (i) less than $[ __ ] million, then the FY[XX] Performance Factor is 0.0, (ii) equal to $[ __ ] million, then the FY[XX] Performance Factor is equal to 0.50; (iii) greater than $[ __ ] million but less than $[ __</w:t>
      </w:r>
    </w:p>
    <w:p>
      <w:pPr>
        <w:ind w:firstLine="8"/>
        <w:spacing w:after="0" w:line="224" w:lineRule="auto"/>
        <w:tabs>
          <w:tab w:leader="none" w:pos="1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million, then the FY[XX] Performance Factor is equal to 0.50 plus the actual amount achieved in excess of $[ __ ] million divided by [ __ ] million multiplied by 50% (iv) equal to $[ __ ] million, then the FY[XX]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4" w:lineRule="exact"/>
        <w:rPr>
          <w:sz w:val="20"/>
          <w:szCs w:val="20"/>
          <w:color w:val="auto"/>
        </w:rPr>
      </w:pPr>
    </w:p>
    <w:p>
      <w:pPr>
        <w:ind w:left="560" w:hanging="163"/>
        <w:spacing w:after="0"/>
        <w:tabs>
          <w:tab w:leader="none" w:pos="560" w:val="left"/>
        </w:tabs>
        <w:numPr>
          <w:ilvl w:val="0"/>
          <w:numId w:val="74"/>
        </w:numPr>
        <w:rPr>
          <w:rFonts w:ascii="Arial" w:cs="Arial" w:eastAsia="Arial" w:hAnsi="Arial"/>
          <w:sz w:val="22"/>
          <w:szCs w:val="22"/>
          <w:color w:val="auto"/>
          <w:vertAlign w:val="superscript"/>
        </w:rPr>
      </w:pPr>
      <w:r>
        <w:rPr>
          <w:rFonts w:ascii="Arial" w:cs="Arial" w:eastAsia="Arial" w:hAnsi="Arial"/>
          <w:sz w:val="17"/>
          <w:szCs w:val="17"/>
          <w:color w:val="auto"/>
        </w:rPr>
        <w:t>Include if LOA policy is in effect.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83" w:right="339" w:bottom="1440" w:gutter="0" w:footer="0" w:header="0"/>
        </w:sectPr>
      </w:pPr>
    </w:p>
    <w:bookmarkStart w:id="122" w:name="page123"/>
    <w:bookmarkEnd w:id="122"/>
    <w:p>
      <w:pPr>
        <w:jc w:val="both"/>
        <w:spacing w:after="0" w:line="234" w:lineRule="auto"/>
        <w:rPr>
          <w:sz w:val="20"/>
          <w:szCs w:val="20"/>
          <w:color w:val="auto"/>
        </w:rPr>
      </w:pPr>
      <w:r>
        <w:rPr>
          <w:rFonts w:ascii="Arial" w:cs="Arial" w:eastAsia="Arial" w:hAnsi="Arial"/>
          <w:sz w:val="21"/>
          <w:szCs w:val="21"/>
          <w:color w:val="auto"/>
        </w:rPr>
        <w:t>Performance Factor is equal to 1, (v) greater than $[ __ ] million but less than $[ __ ] million, then the FY[XX] Performance Factor is equal to 1 plus the actual amount achieved in excess of $[__ ] million divided by [ __ ] million multiplied by 50%, and (vi) equal to or greater than $[ __ ] million, then the FY[XX] Performance Factor is equal to 1.5.</w:t>
      </w:r>
    </w:p>
    <w:p>
      <w:pPr>
        <w:spacing w:after="0" w:line="15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If the Company’s FY[YY] ARR is (i) less than $[ __ ] million, then the FY[YY] Performance Factor is 0.0, (ii) equal to $[ __ ] million, then the FY[YY] Performance Factor is equal to 0.50; (iii) greater than $[ __ ] million but less than $[ __</w:t>
      </w:r>
    </w:p>
    <w:p>
      <w:pPr>
        <w:jc w:val="both"/>
        <w:ind w:firstLine="8"/>
        <w:spacing w:after="0" w:line="212" w:lineRule="auto"/>
        <w:tabs>
          <w:tab w:leader="none" w:pos="1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million, then the FY[YY] Performance Factor is equal to 0.50 plus the actual amount achieved in excess of $[ __ ] million divided by [ __ ] million multiplied by 50% (iv) equal to $[ __ ] million, then the FY[YY] Performance Factor is equal to 1, (v) greater than $[ __ ] million but less than $[ __ ] million, then the FY[YY] Performance Factor is equal to 1 plus the actual amount achieved in excess of $[ __ ] million divided by [ __ ] million multiplied by 50%, and (vi) equal to or greater than $[ __ ] million, then the FY[YY] Performance Factor is equal to 1.5.</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Upon achievement of an FY[XX] Performance Factor greater than 0.0, 33 1/3% of the FY[XX] Final Grant Amount shall vest immediately, subject to satisfaction of the applicable Time Condition, and any remaining portion of the FY[XX] Final Grant Amount shall vest as the applicable Time Condition is satisfied. If an FY[XX] Performance Factor greater than 0.0 is not achieved (meaning the Company’s FY[XX] ARR is less than $[ __ ] million), then 50% of the Target Grant Amount will be forfeited.</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Upon achievement of an FY[YY] Performance Factor greater than 0.0, 100% of the FY[YY] Final Grant Amount shall vest immediately, subject to satisfaction of the applicable Time Condition. If an FY[YY] Performance Factor greater than 0.0 is not achieved (meaning the Company’s FY[YY] ARR is less than $[ __ ] million), then 50% of the Target Grant Amount will be forfeited.</w:t>
      </w:r>
    </w:p>
    <w:p>
      <w:pPr>
        <w:spacing w:after="0" w:line="161"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In the event that the Company makes any acquisitions during Fiscal Year 20[XX] or Fiscal Year 20[YY], the Administrator shall adjust the FY[XX] Performance Factor and/or FY[YY] Performance Factor, as applicable, (by adjusting the applicable FY[XX] ARR and/or FY[YY] ARR targets) to reflect the impact of such acquisition(s). The Administrator shall adjust the applicable FY[XX] ARR and/or FY[YY] ARR thresholds above to reflect the anticipated, recognizable Annual Recurring Revenue (“ARR”) from the acquired entity or assets for the remainder of Fiscal Year 20[XX] and/or Fiscal Year 20[YY], as applicable, as outlined in the management case presented to the Board on or around the closing of the applicable transaction. For example, if the management case presented to the Board for a given acquisition shows related attributable, recognizable ARR for the remaining portion of Fiscal Year 20[XX] in the amount of $10 million, then each of the threshold, target and maximum FY[XX] ARR amounts shall be adjusted upward by $10 million (in this example, to $[ __ ] million, $[ __ ] million, and $[ __ ] million, respectively).</w:t>
      </w:r>
    </w:p>
    <w:p>
      <w:pPr>
        <w:spacing w:after="0" w:line="162" w:lineRule="exact"/>
        <w:rPr>
          <w:sz w:val="20"/>
          <w:szCs w:val="20"/>
          <w:color w:val="auto"/>
        </w:rPr>
      </w:pPr>
    </w:p>
    <w:p>
      <w:pPr>
        <w:ind w:right="20" w:firstLine="1296"/>
        <w:spacing w:after="0" w:line="217" w:lineRule="auto"/>
        <w:rPr>
          <w:sz w:val="20"/>
          <w:szCs w:val="20"/>
          <w:color w:val="auto"/>
        </w:rPr>
      </w:pPr>
      <w:r>
        <w:rPr>
          <w:rFonts w:ascii="Arial" w:cs="Arial" w:eastAsia="Arial" w:hAnsi="Arial"/>
          <w:sz w:val="22"/>
          <w:szCs w:val="22"/>
          <w:color w:val="auto"/>
        </w:rPr>
        <w:t>Notwithstanding anything in this Agreement to the contrary, in the case of a Sale Event, the Restricted Stock Units shall be treated as provided in Section 3(c) of the Plan [provided; however that the Restricted Stock Units shall be subject to any executive agreement by and between the Grantee and the Company, as applicable (as amended from time to time, the “Executive Agreement”). For the avoidance of doubt, with respect to any portion of the Award that has not yet achieved the applicable Performance Factors, “fully accelerated and vested”, as referenced in the Executive Agreement shall mean with respect to the applicable Target Grant Amount]</w:t>
      </w:r>
      <w:r>
        <w:rPr>
          <w:rFonts w:ascii="Arial" w:cs="Arial" w:eastAsia="Arial" w:hAnsi="Arial"/>
          <w:sz w:val="28"/>
          <w:szCs w:val="28"/>
          <w:color w:val="auto"/>
          <w:vertAlign w:val="superscript"/>
        </w:rPr>
        <w:t>16</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714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3" w:lineRule="exact"/>
        <w:rPr>
          <w:sz w:val="20"/>
          <w:szCs w:val="20"/>
          <w:color w:val="auto"/>
        </w:rPr>
      </w:pPr>
    </w:p>
    <w:p>
      <w:pPr>
        <w:ind w:left="560" w:hanging="163"/>
        <w:spacing w:after="0"/>
        <w:tabs>
          <w:tab w:leader="none" w:pos="560" w:val="left"/>
        </w:tabs>
        <w:numPr>
          <w:ilvl w:val="0"/>
          <w:numId w:val="76"/>
        </w:numPr>
        <w:rPr>
          <w:rFonts w:ascii="Arial" w:cs="Arial" w:eastAsia="Arial" w:hAnsi="Arial"/>
          <w:sz w:val="22"/>
          <w:szCs w:val="22"/>
          <w:color w:val="auto"/>
          <w:vertAlign w:val="superscript"/>
        </w:rPr>
      </w:pPr>
      <w:r>
        <w:rPr>
          <w:rFonts w:ascii="Arial" w:cs="Arial" w:eastAsia="Arial" w:hAnsi="Arial"/>
          <w:sz w:val="17"/>
          <w:szCs w:val="17"/>
          <w:color w:val="auto"/>
        </w:rPr>
        <w:t>Include for execs with executive agreements.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23" w:name="page124"/>
    <w:bookmarkEnd w:id="123"/>
    <w:p>
      <w:pPr>
        <w:ind w:right="800" w:firstLine="648"/>
        <w:spacing w:after="0" w:line="232" w:lineRule="auto"/>
        <w:rPr>
          <w:sz w:val="20"/>
          <w:szCs w:val="20"/>
          <w:color w:val="auto"/>
        </w:rPr>
      </w:pPr>
      <w:r>
        <w:rPr>
          <w:rFonts w:ascii="Arial" w:cs="Arial" w:eastAsia="Arial" w:hAnsi="Arial"/>
          <w:sz w:val="22"/>
          <w:szCs w:val="22"/>
          <w:color w:val="auto"/>
        </w:rPr>
        <w:t>The Administrator may at any time accelerate the vesting schedule specified in this Paragraph 2 in circumstances involving the Grantee’s death or disability.</w:t>
      </w:r>
    </w:p>
    <w:p>
      <w:pPr>
        <w:spacing w:after="0" w:line="15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Subject to Paragraph 2 above,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49" w:lineRule="exact"/>
        <w:rPr>
          <w:sz w:val="20"/>
          <w:szCs w:val="20"/>
          <w:color w:val="auto"/>
        </w:rPr>
      </w:pPr>
    </w:p>
    <w:p>
      <w:pPr>
        <w:ind w:right="80" w:firstLine="648"/>
        <w:spacing w:after="0" w:line="21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58"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sz w:val="20"/>
          <w:szCs w:val="20"/>
          <w:color w:val="auto"/>
        </w:rPr>
      </w:pPr>
    </w:p>
    <w:p>
      <w:pPr>
        <w:ind w:right="80" w:firstLine="648"/>
        <w:spacing w:after="0" w:line="241"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Tax Withholding</w:t>
      </w:r>
      <w:r>
        <w:rPr>
          <w:rFonts w:ascii="Arial" w:cs="Arial" w:eastAsia="Arial" w:hAnsi="Arial"/>
          <w:sz w:val="19"/>
          <w:szCs w:val="19"/>
          <w:color w:val="auto"/>
        </w:rPr>
        <w:t>.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of Stock upon settlement, the subsequent sale of shares of Stock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officers or employees related to Tax-Related Items arising from the Restricted Stock Units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applicable) may be required to withhold or account for Tax-Related Items in more than one jurisdiction.</w:t>
      </w:r>
    </w:p>
    <w:p>
      <w:pPr>
        <w:spacing w:after="0" w:line="162" w:lineRule="exact"/>
        <w:rPr>
          <w:sz w:val="20"/>
          <w:szCs w:val="20"/>
          <w:color w:val="auto"/>
        </w:rPr>
      </w:pPr>
    </w:p>
    <w:p>
      <w:pPr>
        <w:jc w:val="both"/>
        <w:ind w:firstLine="519"/>
        <w:spacing w:after="0" w:line="218"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payment by the Grantee to the Company and/or Employer;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24" w:name="page125"/>
    <w:bookmarkEnd w:id="124"/>
    <w:p>
      <w:pPr>
        <w:ind w:left="1780" w:hanging="476"/>
        <w:spacing w:after="0"/>
        <w:tabs>
          <w:tab w:leader="none" w:pos="17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Employer; or</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06" w:val="left"/>
        </w:tabs>
        <w:numPr>
          <w:ilvl w:val="0"/>
          <w:numId w:val="77"/>
        </w:numPr>
        <w:rPr>
          <w:rFonts w:ascii="Arial" w:cs="Arial" w:eastAsia="Arial" w:hAnsi="Arial"/>
          <w:sz w:val="22"/>
          <w:szCs w:val="22"/>
          <w:color w:val="auto"/>
        </w:rPr>
      </w:pPr>
      <w:r>
        <w:rPr>
          <w:rFonts w:ascii="Arial" w:cs="Arial" w:eastAsia="Arial" w:hAnsi="Arial"/>
          <w:sz w:val="22"/>
          <w:szCs w:val="22"/>
          <w:color w:val="auto"/>
        </w:rPr>
        <w:t>withholding from proceeds of the sale of shares of Stock acquired upon vesting and settlement of the Restricted Stock Units, either through a voluntary sale or through a mandatory sale arranged by the Company (on the Grantee’s behalf pursuant to this authorization).</w:t>
      </w:r>
    </w:p>
    <w:p>
      <w:pPr>
        <w:spacing w:after="0" w:line="159" w:lineRule="exact"/>
        <w:rPr>
          <w:sz w:val="20"/>
          <w:szCs w:val="20"/>
          <w:color w:val="auto"/>
        </w:rPr>
      </w:pPr>
    </w:p>
    <w:p>
      <w:pPr>
        <w:jc w:val="both"/>
        <w:ind w:firstLine="649"/>
        <w:spacing w:after="0" w:line="252"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if the Grantee fails to comply with his or her obligations in connection with the Tax-Related Items..</w:t>
      </w:r>
    </w:p>
    <w:p>
      <w:pPr>
        <w:spacing w:after="0" w:line="144"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5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 Obligation to Continue Employment or Other Service Relationship</w:t>
      </w:r>
      <w:r>
        <w:rPr>
          <w:rFonts w:ascii="Arial" w:cs="Arial" w:eastAsia="Arial" w:hAnsi="Arial"/>
          <w:sz w:val="22"/>
          <w:szCs w:val="22"/>
          <w:color w:val="auto"/>
        </w:rPr>
        <w:t>. Neither the Company nor any Subsidiary is obligated by or as a result of the Plan or this Agreement to continue the Grantee’s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spacing w:after="0" w:line="158" w:lineRule="exact"/>
        <w:rPr>
          <w:sz w:val="20"/>
          <w:szCs w:val="20"/>
          <w:color w:val="auto"/>
        </w:rPr>
      </w:pPr>
    </w:p>
    <w:p>
      <w:pPr>
        <w:jc w:val="both"/>
        <w:ind w:right="140" w:firstLine="648"/>
        <w:spacing w:after="0" w:line="22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Award and supersede[s] all prior agreements and discussions between the parties concerning such subject matter.</w:t>
      </w:r>
    </w:p>
    <w:p>
      <w:pPr>
        <w:spacing w:after="0" w:line="159" w:lineRule="exact"/>
        <w:rPr>
          <w:sz w:val="20"/>
          <w:szCs w:val="20"/>
          <w:color w:val="auto"/>
        </w:rPr>
      </w:pPr>
    </w:p>
    <w:p>
      <w:pPr>
        <w:ind w:right="80" w:firstLine="648"/>
        <w:spacing w:after="0" w:line="24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25" w:name="page126"/>
    <w:bookmarkEnd w:id="125"/>
    <w:p>
      <w:pPr>
        <w:ind w:firstLine="648"/>
        <w:spacing w:after="0" w:line="252"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01" w:right="359" w:bottom="1440" w:gutter="0" w:footer="0" w:header="0"/>
        </w:sectPr>
      </w:pPr>
    </w:p>
    <w:bookmarkStart w:id="126" w:name="page127"/>
    <w:bookmarkEnd w:id="126"/>
    <w:p>
      <w:pPr>
        <w:ind w:left="3800"/>
        <w:spacing w:after="0"/>
        <w:rPr>
          <w:sz w:val="20"/>
          <w:szCs w:val="20"/>
          <w:color w:val="auto"/>
        </w:rPr>
      </w:pPr>
      <w:r>
        <w:rPr>
          <w:rFonts w:ascii="Arial" w:cs="Arial" w:eastAsia="Arial" w:hAnsi="Arial"/>
          <w:sz w:val="25"/>
          <w:szCs w:val="25"/>
          <w:b w:val="1"/>
          <w:bCs w:val="1"/>
          <w:color w:val="auto"/>
        </w:rPr>
        <w:t>STOCK OPTION AGREEMENT</w:t>
      </w:r>
    </w:p>
    <w:p>
      <w:pPr>
        <w:ind w:left="3020"/>
        <w:spacing w:after="0" w:line="202" w:lineRule="auto"/>
        <w:rPr>
          <w:sz w:val="20"/>
          <w:szCs w:val="20"/>
          <w:color w:val="auto"/>
        </w:rPr>
      </w:pPr>
      <w:r>
        <w:rPr>
          <w:rFonts w:ascii="Arial" w:cs="Arial" w:eastAsia="Arial" w:hAnsi="Arial"/>
          <w:sz w:val="25"/>
          <w:szCs w:val="25"/>
          <w:b w:val="1"/>
          <w:bCs w:val="1"/>
          <w:color w:val="auto"/>
        </w:rPr>
        <w:t>UNDER THE GUIDEWIRE SOFTWARE,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-17780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-17780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2" w:lineRule="exact"/>
        <w:rPr>
          <w:sz w:val="20"/>
          <w:szCs w:val="20"/>
          <w:color w:val="auto"/>
        </w:rPr>
      </w:pPr>
    </w:p>
    <w:p>
      <w:pPr>
        <w:spacing w:after="0"/>
        <w:tabs>
          <w:tab w:leader="none" w:pos="3040" w:val="left"/>
        </w:tabs>
        <w:rPr>
          <w:sz w:val="20"/>
          <w:szCs w:val="20"/>
          <w:color w:val="auto"/>
        </w:rPr>
      </w:pPr>
      <w:r>
        <w:rPr>
          <w:rFonts w:ascii="Arial" w:cs="Arial" w:eastAsia="Arial" w:hAnsi="Arial"/>
          <w:sz w:val="21"/>
          <w:szCs w:val="21"/>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-5715</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b w:val="1"/>
          <w:bCs w:val="1"/>
          <w:color w:val="auto"/>
        </w:rPr>
        <w:t>[FMV on Grant Date]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-17780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Option Type:</w:t>
      </w:r>
      <w:r>
        <w:rPr>
          <w:sz w:val="20"/>
          <w:szCs w:val="20"/>
          <w:color w:val="auto"/>
        </w:rPr>
        <w:tab/>
      </w:r>
      <w:r>
        <w:rPr>
          <w:rFonts w:ascii="Arial" w:cs="Arial" w:eastAsia="Arial" w:hAnsi="Arial"/>
          <w:sz w:val="19"/>
          <w:szCs w:val="19"/>
          <w:color w:val="auto"/>
        </w:rPr>
        <w:t>Incentive Stock Option*/Non-Qualified Stock Option*</w:t>
      </w:r>
    </w:p>
    <w:p>
      <w:pPr>
        <w:spacing w:after="0" w:line="395"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 This Stock Option is intended to be an “incentive stock option” under Section 422 of the Internal Revenue Code of 1986, as amended (the “Code”).]</w:t>
      </w:r>
      <w:r>
        <w:rPr>
          <w:rFonts w:ascii="Arial" w:cs="Arial" w:eastAsia="Arial" w:hAnsi="Arial"/>
          <w:sz w:val="28"/>
          <w:szCs w:val="28"/>
          <w:color w:val="auto"/>
          <w:vertAlign w:val="superscript"/>
        </w:rPr>
        <w:t>17</w:t>
      </w:r>
    </w:p>
    <w:p>
      <w:pPr>
        <w:spacing w:after="0" w:line="289"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This Stock Option is not intended to be an “incentive stock option” under Section 422 of the Internal Revenue Code of 1986, as amended (the “Code”).]</w:t>
      </w:r>
      <w:r>
        <w:rPr>
          <w:rFonts w:ascii="Arial" w:cs="Arial" w:eastAsia="Arial" w:hAnsi="Arial"/>
          <w:sz w:val="28"/>
          <w:szCs w:val="28"/>
          <w:color w:val="auto"/>
          <w:vertAlign w:val="superscript"/>
        </w:rPr>
        <w:t>18</w:t>
      </w:r>
    </w:p>
    <w:p>
      <w:pPr>
        <w:spacing w:after="0" w:line="28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Pursuant to the Guidewire Software, Inc. Amended and Restated 2020 Stock Plan as amended through the date hereof (the “Plan”), Guidewire Software, Inc. (the “Company”) hereby grants to the Optionee named above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herein and in the Plan.</w:t>
      </w:r>
    </w:p>
    <w:p>
      <w:pPr>
        <w:spacing w:after="0" w:line="158" w:lineRule="exact"/>
        <w:rPr>
          <w:sz w:val="20"/>
          <w:szCs w:val="20"/>
          <w:color w:val="auto"/>
        </w:rPr>
      </w:pPr>
    </w:p>
    <w:p>
      <w:pPr>
        <w:ind w:right="40" w:firstLine="648"/>
        <w:spacing w:after="0" w:line="204"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in circumstances involving the Optionee’s death or disability [and to any Company leave of absence policy in effect]</w:t>
      </w:r>
      <w:r>
        <w:rPr>
          <w:rFonts w:ascii="Arial" w:cs="Arial" w:eastAsia="Arial" w:hAnsi="Arial"/>
          <w:sz w:val="28"/>
          <w:szCs w:val="28"/>
          <w:color w:val="auto"/>
          <w:vertAlign w:val="superscript"/>
        </w:rPr>
        <w:t>19</w:t>
      </w:r>
      <w:r>
        <w:rPr>
          <w:rFonts w:ascii="Arial" w:cs="Arial" w:eastAsia="Arial" w:hAnsi="Arial"/>
          <w:sz w:val="22"/>
          <w:szCs w:val="22"/>
          <w:color w:val="auto"/>
        </w:rPr>
        <w:t>, this Stock Option shall be exercisable with respect to the following number of Option Shares on the dates indicated so long as the Optionee continues to be employed with the Company or a Subsidiary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9" w:lineRule="exact"/>
        <w:rPr>
          <w:sz w:val="20"/>
          <w:szCs w:val="20"/>
          <w:color w:val="auto"/>
        </w:rPr>
      </w:pPr>
    </w:p>
    <w:p>
      <w:pPr>
        <w:ind w:left="560" w:hanging="163"/>
        <w:spacing w:after="0"/>
        <w:tabs>
          <w:tab w:leader="none" w:pos="560"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For ISOs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For NQSOs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Include if LOA policy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83" w:right="339" w:bottom="1440" w:gutter="0" w:footer="0" w:header="0"/>
        </w:sectPr>
      </w:pPr>
    </w:p>
    <w:bookmarkStart w:id="127" w:name="page128"/>
    <w:bookmarkEnd w:id="127"/>
    <w:p>
      <w:pPr>
        <w:jc w:val="center"/>
        <w:ind w:right="4580"/>
        <w:spacing w:after="0"/>
        <w:rPr>
          <w:sz w:val="20"/>
          <w:szCs w:val="20"/>
          <w:color w:val="auto"/>
        </w:rPr>
      </w:pPr>
      <w:r>
        <w:rPr>
          <w:rFonts w:ascii="Arial" w:cs="Arial" w:eastAsia="Arial" w:hAnsi="Arial"/>
          <w:sz w:val="22"/>
          <w:szCs w:val="22"/>
          <w:color w:val="auto"/>
        </w:rPr>
        <w:t>Incremental Number of</w:t>
      </w:r>
    </w:p>
    <w:p>
      <w:pPr>
        <w:jc w:val="center"/>
        <w:ind w:right="4580"/>
        <w:spacing w:after="0" w:line="183" w:lineRule="auto"/>
        <w:rPr>
          <w:sz w:val="20"/>
          <w:szCs w:val="20"/>
          <w:color w:val="auto"/>
        </w:rPr>
      </w:pPr>
      <w:r>
        <w:rPr>
          <w:rFonts w:ascii="Arial" w:cs="Arial" w:eastAsia="Arial" w:hAnsi="Arial"/>
          <w:sz w:val="19"/>
          <w:szCs w:val="19"/>
          <w:color w:val="auto"/>
        </w:rPr>
        <w:t>Option Shares Exercisable[*]</w:t>
      </w:r>
      <w:r>
        <w:rPr>
          <w:rFonts w:ascii="Arial" w:cs="Arial" w:eastAsia="Arial" w:hAnsi="Arial"/>
          <w:sz w:val="25"/>
          <w:szCs w:val="25"/>
          <w:u w:val="single" w:color="auto"/>
          <w:color w:val="auto"/>
          <w:vertAlign w:val="superscript"/>
        </w:rPr>
        <w:t>20</w:t>
      </w:r>
    </w:p>
    <w:tbl>
      <w:tblPr>
        <w:tblLayout w:type="fixed"/>
        <w:tblInd w:w="1960" w:type="dxa"/>
        <w:tblCellMar>
          <w:top w:w="0" w:type="dxa"/>
          <w:left w:w="0" w:type="dxa"/>
          <w:bottom w:w="0" w:type="dxa"/>
          <w:right w:w="0" w:type="dxa"/>
        </w:tblCellMar>
      </w:tblPr>
      <w:tr>
        <w:trPr>
          <w:trHeight w:val="196"/>
        </w:trPr>
        <w:tc>
          <w:tcPr>
            <w:tcW w:w="2540" w:type="dxa"/>
            <w:vAlign w:val="bottom"/>
            <w:tcBorders>
              <w:top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color w:val="auto"/>
                <w:w w:val="91"/>
              </w:rPr>
              <w:t>Exercisability Date</w:t>
            </w:r>
          </w:p>
        </w:tc>
      </w:tr>
      <w:tr>
        <w:trPr>
          <w:trHeight w:val="296"/>
        </w:trPr>
        <w:tc>
          <w:tcPr>
            <w:tcW w:w="2540" w:type="dxa"/>
            <w:vAlign w:val="bottom"/>
          </w:tcPr>
          <w:p>
            <w:pPr>
              <w:jc w:val="right"/>
              <w:ind w:right="32"/>
              <w:spacing w:after="0"/>
              <w:rPr>
                <w:sz w:val="20"/>
                <w:szCs w:val="20"/>
                <w:color w:val="auto"/>
              </w:rPr>
            </w:pPr>
            <w:r>
              <w:rPr>
                <w:rFonts w:ascii="Arial" w:cs="Arial" w:eastAsia="Arial" w:hAnsi="Arial"/>
                <w:sz w:val="22"/>
                <w:szCs w:val="22"/>
                <w:color w:val="auto"/>
              </w:rPr>
              <w:t>_____________ (___%)</w:t>
            </w:r>
          </w:p>
        </w:tc>
        <w:tc>
          <w:tcPr>
            <w:tcW w:w="4000" w:type="dxa"/>
            <w:vAlign w:val="bottom"/>
            <w:gridSpan w:val="2"/>
          </w:tcPr>
          <w:p>
            <w:pPr>
              <w:jc w:val="center"/>
              <w:ind w:left="2232"/>
              <w:spacing w:after="0"/>
              <w:rPr>
                <w:sz w:val="20"/>
                <w:szCs w:val="20"/>
                <w:color w:val="auto"/>
              </w:rPr>
            </w:pPr>
            <w:r>
              <w:rPr>
                <w:rFonts w:ascii="Arial" w:cs="Arial" w:eastAsia="Arial" w:hAnsi="Arial"/>
                <w:sz w:val="22"/>
                <w:szCs w:val="22"/>
                <w:color w:val="auto"/>
                <w:w w:val="88"/>
              </w:rPr>
              <w:t>____________</w:t>
            </w:r>
          </w:p>
        </w:tc>
      </w:tr>
      <w:tr>
        <w:trPr>
          <w:trHeight w:val="270"/>
        </w:trPr>
        <w:tc>
          <w:tcPr>
            <w:tcW w:w="2540" w:type="dxa"/>
            <w:vAlign w:val="bottom"/>
          </w:tcPr>
          <w:p>
            <w:pPr>
              <w:jc w:val="right"/>
              <w:ind w:right="32"/>
              <w:spacing w:after="0"/>
              <w:rPr>
                <w:sz w:val="20"/>
                <w:szCs w:val="20"/>
                <w:color w:val="auto"/>
              </w:rPr>
            </w:pPr>
            <w:r>
              <w:rPr>
                <w:rFonts w:ascii="Arial" w:cs="Arial" w:eastAsia="Arial" w:hAnsi="Arial"/>
                <w:sz w:val="22"/>
                <w:szCs w:val="22"/>
                <w:color w:val="auto"/>
              </w:rPr>
              <w:t>_____________ (___%)</w:t>
            </w:r>
          </w:p>
        </w:tc>
        <w:tc>
          <w:tcPr>
            <w:tcW w:w="4000" w:type="dxa"/>
            <w:vAlign w:val="bottom"/>
            <w:gridSpan w:val="2"/>
          </w:tcPr>
          <w:p>
            <w:pPr>
              <w:jc w:val="center"/>
              <w:ind w:left="2232"/>
              <w:spacing w:after="0"/>
              <w:rPr>
                <w:sz w:val="20"/>
                <w:szCs w:val="20"/>
                <w:color w:val="auto"/>
              </w:rPr>
            </w:pPr>
            <w:r>
              <w:rPr>
                <w:rFonts w:ascii="Arial" w:cs="Arial" w:eastAsia="Arial" w:hAnsi="Arial"/>
                <w:sz w:val="22"/>
                <w:szCs w:val="22"/>
                <w:color w:val="auto"/>
                <w:w w:val="88"/>
              </w:rPr>
              <w:t>____________</w:t>
            </w:r>
          </w:p>
        </w:tc>
      </w:tr>
      <w:tr>
        <w:trPr>
          <w:trHeight w:val="270"/>
        </w:trPr>
        <w:tc>
          <w:tcPr>
            <w:tcW w:w="2540" w:type="dxa"/>
            <w:vAlign w:val="bottom"/>
          </w:tcPr>
          <w:p>
            <w:pPr>
              <w:jc w:val="right"/>
              <w:ind w:right="32"/>
              <w:spacing w:after="0"/>
              <w:rPr>
                <w:sz w:val="20"/>
                <w:szCs w:val="20"/>
                <w:color w:val="auto"/>
              </w:rPr>
            </w:pPr>
            <w:r>
              <w:rPr>
                <w:rFonts w:ascii="Arial" w:cs="Arial" w:eastAsia="Arial" w:hAnsi="Arial"/>
                <w:sz w:val="22"/>
                <w:szCs w:val="22"/>
                <w:color w:val="auto"/>
              </w:rPr>
              <w:t>_____________ (___%)</w:t>
            </w:r>
          </w:p>
        </w:tc>
        <w:tc>
          <w:tcPr>
            <w:tcW w:w="4000" w:type="dxa"/>
            <w:vAlign w:val="bottom"/>
            <w:gridSpan w:val="2"/>
          </w:tcPr>
          <w:p>
            <w:pPr>
              <w:jc w:val="center"/>
              <w:ind w:left="2232"/>
              <w:spacing w:after="0"/>
              <w:rPr>
                <w:sz w:val="20"/>
                <w:szCs w:val="20"/>
                <w:color w:val="auto"/>
              </w:rPr>
            </w:pPr>
            <w:r>
              <w:rPr>
                <w:rFonts w:ascii="Arial" w:cs="Arial" w:eastAsia="Arial" w:hAnsi="Arial"/>
                <w:sz w:val="22"/>
                <w:szCs w:val="22"/>
                <w:color w:val="auto"/>
                <w:w w:val="88"/>
              </w:rPr>
              <w:t>____________</w:t>
            </w:r>
          </w:p>
        </w:tc>
      </w:tr>
      <w:tr>
        <w:trPr>
          <w:trHeight w:val="270"/>
        </w:trPr>
        <w:tc>
          <w:tcPr>
            <w:tcW w:w="2540" w:type="dxa"/>
            <w:vAlign w:val="bottom"/>
          </w:tcPr>
          <w:p>
            <w:pPr>
              <w:jc w:val="right"/>
              <w:ind w:right="32"/>
              <w:spacing w:after="0"/>
              <w:rPr>
                <w:sz w:val="20"/>
                <w:szCs w:val="20"/>
                <w:color w:val="auto"/>
              </w:rPr>
            </w:pPr>
            <w:r>
              <w:rPr>
                <w:rFonts w:ascii="Arial" w:cs="Arial" w:eastAsia="Arial" w:hAnsi="Arial"/>
                <w:sz w:val="22"/>
                <w:szCs w:val="22"/>
                <w:color w:val="auto"/>
              </w:rPr>
              <w:t>_____________ (___%)</w:t>
            </w:r>
          </w:p>
        </w:tc>
        <w:tc>
          <w:tcPr>
            <w:tcW w:w="4000" w:type="dxa"/>
            <w:vAlign w:val="bottom"/>
            <w:gridSpan w:val="2"/>
          </w:tcPr>
          <w:p>
            <w:pPr>
              <w:jc w:val="center"/>
              <w:ind w:left="2232"/>
              <w:spacing w:after="0"/>
              <w:rPr>
                <w:sz w:val="20"/>
                <w:szCs w:val="20"/>
                <w:color w:val="auto"/>
              </w:rPr>
            </w:pPr>
            <w:r>
              <w:rPr>
                <w:rFonts w:ascii="Arial" w:cs="Arial" w:eastAsia="Arial" w:hAnsi="Arial"/>
                <w:sz w:val="22"/>
                <w:szCs w:val="22"/>
                <w:color w:val="auto"/>
                <w:w w:val="88"/>
              </w:rPr>
              <w:t>____________</w:t>
            </w:r>
          </w:p>
        </w:tc>
      </w:tr>
      <w:tr>
        <w:trPr>
          <w:trHeight w:val="274"/>
        </w:trPr>
        <w:tc>
          <w:tcPr>
            <w:tcW w:w="2540" w:type="dxa"/>
            <w:vAlign w:val="bottom"/>
          </w:tcPr>
          <w:p>
            <w:pPr>
              <w:jc w:val="right"/>
              <w:ind w:right="32"/>
              <w:spacing w:after="0"/>
              <w:rPr>
                <w:sz w:val="20"/>
                <w:szCs w:val="20"/>
                <w:color w:val="auto"/>
              </w:rPr>
            </w:pPr>
            <w:r>
              <w:rPr>
                <w:rFonts w:ascii="Arial" w:cs="Arial" w:eastAsia="Arial" w:hAnsi="Arial"/>
                <w:sz w:val="22"/>
                <w:szCs w:val="22"/>
                <w:color w:val="auto"/>
              </w:rPr>
              <w:t>_____________ (___%)</w:t>
            </w:r>
          </w:p>
        </w:tc>
        <w:tc>
          <w:tcPr>
            <w:tcW w:w="4000" w:type="dxa"/>
            <w:vAlign w:val="bottom"/>
            <w:gridSpan w:val="2"/>
          </w:tcPr>
          <w:p>
            <w:pPr>
              <w:jc w:val="center"/>
              <w:ind w:left="2232"/>
              <w:spacing w:after="0"/>
              <w:rPr>
                <w:sz w:val="20"/>
                <w:szCs w:val="20"/>
                <w:color w:val="auto"/>
              </w:rPr>
            </w:pPr>
            <w:r>
              <w:rPr>
                <w:rFonts w:ascii="Arial" w:cs="Arial" w:eastAsia="Arial" w:hAnsi="Arial"/>
                <w:sz w:val="22"/>
                <w:szCs w:val="22"/>
                <w:color w:val="auto"/>
                <w:w w:val="88"/>
              </w:rPr>
              <w:t>____________</w:t>
            </w:r>
          </w:p>
        </w:tc>
      </w:tr>
    </w:tbl>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Max. of $100,000 per year.]</w:t>
      </w:r>
      <w:r>
        <w:rPr>
          <w:rFonts w:ascii="Arial" w:cs="Arial" w:eastAsia="Arial" w:hAnsi="Arial"/>
          <w:sz w:val="28"/>
          <w:szCs w:val="28"/>
          <w:color w:val="auto"/>
          <w:vertAlign w:val="superscript"/>
        </w:rPr>
        <w:t>21</w:t>
      </w:r>
    </w:p>
    <w:p>
      <w:pPr>
        <w:spacing w:after="0" w:line="118"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Notwithstanding anything in this Agreement to the contrary, in the case of a Sale Event, this Stock Option and the Option Shares shall be treated as provided in Section 3(c) of the Plan[ provided; however that the Stock Option and the Option Shares shall be subject to any executive agreement by and between the Optionee and the Company, as applicable (the “Executive Agreement”)].</w:t>
      </w:r>
      <w:r>
        <w:rPr>
          <w:rFonts w:ascii="Arial" w:cs="Arial" w:eastAsia="Arial" w:hAnsi="Arial"/>
          <w:sz w:val="28"/>
          <w:szCs w:val="28"/>
          <w:color w:val="auto"/>
          <w:vertAlign w:val="superscript"/>
        </w:rPr>
        <w:t>22</w:t>
      </w:r>
    </w:p>
    <w:p>
      <w:pPr>
        <w:spacing w:after="0" w:line="76"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179" w:lineRule="exact"/>
        <w:rPr>
          <w:sz w:val="20"/>
          <w:szCs w:val="20"/>
          <w:color w:val="auto"/>
        </w:rPr>
      </w:pPr>
    </w:p>
    <w:p>
      <w:pPr>
        <w:ind w:right="100" w:firstLine="1304"/>
        <w:spacing w:after="0" w:line="218" w:lineRule="auto"/>
        <w:tabs>
          <w:tab w:leader="none" w:pos="194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55"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5" w:lineRule="exact"/>
        <w:rPr>
          <w:sz w:val="20"/>
          <w:szCs w:val="20"/>
          <w:color w:val="auto"/>
        </w:rPr>
      </w:pPr>
    </w:p>
    <w:p>
      <w:pPr>
        <w:ind w:left="560" w:hanging="163"/>
        <w:spacing w:after="0"/>
        <w:tabs>
          <w:tab w:leader="none" w:pos="560" w:val="left"/>
        </w:tabs>
        <w:numPr>
          <w:ilvl w:val="0"/>
          <w:numId w:val="80"/>
        </w:numPr>
        <w:rPr>
          <w:rFonts w:ascii="Arial" w:cs="Arial" w:eastAsia="Arial" w:hAnsi="Arial"/>
          <w:sz w:val="22"/>
          <w:szCs w:val="22"/>
          <w:color w:val="auto"/>
          <w:vertAlign w:val="superscript"/>
        </w:rPr>
      </w:pPr>
      <w:r>
        <w:rPr>
          <w:rFonts w:ascii="Arial" w:cs="Arial" w:eastAsia="Arial" w:hAnsi="Arial"/>
          <w:sz w:val="17"/>
          <w:szCs w:val="17"/>
          <w:color w:val="auto"/>
        </w:rPr>
        <w:t>For ISOs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80"/>
        </w:numPr>
        <w:rPr>
          <w:rFonts w:ascii="Arial" w:cs="Arial" w:eastAsia="Arial" w:hAnsi="Arial"/>
          <w:sz w:val="22"/>
          <w:szCs w:val="22"/>
          <w:color w:val="auto"/>
          <w:vertAlign w:val="superscript"/>
        </w:rPr>
      </w:pPr>
      <w:r>
        <w:rPr>
          <w:rFonts w:ascii="Arial" w:cs="Arial" w:eastAsia="Arial" w:hAnsi="Arial"/>
          <w:sz w:val="17"/>
          <w:szCs w:val="17"/>
          <w:color w:val="auto"/>
        </w:rPr>
        <w:t>For ISOs.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80"/>
        </w:numPr>
        <w:rPr>
          <w:rFonts w:ascii="Arial" w:cs="Arial" w:eastAsia="Arial" w:hAnsi="Arial"/>
          <w:sz w:val="22"/>
          <w:szCs w:val="22"/>
          <w:color w:val="auto"/>
          <w:vertAlign w:val="superscript"/>
        </w:rPr>
      </w:pPr>
      <w:r>
        <w:rPr>
          <w:rFonts w:ascii="Arial" w:cs="Arial" w:eastAsia="Arial" w:hAnsi="Arial"/>
          <w:sz w:val="17"/>
          <w:szCs w:val="17"/>
          <w:color w:val="auto"/>
        </w:rPr>
        <w:t>For executives with executive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22" w:right="399" w:bottom="1440" w:gutter="0" w:footer="0" w:header="0"/>
        </w:sectPr>
      </w:pPr>
    </w:p>
    <w:bookmarkStart w:id="128" w:name="page129"/>
    <w:bookmarkEnd w:id="128"/>
    <w:p>
      <w:pPr>
        <w:ind w:right="60"/>
        <w:spacing w:after="0" w:line="224" w:lineRule="auto"/>
        <w:rPr>
          <w:sz w:val="20"/>
          <w:szCs w:val="20"/>
          <w:color w:val="auto"/>
        </w:rPr>
      </w:pPr>
      <w:r>
        <w:rPr>
          <w:rFonts w:ascii="Arial" w:cs="Arial" w:eastAsia="Arial" w:hAnsi="Arial"/>
          <w:sz w:val="21"/>
          <w:szCs w:val="21"/>
          <w:color w:val="auto"/>
        </w:rPr>
        <w:t>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60" w:lineRule="exact"/>
        <w:rPr>
          <w:sz w:val="20"/>
          <w:szCs w:val="20"/>
          <w:color w:val="auto"/>
        </w:rPr>
      </w:pPr>
    </w:p>
    <w:p>
      <w:pPr>
        <w:ind w:right="40" w:firstLine="1304"/>
        <w:spacing w:after="0" w:line="245" w:lineRule="auto"/>
        <w:tabs>
          <w:tab w:leader="none" w:pos="1939"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375" w:lineRule="exact"/>
        <w:rPr>
          <w:rFonts w:ascii="Arial" w:cs="Arial" w:eastAsia="Arial" w:hAnsi="Arial"/>
          <w:sz w:val="19"/>
          <w:szCs w:val="19"/>
          <w:color w:val="auto"/>
        </w:rPr>
      </w:pPr>
    </w:p>
    <w:p>
      <w:pPr>
        <w:ind w:right="720" w:firstLine="1304"/>
        <w:spacing w:after="0" w:line="232" w:lineRule="auto"/>
        <w:tabs>
          <w:tab w:leader="none" w:pos="1941"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59" w:lineRule="exact"/>
        <w:rPr>
          <w:sz w:val="20"/>
          <w:szCs w:val="20"/>
          <w:color w:val="auto"/>
        </w:rPr>
      </w:pPr>
    </w:p>
    <w:p>
      <w:pPr>
        <w:jc w:val="both"/>
        <w:ind w:right="80" w:firstLine="648"/>
        <w:spacing w:after="0" w:line="22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Optionee’s employment with the Company or a Subsidiary (as defined in the Plan) is terminated, the period within which to exercise the Stock Option may be subject to earlier termination as set forth below.</w:t>
      </w:r>
    </w:p>
    <w:p>
      <w:pPr>
        <w:spacing w:after="0" w:line="159" w:lineRule="exact"/>
        <w:rPr>
          <w:sz w:val="20"/>
          <w:szCs w:val="20"/>
          <w:color w:val="auto"/>
        </w:rPr>
      </w:pPr>
    </w:p>
    <w:p>
      <w:pPr>
        <w:jc w:val="both"/>
        <w:ind w:right="40" w:firstLine="1304"/>
        <w:spacing w:after="0" w:line="226" w:lineRule="auto"/>
        <w:tabs>
          <w:tab w:leader="none" w:pos="1941"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59" w:lineRule="exact"/>
        <w:rPr>
          <w:rFonts w:ascii="Arial" w:cs="Arial" w:eastAsia="Arial" w:hAnsi="Arial"/>
          <w:sz w:val="21"/>
          <w:szCs w:val="21"/>
          <w:color w:val="auto"/>
        </w:rPr>
      </w:pPr>
    </w:p>
    <w:p>
      <w:pPr>
        <w:ind w:firstLine="1304"/>
        <w:spacing w:after="0" w:line="252" w:lineRule="auto"/>
        <w:tabs>
          <w:tab w:leader="none" w:pos="1939"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48" w:lineRule="exact"/>
        <w:rPr>
          <w:rFonts w:ascii="Arial" w:cs="Arial" w:eastAsia="Arial" w:hAnsi="Arial"/>
          <w:sz w:val="19"/>
          <w:szCs w:val="19"/>
          <w:color w:val="auto"/>
        </w:rPr>
      </w:pPr>
    </w:p>
    <w:p>
      <w:pPr>
        <w:ind w:right="100" w:firstLine="1304"/>
        <w:spacing w:after="0" w:line="242" w:lineRule="auto"/>
        <w:tabs>
          <w:tab w:leader="none" w:pos="1941"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w:t>
      </w:r>
    </w:p>
    <w:p>
      <w:pPr>
        <w:ind w:right="220" w:firstLine="8"/>
        <w:spacing w:after="0" w:line="214" w:lineRule="auto"/>
        <w:tabs>
          <w:tab w:leader="none" w:pos="258"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01" w:right="379" w:bottom="1440" w:gutter="0" w:footer="0" w:header="0"/>
        </w:sectPr>
      </w:pPr>
    </w:p>
    <w:bookmarkStart w:id="129" w:name="page130"/>
    <w:bookmarkEnd w:id="129"/>
    <w:p>
      <w:pPr>
        <w:ind w:right="40" w:firstLine="1304"/>
        <w:spacing w:after="0" w:line="252" w:lineRule="auto"/>
        <w:tabs>
          <w:tab w:leader="none" w:pos="193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49" w:lineRule="exact"/>
        <w:rPr>
          <w:sz w:val="20"/>
          <w:szCs w:val="20"/>
          <w:color w:val="auto"/>
        </w:rPr>
      </w:pPr>
    </w:p>
    <w:p>
      <w:pPr>
        <w:ind w:right="340" w:firstLine="648"/>
        <w:spacing w:after="0" w:line="247" w:lineRule="auto"/>
        <w:rPr>
          <w:sz w:val="20"/>
          <w:szCs w:val="20"/>
          <w:color w:val="auto"/>
        </w:rPr>
      </w:pPr>
      <w:r>
        <w:rPr>
          <w:rFonts w:ascii="Arial" w:cs="Arial" w:eastAsia="Arial" w:hAnsi="Arial"/>
          <w:sz w:val="21"/>
          <w:szCs w:val="21"/>
          <w:color w:val="auto"/>
        </w:rPr>
        <w:t>The Administrator’s determination of the reason for termination of the Optionee’s employment with the Company or a Subsidiary shall be conclusive and binding on the Optionee and his or her representatives or legatees.</w:t>
      </w:r>
    </w:p>
    <w:p>
      <w:pPr>
        <w:spacing w:after="0" w:line="151"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sz w:val="20"/>
          <w:szCs w:val="20"/>
          <w:color w:val="auto"/>
        </w:rPr>
      </w:pPr>
    </w:p>
    <w:p>
      <w:pPr>
        <w:ind w:right="300" w:firstLine="648"/>
        <w:spacing w:after="0" w:line="21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Tax Withholding</w:t>
      </w:r>
      <w:r>
        <w:rPr>
          <w:rFonts w:ascii="Arial" w:cs="Arial" w:eastAsia="Arial" w:hAnsi="Arial"/>
          <w:sz w:val="19"/>
          <w:szCs w:val="19"/>
          <w:color w:val="auto"/>
        </w:rPr>
        <w:t>. Regardless of any action that the Company, the Optionee’s actual employer or any parent, Subsidiary or affiliate to which the Optionee provides service if the Optionee is a Consultant (collectively, the “Employer”) takes with respect to any or all income tax, social insurance, payroll tax, payment on account, or other tax-related items related to the Optionee’s participation in the Plan and legally applicable to him or her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(a) make no representations or undertakings regarding the treatment of any Tax-Related Items in connection with any aspect of the Stock Option, including, without limitation, the grant, vesting, or exercise of the Stock Option, the issuance of Stock upon exercise, the subsequent sale of Stock acquired pursuant to such issuance, and the receipt of any dividends or dividend equivalents; and (b) do not commit to and are under no obligation to structure the terms of the grant or any aspect of the Stock Option to reduce or eliminate the Optionee’s liability for Tax-Related Items or achieve any particular tax result. The Optionee shall not make any claim against the Company or its Board, officers or employees related to Tax-Related Items arising from this Stock Option or the Optionee’s other compensation. Furthermore, if the Optionee has become subject to tax in more than one jurisdiction between the Grant Date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381" w:lineRule="exact"/>
        <w:rPr>
          <w:sz w:val="20"/>
          <w:szCs w:val="20"/>
          <w:color w:val="auto"/>
        </w:rPr>
      </w:pPr>
    </w:p>
    <w:p>
      <w:pPr>
        <w:jc w:val="both"/>
        <w:ind w:firstLine="486"/>
        <w:spacing w:after="0" w:line="218" w:lineRule="auto"/>
        <w:rPr>
          <w:sz w:val="20"/>
          <w:szCs w:val="20"/>
          <w:color w:val="auto"/>
        </w:rPr>
      </w:pPr>
      <w:r>
        <w:rPr>
          <w:rFonts w:ascii="Arial" w:cs="Arial" w:eastAsia="Arial" w:hAnsi="Arial"/>
          <w:sz w:val="22"/>
          <w:szCs w:val="22"/>
          <w:color w:val="auto"/>
        </w:rPr>
        <w:t>Prior to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payment by the Optionee to the Company and/or Employer;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30" w:name="page131"/>
    <w:bookmarkEnd w:id="130"/>
    <w:p>
      <w:pPr>
        <w:ind w:firstLine="1304"/>
        <w:spacing w:after="0" w:line="232" w:lineRule="auto"/>
        <w:tabs>
          <w:tab w:leader="none" w:pos="1872" w:val="left"/>
        </w:tabs>
        <w:numPr>
          <w:ilvl w:val="0"/>
          <w:numId w:val="85"/>
        </w:numPr>
        <w:rPr>
          <w:rFonts w:ascii="Arial" w:cs="Arial" w:eastAsia="Arial" w:hAnsi="Arial"/>
          <w:sz w:val="22"/>
          <w:szCs w:val="22"/>
          <w:color w:val="auto"/>
        </w:rPr>
      </w:pPr>
      <w:r>
        <w:rPr>
          <w:rFonts w:ascii="Arial" w:cs="Arial" w:eastAsia="Arial" w:hAnsi="Arial"/>
          <w:sz w:val="22"/>
          <w:szCs w:val="22"/>
          <w:color w:val="auto"/>
        </w:rPr>
        <w:t>withholding from the Optionee’s wages or other cash compensation paid to him or her by the Company and/or the Employer; or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38" w:val="left"/>
        </w:tabs>
        <w:numPr>
          <w:ilvl w:val="0"/>
          <w:numId w:val="85"/>
        </w:numPr>
        <w:rPr>
          <w:rFonts w:ascii="Arial" w:cs="Arial" w:eastAsia="Arial" w:hAnsi="Arial"/>
          <w:sz w:val="22"/>
          <w:szCs w:val="22"/>
          <w:color w:val="auto"/>
        </w:rPr>
      </w:pPr>
      <w:r>
        <w:rPr>
          <w:rFonts w:ascii="Arial" w:cs="Arial" w:eastAsia="Arial" w:hAnsi="Arial"/>
          <w:sz w:val="22"/>
          <w:szCs w:val="22"/>
          <w:color w:val="auto"/>
        </w:rPr>
        <w:t>withholding from proceeds of the sale of Stock acquired upon vesting and exercise of the Stock Options, either through a voluntary sale or through a mandatory sale arranged by the Company (on the Optionee’s behalf pursuant to this authorization).</w:t>
      </w:r>
    </w:p>
    <w:p>
      <w:pPr>
        <w:spacing w:after="0" w:line="159" w:lineRule="exact"/>
        <w:rPr>
          <w:sz w:val="20"/>
          <w:szCs w:val="20"/>
          <w:color w:val="auto"/>
        </w:rPr>
      </w:pPr>
    </w:p>
    <w:p>
      <w:pPr>
        <w:jc w:val="both"/>
        <w:ind w:firstLine="649"/>
        <w:spacing w:after="0" w:line="252"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Stock, the Optionee is deemed, for tax purposes, to have been issued the full number of share of Stock subject to the Stock Option, notwithstanding that a number of the shares of Stock is held back solely for the purpose of paying the Tax-Related Items due as a result of any aspect of the Optionee’s participation in the Plan.</w:t>
      </w:r>
    </w:p>
    <w:p>
      <w:pPr>
        <w:spacing w:after="0" w:line="149" w:lineRule="exact"/>
        <w:rPr>
          <w:sz w:val="20"/>
          <w:szCs w:val="20"/>
          <w:color w:val="auto"/>
        </w:rPr>
      </w:pPr>
    </w:p>
    <w:p>
      <w:pPr>
        <w:ind w:right="200" w:firstLine="1377"/>
        <w:spacing w:after="0" w:line="216" w:lineRule="auto"/>
        <w:rPr>
          <w:sz w:val="20"/>
          <w:szCs w:val="20"/>
          <w:color w:val="auto"/>
        </w:rPr>
      </w:pPr>
      <w:r>
        <w:rPr>
          <w:rFonts w:ascii="Arial" w:cs="Arial" w:eastAsia="Arial" w:hAnsi="Arial"/>
          <w:sz w:val="22"/>
          <w:szCs w:val="22"/>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58" w:lineRule="exact"/>
        <w:rPr>
          <w:sz w:val="20"/>
          <w:szCs w:val="20"/>
          <w:color w:val="auto"/>
        </w:rPr>
      </w:pPr>
    </w:p>
    <w:p>
      <w:pPr>
        <w:ind w:right="240" w:firstLine="648"/>
        <w:spacing w:after="0" w:line="216"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No Obligation to Continue Employment or Other Service Relationship</w:t>
      </w:r>
      <w:r>
        <w:rPr>
          <w:rFonts w:ascii="Arial" w:cs="Arial" w:eastAsia="Arial" w:hAnsi="Arial"/>
          <w:sz w:val="22"/>
          <w:szCs w:val="22"/>
          <w:color w:val="auto"/>
        </w:rPr>
        <w:t>. Neither the Company nor any Subsidiary is obligated by or as a result of the Plan or this Agreement to continue the Optionee in an employment or any other Service Relationship with the Company or a Subsidiary and neither the Plan nor this Agreement shall interfere in any way with the right of the Company or any Subsidiary to terminate the Optionee’s employment or any other Service Relationship with the Company or a Subsidiary at any time.</w:t>
      </w:r>
    </w:p>
    <w:p>
      <w:pPr>
        <w:spacing w:after="0" w:line="158"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Stock Option and supersede[s] all prior agreements and discussions between the parties concerning such subject matter.</w:t>
      </w:r>
    </w:p>
    <w:p>
      <w:pPr>
        <w:spacing w:after="0" w:line="159" w:lineRule="exact"/>
        <w:rPr>
          <w:sz w:val="20"/>
          <w:szCs w:val="20"/>
          <w:color w:val="auto"/>
        </w:rPr>
      </w:pPr>
    </w:p>
    <w:p>
      <w:pPr>
        <w:ind w:right="80" w:firstLine="648"/>
        <w:spacing w:after="0" w:line="244"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5" w:lineRule="exact"/>
        <w:rPr>
          <w:sz w:val="20"/>
          <w:szCs w:val="20"/>
          <w:color w:val="auto"/>
        </w:rPr>
      </w:pPr>
    </w:p>
    <w:p>
      <w:pPr>
        <w:ind w:right="20" w:firstLine="648"/>
        <w:spacing w:after="0" w:line="216"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Optionee at the address that he or she most recently provided to the Company in accordance with this Paragraph.</w:t>
      </w:r>
    </w:p>
    <w:p>
      <w:pPr>
        <w:spacing w:after="0" w:line="179" w:lineRule="exact"/>
        <w:rPr>
          <w:sz w:val="20"/>
          <w:szCs w:val="20"/>
          <w:color w:val="auto"/>
        </w:rPr>
      </w:pPr>
    </w:p>
    <w:p>
      <w:pPr>
        <w:ind w:firstLine="648"/>
        <w:spacing w:after="0" w:line="245" w:lineRule="auto"/>
        <w:rPr>
          <w:sz w:val="20"/>
          <w:szCs w:val="20"/>
          <w:color w:val="auto"/>
        </w:rPr>
      </w:pPr>
      <w:r>
        <w:rPr>
          <w:rFonts w:ascii="Arial" w:cs="Arial" w:eastAsia="Arial" w:hAnsi="Arial"/>
          <w:sz w:val="19"/>
          <w:szCs w:val="19"/>
          <w:color w:val="auto"/>
        </w:rPr>
        <w:t>SECTION 11. [</w:t>
      </w:r>
      <w:r>
        <w:rPr>
          <w:rFonts w:ascii="Arial" w:cs="Arial" w:eastAsia="Arial" w:hAnsi="Arial"/>
          <w:sz w:val="19"/>
          <w:szCs w:val="19"/>
          <w:u w:val="single" w:color="auto"/>
          <w:color w:val="auto"/>
        </w:rPr>
        <w:t>Status of the Stock Option</w:t>
      </w:r>
      <w:r>
        <w:rPr>
          <w:rFonts w:ascii="Arial" w:cs="Arial" w:eastAsia="Arial" w:hAnsi="Arial"/>
          <w:sz w:val="19"/>
          <w:szCs w:val="19"/>
          <w:color w:val="auto"/>
        </w:rPr>
        <w:t xml:space="preserve">. This Stock Option is intended to qualify as an “incentive stock option” under Section 422 of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Arial" w:cs="Arial" w:eastAsia="Arial" w:hAnsi="Arial"/>
          <w:sz w:val="19"/>
          <w:szCs w:val="19"/>
          <w:b w:val="1"/>
          <w:bCs w:val="1"/>
          <w:i w:val="1"/>
          <w:iCs w:val="1"/>
          <w:color w:val="auto"/>
        </w:rPr>
        <w:t>this Stock Option must be exercised within three months after termination of employment as an employee (or 12</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months in the case of death or disability) to qualify as an “incentive stock option.</w:t>
      </w:r>
      <w:r>
        <w:rPr>
          <w:rFonts w:ascii="Arial" w:cs="Arial" w:eastAsia="Arial" w:hAnsi="Arial"/>
          <w:sz w:val="19"/>
          <w:szCs w:val="19"/>
          <w:color w:val="auto"/>
        </w:rPr>
        <w:t>” To the extent any portion of this Stock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r>
        <w:rPr>
          <w:rFonts w:ascii="Arial" w:cs="Arial" w:eastAsia="Arial" w:hAnsi="Arial"/>
          <w:sz w:val="25"/>
          <w:szCs w:val="25"/>
          <w:color w:val="auto"/>
          <w:vertAlign w:val="superscript"/>
        </w:rPr>
        <w:t>23</w:t>
      </w:r>
    </w:p>
    <w:p>
      <w:pPr>
        <w:spacing w:after="0" w:line="69"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ind w:right="240"/>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958850</wp:posOffset>
            </wp:positionV>
            <wp:extent cx="1714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255905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530225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804545</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0" w:hanging="163"/>
        <w:spacing w:after="0"/>
        <w:tabs>
          <w:tab w:leader="none" w:pos="560" w:val="left"/>
        </w:tabs>
        <w:numPr>
          <w:ilvl w:val="0"/>
          <w:numId w:val="86"/>
        </w:numPr>
        <w:rPr>
          <w:rFonts w:ascii="Arial" w:cs="Arial" w:eastAsia="Arial" w:hAnsi="Arial"/>
          <w:sz w:val="22"/>
          <w:szCs w:val="22"/>
          <w:color w:val="auto"/>
          <w:vertAlign w:val="superscript"/>
        </w:rPr>
      </w:pPr>
      <w:r>
        <w:rPr>
          <w:rFonts w:ascii="Arial" w:cs="Arial" w:eastAsia="Arial" w:hAnsi="Arial"/>
          <w:sz w:val="17"/>
          <w:szCs w:val="17"/>
          <w:color w:val="auto"/>
        </w:rPr>
        <w:t>For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00"/>
          </w:cols>
          <w:pgMar w:left="320" w:top="1401" w:right="479" w:bottom="1440" w:gutter="0" w:footer="0" w:header="0"/>
        </w:sectPr>
      </w:pPr>
    </w:p>
    <w:bookmarkStart w:id="132" w:name="page133"/>
    <w:bookmarkEnd w:id="132"/>
    <w:p>
      <w:pPr>
        <w:ind w:left="3140"/>
        <w:spacing w:after="0"/>
        <w:rPr>
          <w:sz w:val="20"/>
          <w:szCs w:val="20"/>
          <w:color w:val="auto"/>
        </w:rPr>
      </w:pPr>
      <w:r>
        <w:rPr>
          <w:rFonts w:ascii="Arial" w:cs="Arial" w:eastAsia="Arial" w:hAnsi="Arial"/>
          <w:sz w:val="25"/>
          <w:szCs w:val="25"/>
          <w:b w:val="1"/>
          <w:bCs w:val="1"/>
          <w:color w:val="auto"/>
        </w:rPr>
        <w:t>GLOBAL STOCK OPTION AGREEMENT</w:t>
      </w:r>
      <w:r>
        <w:rPr>
          <w:rFonts w:ascii="Arial" w:cs="Arial" w:eastAsia="Arial" w:hAnsi="Arial"/>
          <w:sz w:val="32"/>
          <w:szCs w:val="32"/>
          <w:b w:val="1"/>
          <w:bCs w:val="1"/>
          <w:color w:val="auto"/>
          <w:vertAlign w:val="superscript"/>
        </w:rPr>
        <w:t>24</w:t>
      </w:r>
    </w:p>
    <w:p>
      <w:pPr>
        <w:ind w:left="3020"/>
        <w:spacing w:after="0" w:line="202" w:lineRule="auto"/>
        <w:rPr>
          <w:sz w:val="20"/>
          <w:szCs w:val="20"/>
          <w:color w:val="auto"/>
        </w:rPr>
      </w:pPr>
      <w:r>
        <w:rPr>
          <w:rFonts w:ascii="Arial" w:cs="Arial" w:eastAsia="Arial" w:hAnsi="Arial"/>
          <w:sz w:val="25"/>
          <w:szCs w:val="25"/>
          <w:b w:val="1"/>
          <w:bCs w:val="1"/>
          <w:color w:val="auto"/>
        </w:rPr>
        <w:t>UNDER THE GUIDEWIRE SOFTWARE,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-17780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-17780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2" w:lineRule="exact"/>
        <w:rPr>
          <w:sz w:val="20"/>
          <w:szCs w:val="20"/>
          <w:color w:val="auto"/>
        </w:rPr>
      </w:pPr>
    </w:p>
    <w:p>
      <w:pPr>
        <w:spacing w:after="0"/>
        <w:tabs>
          <w:tab w:leader="none" w:pos="3040" w:val="left"/>
        </w:tabs>
        <w:rPr>
          <w:sz w:val="20"/>
          <w:szCs w:val="20"/>
          <w:color w:val="auto"/>
        </w:rPr>
      </w:pPr>
      <w:r>
        <w:rPr>
          <w:rFonts w:ascii="Arial" w:cs="Arial" w:eastAsia="Arial" w:hAnsi="Arial"/>
          <w:sz w:val="21"/>
          <w:szCs w:val="21"/>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-5715</wp:posOffset>
            </wp:positionV>
            <wp:extent cx="137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b w:val="1"/>
          <w:bCs w:val="1"/>
          <w:color w:val="auto"/>
        </w:rPr>
        <w:t>[FMV on Grant Date]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-17780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Option Type:</w:t>
      </w:r>
      <w:r>
        <w:rPr>
          <w:sz w:val="20"/>
          <w:szCs w:val="20"/>
          <w:color w:val="auto"/>
        </w:rPr>
        <w:tab/>
      </w:r>
      <w:r>
        <w:rPr>
          <w:rFonts w:ascii="Arial" w:cs="Arial" w:eastAsia="Arial" w:hAnsi="Arial"/>
          <w:sz w:val="19"/>
          <w:szCs w:val="19"/>
          <w:color w:val="auto"/>
        </w:rPr>
        <w:t>Non-Qualified Stock Option</w:t>
      </w:r>
    </w:p>
    <w:p>
      <w:pPr>
        <w:spacing w:after="0" w:line="395" w:lineRule="exact"/>
        <w:rPr>
          <w:sz w:val="20"/>
          <w:szCs w:val="20"/>
          <w:color w:val="auto"/>
        </w:rPr>
      </w:pPr>
    </w:p>
    <w:p>
      <w:pPr>
        <w:ind w:right="200"/>
        <w:spacing w:after="0" w:line="232" w:lineRule="auto"/>
        <w:rPr>
          <w:sz w:val="20"/>
          <w:szCs w:val="20"/>
          <w:color w:val="auto"/>
        </w:rPr>
      </w:pPr>
      <w:r>
        <w:rPr>
          <w:rFonts w:ascii="Arial" w:cs="Arial" w:eastAsia="Arial" w:hAnsi="Arial"/>
          <w:sz w:val="22"/>
          <w:szCs w:val="22"/>
          <w:color w:val="auto"/>
        </w:rPr>
        <w:t>This Stock Option is not intended to be an “incentive stock option” under Section 422 of the Internal Revenue Code of 1986, as amended (the “Code”).</w:t>
      </w:r>
    </w:p>
    <w:p>
      <w:pPr>
        <w:spacing w:after="0" w:line="37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Pursuant to the Guidewire Software, Inc. Amended and Restated 2020 Stock Plan as amended through the date hereof (the “Plan”), Guidewire Software, Inc. (the “Company”) hereby grants to the Optionee named above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in this Global Stock Option Agreement (the “Option Agreement”), including any additional terms and conditions for the Optionee’s country set forth in the appendix attached hereto (the “Appendix” and, together with the Option Agreement, the “Agreement”) and in the Plan. Capitalized terms in this Agreement shall have the meaning specified in the Plan, unless a different meaning is specified herein.</w:t>
      </w:r>
    </w:p>
    <w:p>
      <w:pPr>
        <w:spacing w:after="0" w:line="165"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in circumstances involving the Optionee’s death or disability [and to any Company leave of absence policy in effect]</w:t>
      </w:r>
      <w:r>
        <w:rPr>
          <w:rFonts w:ascii="Arial" w:cs="Arial" w:eastAsia="Arial" w:hAnsi="Arial"/>
          <w:sz w:val="28"/>
          <w:szCs w:val="28"/>
          <w:color w:val="auto"/>
          <w:vertAlign w:val="superscript"/>
        </w:rPr>
        <w:t>25</w:t>
      </w:r>
      <w:r>
        <w:rPr>
          <w:rFonts w:ascii="Arial" w:cs="Arial" w:eastAsia="Arial" w:hAnsi="Arial"/>
          <w:sz w:val="22"/>
          <w:szCs w:val="22"/>
          <w:color w:val="auto"/>
        </w:rPr>
        <w:t>, this Stock Option shall be exercisable with respect to the following number of Option Shares on the dates indicated so long as the Optionee continues to be employed with the Company or an Affiliate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94" w:lineRule="exact"/>
        <w:rPr>
          <w:sz w:val="20"/>
          <w:szCs w:val="20"/>
          <w:color w:val="auto"/>
        </w:rPr>
      </w:pPr>
    </w:p>
    <w:p>
      <w:pPr>
        <w:ind w:left="560" w:hanging="163"/>
        <w:spacing w:after="0"/>
        <w:tabs>
          <w:tab w:leader="none" w:pos="560"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Include if LOA policy is in effect.</w:t>
      </w:r>
    </w:p>
    <w:p>
      <w:pPr>
        <w:sectPr>
          <w:pgSz w:w="11900" w:h="16838" w:orient="portrait"/>
          <w:cols w:equalWidth="0" w:num="1">
            <w:col w:w="11240"/>
          </w:cols>
          <w:pgMar w:left="320" w:top="1302" w:right="339" w:bottom="1440" w:gutter="0" w:footer="0" w:header="0"/>
        </w:sectPr>
      </w:pPr>
    </w:p>
    <w:bookmarkStart w:id="133" w:name="page134"/>
    <w:bookmarkEnd w:id="133"/>
    <w:p>
      <w:pPr>
        <w:jc w:val="center"/>
        <w:ind w:right="4640"/>
        <w:spacing w:after="0"/>
        <w:rPr>
          <w:sz w:val="20"/>
          <w:szCs w:val="20"/>
          <w:color w:val="auto"/>
        </w:rPr>
      </w:pPr>
      <w:r>
        <w:rPr>
          <w:rFonts w:ascii="Arial" w:cs="Arial" w:eastAsia="Arial" w:hAnsi="Arial"/>
          <w:sz w:val="22"/>
          <w:szCs w:val="22"/>
          <w:color w:val="auto"/>
        </w:rPr>
        <w:t>Incremental Number of</w:t>
      </w:r>
    </w:p>
    <w:p>
      <w:pPr>
        <w:jc w:val="center"/>
        <w:ind w:right="4640"/>
        <w:spacing w:after="0" w:line="195" w:lineRule="auto"/>
        <w:rPr>
          <w:sz w:val="20"/>
          <w:szCs w:val="20"/>
          <w:color w:val="auto"/>
        </w:rPr>
      </w:pPr>
      <w:r>
        <w:rPr>
          <w:rFonts w:ascii="Arial" w:cs="Arial" w:eastAsia="Arial" w:hAnsi="Arial"/>
          <w:sz w:val="22"/>
          <w:szCs w:val="22"/>
          <w:color w:val="auto"/>
        </w:rPr>
        <w:t>Option Shares Exercisable[*]</w:t>
      </w:r>
    </w:p>
    <w:tbl>
      <w:tblPr>
        <w:tblLayout w:type="fixed"/>
        <w:tblInd w:w="2040" w:type="dxa"/>
        <w:tblCellMar>
          <w:top w:w="0" w:type="dxa"/>
          <w:left w:w="0" w:type="dxa"/>
          <w:bottom w:w="0" w:type="dxa"/>
          <w:right w:w="0" w:type="dxa"/>
        </w:tblCellMar>
      </w:tblPr>
      <w:tr>
        <w:trPr>
          <w:trHeight w:val="196"/>
        </w:trPr>
        <w:tc>
          <w:tcPr>
            <w:tcW w:w="2540" w:type="dxa"/>
            <w:vAlign w:val="bottom"/>
            <w:tcBorders>
              <w:top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color w:val="auto"/>
                <w:w w:val="91"/>
              </w:rPr>
              <w:t>Exercisability Date</w:t>
            </w:r>
          </w:p>
        </w:tc>
      </w:tr>
      <w:tr>
        <w:trPr>
          <w:trHeight w:val="296"/>
        </w:trPr>
        <w:tc>
          <w:tcPr>
            <w:tcW w:w="2540" w:type="dxa"/>
            <w:vAlign w:val="bottom"/>
          </w:tcPr>
          <w:p>
            <w:pPr>
              <w:jc w:val="right"/>
              <w:ind w:right="112"/>
              <w:spacing w:after="0"/>
              <w:rPr>
                <w:sz w:val="20"/>
                <w:szCs w:val="20"/>
                <w:color w:val="auto"/>
              </w:rPr>
            </w:pPr>
            <w:r>
              <w:rPr>
                <w:rFonts w:ascii="Arial" w:cs="Arial" w:eastAsia="Arial" w:hAnsi="Arial"/>
                <w:sz w:val="22"/>
                <w:szCs w:val="22"/>
                <w:color w:val="auto"/>
                <w:w w:val="97"/>
              </w:rPr>
              <w:t>_____________ (___%)</w:t>
            </w:r>
          </w:p>
        </w:tc>
        <w:tc>
          <w:tcPr>
            <w:tcW w:w="3920" w:type="dxa"/>
            <w:vAlign w:val="bottom"/>
            <w:gridSpan w:val="2"/>
          </w:tcPr>
          <w:p>
            <w:pPr>
              <w:jc w:val="center"/>
              <w:ind w:left="2152"/>
              <w:spacing w:after="0"/>
              <w:rPr>
                <w:sz w:val="20"/>
                <w:szCs w:val="20"/>
                <w:color w:val="auto"/>
              </w:rPr>
            </w:pPr>
            <w:r>
              <w:rPr>
                <w:rFonts w:ascii="Arial" w:cs="Arial" w:eastAsia="Arial" w:hAnsi="Arial"/>
                <w:sz w:val="22"/>
                <w:szCs w:val="22"/>
                <w:color w:val="auto"/>
                <w:w w:val="88"/>
              </w:rPr>
              <w:t>____________</w:t>
            </w:r>
          </w:p>
        </w:tc>
      </w:tr>
      <w:tr>
        <w:trPr>
          <w:trHeight w:val="270"/>
        </w:trPr>
        <w:tc>
          <w:tcPr>
            <w:tcW w:w="2540" w:type="dxa"/>
            <w:vAlign w:val="bottom"/>
          </w:tcPr>
          <w:p>
            <w:pPr>
              <w:jc w:val="right"/>
              <w:ind w:right="112"/>
              <w:spacing w:after="0"/>
              <w:rPr>
                <w:sz w:val="20"/>
                <w:szCs w:val="20"/>
                <w:color w:val="auto"/>
              </w:rPr>
            </w:pPr>
            <w:r>
              <w:rPr>
                <w:rFonts w:ascii="Arial" w:cs="Arial" w:eastAsia="Arial" w:hAnsi="Arial"/>
                <w:sz w:val="22"/>
                <w:szCs w:val="22"/>
                <w:color w:val="auto"/>
                <w:w w:val="97"/>
              </w:rPr>
              <w:t>_____________ (___%)</w:t>
            </w:r>
          </w:p>
        </w:tc>
        <w:tc>
          <w:tcPr>
            <w:tcW w:w="3920" w:type="dxa"/>
            <w:vAlign w:val="bottom"/>
            <w:gridSpan w:val="2"/>
          </w:tcPr>
          <w:p>
            <w:pPr>
              <w:jc w:val="center"/>
              <w:ind w:left="2152"/>
              <w:spacing w:after="0"/>
              <w:rPr>
                <w:sz w:val="20"/>
                <w:szCs w:val="20"/>
                <w:color w:val="auto"/>
              </w:rPr>
            </w:pPr>
            <w:r>
              <w:rPr>
                <w:rFonts w:ascii="Arial" w:cs="Arial" w:eastAsia="Arial" w:hAnsi="Arial"/>
                <w:sz w:val="22"/>
                <w:szCs w:val="22"/>
                <w:color w:val="auto"/>
                <w:w w:val="88"/>
              </w:rPr>
              <w:t>____________</w:t>
            </w:r>
          </w:p>
        </w:tc>
      </w:tr>
      <w:tr>
        <w:trPr>
          <w:trHeight w:val="270"/>
        </w:trPr>
        <w:tc>
          <w:tcPr>
            <w:tcW w:w="2540" w:type="dxa"/>
            <w:vAlign w:val="bottom"/>
          </w:tcPr>
          <w:p>
            <w:pPr>
              <w:jc w:val="right"/>
              <w:ind w:right="112"/>
              <w:spacing w:after="0"/>
              <w:rPr>
                <w:sz w:val="20"/>
                <w:szCs w:val="20"/>
                <w:color w:val="auto"/>
              </w:rPr>
            </w:pPr>
            <w:r>
              <w:rPr>
                <w:rFonts w:ascii="Arial" w:cs="Arial" w:eastAsia="Arial" w:hAnsi="Arial"/>
                <w:sz w:val="22"/>
                <w:szCs w:val="22"/>
                <w:color w:val="auto"/>
                <w:w w:val="97"/>
              </w:rPr>
              <w:t>_____________ (___%)</w:t>
            </w:r>
          </w:p>
        </w:tc>
        <w:tc>
          <w:tcPr>
            <w:tcW w:w="3920" w:type="dxa"/>
            <w:vAlign w:val="bottom"/>
            <w:gridSpan w:val="2"/>
          </w:tcPr>
          <w:p>
            <w:pPr>
              <w:jc w:val="center"/>
              <w:ind w:left="2152"/>
              <w:spacing w:after="0"/>
              <w:rPr>
                <w:sz w:val="20"/>
                <w:szCs w:val="20"/>
                <w:color w:val="auto"/>
              </w:rPr>
            </w:pPr>
            <w:r>
              <w:rPr>
                <w:rFonts w:ascii="Arial" w:cs="Arial" w:eastAsia="Arial" w:hAnsi="Arial"/>
                <w:sz w:val="22"/>
                <w:szCs w:val="22"/>
                <w:color w:val="auto"/>
                <w:w w:val="88"/>
              </w:rPr>
              <w:t>____________</w:t>
            </w:r>
          </w:p>
        </w:tc>
      </w:tr>
      <w:tr>
        <w:trPr>
          <w:trHeight w:val="270"/>
        </w:trPr>
        <w:tc>
          <w:tcPr>
            <w:tcW w:w="2540" w:type="dxa"/>
            <w:vAlign w:val="bottom"/>
          </w:tcPr>
          <w:p>
            <w:pPr>
              <w:jc w:val="right"/>
              <w:ind w:right="112"/>
              <w:spacing w:after="0"/>
              <w:rPr>
                <w:sz w:val="20"/>
                <w:szCs w:val="20"/>
                <w:color w:val="auto"/>
              </w:rPr>
            </w:pPr>
            <w:r>
              <w:rPr>
                <w:rFonts w:ascii="Arial" w:cs="Arial" w:eastAsia="Arial" w:hAnsi="Arial"/>
                <w:sz w:val="22"/>
                <w:szCs w:val="22"/>
                <w:color w:val="auto"/>
                <w:w w:val="97"/>
              </w:rPr>
              <w:t>_____________ (___%)</w:t>
            </w:r>
          </w:p>
        </w:tc>
        <w:tc>
          <w:tcPr>
            <w:tcW w:w="3920" w:type="dxa"/>
            <w:vAlign w:val="bottom"/>
            <w:gridSpan w:val="2"/>
          </w:tcPr>
          <w:p>
            <w:pPr>
              <w:jc w:val="center"/>
              <w:ind w:left="2152"/>
              <w:spacing w:after="0"/>
              <w:rPr>
                <w:sz w:val="20"/>
                <w:szCs w:val="20"/>
                <w:color w:val="auto"/>
              </w:rPr>
            </w:pPr>
            <w:r>
              <w:rPr>
                <w:rFonts w:ascii="Arial" w:cs="Arial" w:eastAsia="Arial" w:hAnsi="Arial"/>
                <w:sz w:val="22"/>
                <w:szCs w:val="22"/>
                <w:color w:val="auto"/>
                <w:w w:val="88"/>
              </w:rPr>
              <w:t>____________</w:t>
            </w:r>
          </w:p>
        </w:tc>
      </w:tr>
      <w:tr>
        <w:trPr>
          <w:trHeight w:val="274"/>
        </w:trPr>
        <w:tc>
          <w:tcPr>
            <w:tcW w:w="2540" w:type="dxa"/>
            <w:vAlign w:val="bottom"/>
          </w:tcPr>
          <w:p>
            <w:pPr>
              <w:jc w:val="right"/>
              <w:ind w:right="112"/>
              <w:spacing w:after="0"/>
              <w:rPr>
                <w:sz w:val="20"/>
                <w:szCs w:val="20"/>
                <w:color w:val="auto"/>
              </w:rPr>
            </w:pPr>
            <w:r>
              <w:rPr>
                <w:rFonts w:ascii="Arial" w:cs="Arial" w:eastAsia="Arial" w:hAnsi="Arial"/>
                <w:sz w:val="22"/>
                <w:szCs w:val="22"/>
                <w:color w:val="auto"/>
                <w:w w:val="97"/>
              </w:rPr>
              <w:t>_____________ (___%)</w:t>
            </w:r>
          </w:p>
        </w:tc>
        <w:tc>
          <w:tcPr>
            <w:tcW w:w="3920" w:type="dxa"/>
            <w:vAlign w:val="bottom"/>
            <w:gridSpan w:val="2"/>
          </w:tcPr>
          <w:p>
            <w:pPr>
              <w:jc w:val="center"/>
              <w:ind w:left="2152"/>
              <w:spacing w:after="0"/>
              <w:rPr>
                <w:sz w:val="20"/>
                <w:szCs w:val="20"/>
                <w:color w:val="auto"/>
              </w:rPr>
            </w:pPr>
            <w:r>
              <w:rPr>
                <w:rFonts w:ascii="Arial" w:cs="Arial" w:eastAsia="Arial" w:hAnsi="Arial"/>
                <w:sz w:val="22"/>
                <w:szCs w:val="22"/>
                <w:color w:val="auto"/>
                <w:w w:val="88"/>
              </w:rPr>
              <w:t>____________</w:t>
            </w:r>
          </w:p>
        </w:tc>
      </w:tr>
    </w:tbl>
    <w:p>
      <w:pPr>
        <w:spacing w:after="0" w:line="279"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Notwithstanding anything in this Agreement to the contrary, in the case of a Sale Event, this Stock Option and the Option Shares shall be treated as provided in Section 3(c) of the Plan[ provided; however that the Stock Option and the Option Shares shall be subject to any executive agreement by and between the Optionee and the Company, as applicable (the “Executive Agreement”)].</w:t>
      </w:r>
      <w:r>
        <w:rPr>
          <w:rFonts w:ascii="Arial" w:cs="Arial" w:eastAsia="Arial" w:hAnsi="Arial"/>
          <w:sz w:val="28"/>
          <w:szCs w:val="28"/>
          <w:color w:val="auto"/>
          <w:vertAlign w:val="superscript"/>
        </w:rPr>
        <w:t>26</w:t>
      </w:r>
    </w:p>
    <w:p>
      <w:pPr>
        <w:spacing w:after="0" w:line="7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 For the avoidance of doubt, being employed with the Company or an Affiliate for only a portion of the vesting period, but where the Optionee’s employment has terminated prior to a vesting date, will not entitle the Optionee to vest in and exercise a pro-rata portion of this Stock Option on such vesting date or any future vesting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179" w:lineRule="exact"/>
        <w:rPr>
          <w:sz w:val="20"/>
          <w:szCs w:val="20"/>
          <w:color w:val="auto"/>
        </w:rPr>
      </w:pPr>
    </w:p>
    <w:p>
      <w:pPr>
        <w:ind w:right="180" w:firstLine="1304"/>
        <w:spacing w:after="0" w:line="229" w:lineRule="auto"/>
        <w:tabs>
          <w:tab w:leader="none" w:pos="1941"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Optionee may exercise this Stock Option only in the following manner: from time to time on or prior to the Expiration Date of this Stock Option, the Optionee may give written notice to the Administrator (or such other person or entity as the Administrator may designate) of his or her election to purchase some or all of the Option Shares purchasable at the time of such notice. This notice shall specify the number of Option Shares to be purchased.</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of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(or such person or entity as the Company may designate)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38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5" w:lineRule="exact"/>
        <w:rPr>
          <w:sz w:val="20"/>
          <w:szCs w:val="20"/>
          <w:color w:val="auto"/>
        </w:rPr>
      </w:pPr>
    </w:p>
    <w:p>
      <w:pPr>
        <w:ind w:left="560" w:hanging="163"/>
        <w:spacing w:after="0"/>
        <w:tabs>
          <w:tab w:leader="none" w:pos="560" w:val="left"/>
        </w:tabs>
        <w:numPr>
          <w:ilvl w:val="0"/>
          <w:numId w:val="89"/>
        </w:numPr>
        <w:rPr>
          <w:rFonts w:ascii="Arial" w:cs="Arial" w:eastAsia="Arial" w:hAnsi="Arial"/>
          <w:sz w:val="22"/>
          <w:szCs w:val="22"/>
          <w:color w:val="auto"/>
          <w:vertAlign w:val="superscript"/>
        </w:rPr>
      </w:pPr>
      <w:r>
        <w:rPr>
          <w:rFonts w:ascii="Arial" w:cs="Arial" w:eastAsia="Arial" w:hAnsi="Arial"/>
          <w:sz w:val="17"/>
          <w:szCs w:val="17"/>
          <w:color w:val="auto"/>
        </w:rPr>
        <w:t>For executives with executive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36" w:right="339" w:bottom="1440" w:gutter="0" w:footer="0" w:header="0"/>
        </w:sectPr>
      </w:pPr>
    </w:p>
    <w:bookmarkStart w:id="134" w:name="page135"/>
    <w:bookmarkEnd w:id="134"/>
    <w:p>
      <w:pPr>
        <w:jc w:val="both"/>
        <w:spacing w:after="0" w:line="249" w:lineRule="auto"/>
        <w:rPr>
          <w:sz w:val="20"/>
          <w:szCs w:val="20"/>
          <w:color w:val="auto"/>
        </w:rPr>
      </w:pPr>
      <w:r>
        <w:rPr>
          <w:rFonts w:ascii="Arial" w:cs="Arial" w:eastAsia="Arial" w:hAnsi="Arial"/>
          <w:sz w:val="19"/>
          <w:szCs w:val="19"/>
          <w:color w:val="auto"/>
        </w:rPr>
        <w:t>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 owned shares of Stock through the attestation method, the number of shares of Stock transferred to the Optionee upon the exercise of the Stock Option shall be net of the Shares attested to.</w:t>
      </w:r>
    </w:p>
    <w:p>
      <w:pPr>
        <w:spacing w:after="0" w:line="152" w:lineRule="exact"/>
        <w:rPr>
          <w:sz w:val="20"/>
          <w:szCs w:val="20"/>
          <w:color w:val="auto"/>
        </w:rPr>
      </w:pPr>
    </w:p>
    <w:p>
      <w:pPr>
        <w:jc w:val="both"/>
        <w:ind w:firstLine="1304"/>
        <w:spacing w:after="0" w:line="221" w:lineRule="auto"/>
        <w:tabs>
          <w:tab w:leader="none" w:pos="1939"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8" w:lineRule="exact"/>
        <w:rPr>
          <w:rFonts w:ascii="Arial" w:cs="Arial" w:eastAsia="Arial" w:hAnsi="Arial"/>
          <w:sz w:val="21"/>
          <w:szCs w:val="21"/>
          <w:color w:val="auto"/>
        </w:rPr>
      </w:pPr>
    </w:p>
    <w:p>
      <w:pPr>
        <w:ind w:right="760" w:firstLine="1304"/>
        <w:spacing w:after="0" w:line="232" w:lineRule="auto"/>
        <w:tabs>
          <w:tab w:leader="none" w:pos="1941"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Optionee’s employment with the Company or an Affiliate (as defined in the Plan) is terminated, the period within which to exercise the Stock Option may be subject to earlier termination as set forth below (and if not exercised within such period, shall thereafter terminate).</w:t>
      </w:r>
    </w:p>
    <w:p>
      <w:pPr>
        <w:spacing w:after="0" w:line="159" w:lineRule="exact"/>
        <w:rPr>
          <w:sz w:val="20"/>
          <w:szCs w:val="20"/>
          <w:color w:val="auto"/>
        </w:rPr>
      </w:pPr>
    </w:p>
    <w:p>
      <w:pPr>
        <w:jc w:val="both"/>
        <w:ind w:firstLine="1304"/>
        <w:spacing w:after="0" w:line="226" w:lineRule="auto"/>
        <w:tabs>
          <w:tab w:leader="none" w:pos="1941"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employment with the Company or an Affiliate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159" w:lineRule="exact"/>
        <w:rPr>
          <w:rFonts w:ascii="Arial" w:cs="Arial" w:eastAsia="Arial" w:hAnsi="Arial"/>
          <w:sz w:val="21"/>
          <w:szCs w:val="21"/>
          <w:color w:val="auto"/>
        </w:rPr>
      </w:pPr>
    </w:p>
    <w:p>
      <w:pPr>
        <w:jc w:val="both"/>
        <w:ind w:firstLine="1304"/>
        <w:spacing w:after="0" w:line="243" w:lineRule="auto"/>
        <w:tabs>
          <w:tab w:leader="none" w:pos="1939"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employment with the Company or an Affiliate terminates by reason of the Optionee’s disability (as determined by the Administrator), any portion of this Stock Option outstanding on such date, to the extent exercisable on the date of such termination, may thereafter be exercised by the Optionee for a period of twelve</w:t>
      </w:r>
    </w:p>
    <w:p>
      <w:pPr>
        <w:spacing w:after="0" w:line="2" w:lineRule="exact"/>
        <w:rPr>
          <w:rFonts w:ascii="Arial" w:cs="Arial" w:eastAsia="Arial" w:hAnsi="Arial"/>
          <w:sz w:val="19"/>
          <w:szCs w:val="19"/>
          <w:color w:val="auto"/>
        </w:rPr>
      </w:pPr>
    </w:p>
    <w:p>
      <w:pPr>
        <w:jc w:val="both"/>
        <w:ind w:right="20" w:firstLine="8"/>
        <w:spacing w:after="0" w:line="278" w:lineRule="auto"/>
        <w:tabs>
          <w:tab w:leader="none" w:pos="415" w:val="left"/>
        </w:tabs>
        <w:numPr>
          <w:ilvl w:val="0"/>
          <w:numId w:val="92"/>
        </w:numPr>
        <w:rPr>
          <w:rFonts w:ascii="Arial" w:cs="Arial" w:eastAsia="Arial" w:hAnsi="Arial"/>
          <w:sz w:val="19"/>
          <w:szCs w:val="19"/>
          <w:color w:val="auto"/>
        </w:rPr>
      </w:pPr>
      <w:r>
        <w:rPr>
          <w:rFonts w:ascii="Arial" w:cs="Arial" w:eastAsia="Arial" w:hAnsi="Arial"/>
          <w:sz w:val="19"/>
          <w:szCs w:val="19"/>
          <w:color w:val="auto"/>
        </w:rPr>
        <w:t>months from the date of termination due to disability or until the Expiration Date, if earlier. Any portion of this Stock Option that is not exercisable on the date of termination due to disability shall terminate immediately and be of no further force or effect.</w:t>
      </w:r>
    </w:p>
    <w:p>
      <w:pPr>
        <w:spacing w:after="0" w:line="123" w:lineRule="exact"/>
        <w:rPr>
          <w:rFonts w:ascii="Arial" w:cs="Arial" w:eastAsia="Arial" w:hAnsi="Arial"/>
          <w:sz w:val="19"/>
          <w:szCs w:val="19"/>
          <w:color w:val="auto"/>
        </w:rPr>
      </w:pPr>
    </w:p>
    <w:p>
      <w:pPr>
        <w:jc w:val="both"/>
        <w:ind w:firstLine="1304"/>
        <w:spacing w:after="0" w:line="212" w:lineRule="auto"/>
        <w:tabs>
          <w:tab w:leader="none" w:pos="1941"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the Optionee’s employment with the Company or an Affiliate terminates for Cause, any portion of this Stock Option outstanding on such date shall terminate immediately and be of no further force and effect. For purposes hereof, “Cause” shall mean, unless otherwise provided in an employment or other service agreement between the Optionee and the Company or an Affiliate, as applicable,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0" w:right="339" w:bottom="1440" w:gutter="0" w:footer="0" w:header="0"/>
        </w:sectPr>
      </w:pPr>
    </w:p>
    <w:bookmarkStart w:id="135" w:name="page136"/>
    <w:bookmarkEnd w:id="135"/>
    <w:p>
      <w:pPr>
        <w:spacing w:after="0" w:line="232" w:lineRule="auto"/>
        <w:rPr>
          <w:sz w:val="20"/>
          <w:szCs w:val="20"/>
          <w:color w:val="auto"/>
        </w:rPr>
      </w:pPr>
      <w:r>
        <w:rPr>
          <w:rFonts w:ascii="Arial" w:cs="Arial" w:eastAsia="Arial" w:hAnsi="Arial"/>
          <w:sz w:val="22"/>
          <w:szCs w:val="22"/>
          <w:color w:val="auto"/>
        </w:rPr>
        <w:t>material misconduct or willful and deliberate non-performance (other than by reason of disability) by the Optionee of the Optionee’s duties to the Company or any Affiliate.</w:t>
      </w:r>
    </w:p>
    <w:p>
      <w:pPr>
        <w:spacing w:after="0" w:line="159" w:lineRule="exact"/>
        <w:rPr>
          <w:sz w:val="20"/>
          <w:szCs w:val="20"/>
          <w:color w:val="auto"/>
        </w:rPr>
      </w:pPr>
    </w:p>
    <w:p>
      <w:pPr>
        <w:jc w:val="both"/>
        <w:ind w:firstLine="1304"/>
        <w:spacing w:after="0" w:line="252" w:lineRule="auto"/>
        <w:tabs>
          <w:tab w:leader="none" w:pos="193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Optionee’s employment with the Company or an Affiliate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4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For purposes of this Stock Option, the Optionee’s employment with the Company or an Affiliate will be considered terminated and termination date shall be deemed to occur as of the date the Optionee is no longer actively providing services to the Company or any of its Subsidiaries or Affiliates (regardless of the reason for such termination and whether or not later found to be invalid or in breach of labor laws in the jurisdiction where the Optionee is employed or otherwise providing services or the terms of the Optionee’s employment or other service agreement, if any). Unless otherwise determined by the Company, the Optionee’s right to vest in the Stock Option, if any, will terminate and the Optionee's right to exercise any vested Stock Option will be measured as of such date and, in either case,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the Optionee’s period of service would not include any contractual notice period or any period of “garden leave” or similar period mandated under labor laws in the jurisdiction where the Optionee is employed or otherwise providing services or the terms of the Optionee’s employment or other service agreement, if any). The Administrator shall have the exclusive discretion to determine when the Optionee is no longer actively providing services for purposes of this Stock Option (including whether the Optionee may still be considered to be providing services while on a leave of absence).</w:t>
      </w:r>
    </w:p>
    <w:p>
      <w:pPr>
        <w:spacing w:after="0" w:line="3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Administrator’s determination of the reason for termination of the Optionee’s employment with the Company or an Affiliate shall be conclusive and binding on the Optionee and his or her representatives or legatees.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Tax Withholding</w:t>
      </w:r>
      <w:r>
        <w:rPr>
          <w:rFonts w:ascii="Arial" w:cs="Arial" w:eastAsia="Arial" w:hAnsi="Arial"/>
          <w:sz w:val="19"/>
          <w:szCs w:val="19"/>
          <w:color w:val="auto"/>
        </w:rPr>
        <w:t>. Regardless of any action that the Company, or if different, an Affiliate to which the Optionee provides service (collectively, the “Employer”) takes with respect to any or all income tax, social insurance, fringe benefits tax, payroll tax, payment on account, or other tax-related items related to the Optionee’s participation in the Plan and legally applicable or deemed applicable to him or her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(i) make no representations or undertakings regarding the treatment of any Tax-Related Items in connection with any aspect of the Stock Option, including, without limitation, the grant, vesting, or exercise of the Stock Option, the issuance of Stock upon exercise, the subsequent sale of Stock acquired pursuant to such issuance, and the receipt of any dividends; and (ii) do not commit to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0" w:right="339" w:bottom="1440" w:gutter="0" w:footer="0" w:header="0"/>
        </w:sectPr>
      </w:pPr>
    </w:p>
    <w:bookmarkStart w:id="136" w:name="page137"/>
    <w:bookmarkEnd w:id="136"/>
    <w:p>
      <w:pPr>
        <w:jc w:val="both"/>
        <w:spacing w:after="0" w:line="252" w:lineRule="auto"/>
        <w:rPr>
          <w:sz w:val="20"/>
          <w:szCs w:val="20"/>
          <w:color w:val="auto"/>
        </w:rPr>
      </w:pPr>
      <w:r>
        <w:rPr>
          <w:rFonts w:ascii="Arial" w:cs="Arial" w:eastAsia="Arial" w:hAnsi="Arial"/>
          <w:sz w:val="19"/>
          <w:szCs w:val="19"/>
          <w:color w:val="auto"/>
        </w:rPr>
        <w:t>under no obligation to structure the terms of the grant or any aspect of the Stock Option to reduce or eliminate the Optionee’s liability for Tax-Related Items or achieve any particular tax result. The Optionee shall not make any claim against the Company or its Board, officers or employees related to Tax-Related Items arising from this Stock Option. Furthermore, if the Optionee has become subject to tax in more than one jurisdiction, the Optionee acknowledges that the Company and/or the Employer (or former employer, as applicable) may be required to withhold or account for Tax-Related Items in more than one jurisdiction.</w:t>
      </w:r>
    </w:p>
    <w:p>
      <w:pPr>
        <w:spacing w:after="0" w:line="149" w:lineRule="exact"/>
        <w:rPr>
          <w:sz w:val="20"/>
          <w:szCs w:val="20"/>
          <w:color w:val="auto"/>
        </w:rPr>
      </w:pPr>
    </w:p>
    <w:p>
      <w:pPr>
        <w:jc w:val="both"/>
        <w:ind w:firstLine="486"/>
        <w:spacing w:after="0" w:line="218" w:lineRule="auto"/>
        <w:rPr>
          <w:sz w:val="20"/>
          <w:szCs w:val="20"/>
          <w:color w:val="auto"/>
        </w:rPr>
      </w:pPr>
      <w:r>
        <w:rPr>
          <w:rFonts w:ascii="Arial" w:cs="Arial" w:eastAsia="Arial" w:hAnsi="Arial"/>
          <w:sz w:val="22"/>
          <w:szCs w:val="22"/>
          <w:color w:val="auto"/>
        </w:rPr>
        <w:t>Prior to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w:t>
      </w:r>
    </w:p>
    <w:p>
      <w:pPr>
        <w:spacing w:after="0" w:line="161" w:lineRule="exact"/>
        <w:rPr>
          <w:sz w:val="20"/>
          <w:szCs w:val="20"/>
          <w:color w:val="auto"/>
        </w:rPr>
      </w:pPr>
    </w:p>
    <w:p>
      <w:pPr>
        <w:ind w:left="1760" w:hanging="456"/>
        <w:spacing w:after="0"/>
        <w:tabs>
          <w:tab w:leader="none" w:pos="1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requiring a cash payment by the Optionee to the Company and/or the Employer; or</w:t>
      </w:r>
    </w:p>
    <w:p>
      <w:pPr>
        <w:spacing w:after="0" w:line="179" w:lineRule="exact"/>
        <w:rPr>
          <w:rFonts w:ascii="Arial" w:cs="Arial" w:eastAsia="Arial" w:hAnsi="Arial"/>
          <w:sz w:val="22"/>
          <w:szCs w:val="22"/>
          <w:color w:val="auto"/>
        </w:rPr>
      </w:pPr>
    </w:p>
    <w:p>
      <w:pPr>
        <w:ind w:right="20" w:firstLine="1304"/>
        <w:spacing w:after="0" w:line="232" w:lineRule="auto"/>
        <w:tabs>
          <w:tab w:leader="none" w:pos="181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withholding from the Optionee’s wages or other cash compensation payable to him or her by the Company and/or the Employer; or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62" w:val="left"/>
        </w:tabs>
        <w:numPr>
          <w:ilvl w:val="0"/>
          <w:numId w:val="94"/>
        </w:numPr>
        <w:rPr>
          <w:rFonts w:ascii="Arial" w:cs="Arial" w:eastAsia="Arial" w:hAnsi="Arial"/>
          <w:sz w:val="22"/>
          <w:szCs w:val="22"/>
          <w:color w:val="auto"/>
        </w:rPr>
      </w:pPr>
      <w:r>
        <w:rPr>
          <w:rFonts w:ascii="Arial" w:cs="Arial" w:eastAsia="Arial" w:hAnsi="Arial"/>
          <w:sz w:val="22"/>
          <w:szCs w:val="22"/>
          <w:color w:val="auto"/>
        </w:rPr>
        <w:t>withholding from proceeds of the sale of Stock acquired upon exercise of the Stock Options, either through a voluntary sale or through a mandatory sale arranged by the Company (on the Optionee’s behalf pursuant to this authorization without further consent); or</w:t>
      </w:r>
    </w:p>
    <w:p>
      <w:pPr>
        <w:spacing w:after="0" w:line="158" w:lineRule="exact"/>
        <w:rPr>
          <w:rFonts w:ascii="Arial" w:cs="Arial" w:eastAsia="Arial" w:hAnsi="Arial"/>
          <w:sz w:val="22"/>
          <w:szCs w:val="22"/>
          <w:color w:val="auto"/>
        </w:rPr>
      </w:pPr>
    </w:p>
    <w:p>
      <w:pPr>
        <w:ind w:right="20" w:firstLine="1304"/>
        <w:spacing w:after="0" w:line="232" w:lineRule="auto"/>
        <w:tabs>
          <w:tab w:leader="none" w:pos="1846"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other withholding method determined by the Company to be in compliance with applicable laws and permitted under the Plan.</w:t>
      </w:r>
    </w:p>
    <w:p>
      <w:pPr>
        <w:spacing w:after="0" w:line="159" w:lineRule="exact"/>
        <w:rPr>
          <w:sz w:val="20"/>
          <w:szCs w:val="20"/>
          <w:color w:val="auto"/>
        </w:rPr>
      </w:pPr>
    </w:p>
    <w:p>
      <w:pPr>
        <w:jc w:val="both"/>
        <w:ind w:firstLine="503"/>
        <w:spacing w:after="0" w:line="246" w:lineRule="auto"/>
        <w:rPr>
          <w:sz w:val="20"/>
          <w:szCs w:val="20"/>
          <w:color w:val="auto"/>
        </w:rPr>
      </w:pPr>
      <w:r>
        <w:rPr>
          <w:rFonts w:ascii="Arial" w:cs="Arial" w:eastAsia="Arial" w:hAnsi="Arial"/>
          <w:sz w:val="19"/>
          <w:szCs w:val="19"/>
          <w:color w:val="auto"/>
        </w:rPr>
        <w:t>The Company may withhold or account for Tax-Related Items by considering applicable statutory withholding amounts or other applicable withholding rates, including maximum rates applicable in the Optionee’s jurisdiction(s). In the event of over-withholding, the Optionee may receive a refund of any over-withheld amount in cash and will have no entitlement to the equivalent in shares of Stock, or if not refunded, the Optionee may seek a refund from the applicable tax authorities. In the event of under-withholding, the Optionee may be required to pay additional Tax-Related Items directly to the applicable tax authorities or to the Company and/or the Employer. If the obligation for Tax-Related Items is satisfied by withholding in shares of Stock, for tax purposes, the Optionee is deemed to have been issued the full number of Option Shares subject to the exercised Stock Option, notwithstanding that a number of the Option Shares is held back solely for the purpose of paying the Tax-Related Items..</w:t>
      </w:r>
    </w:p>
    <w:p>
      <w:pPr>
        <w:spacing w:after="0" w:line="152" w:lineRule="exact"/>
        <w:rPr>
          <w:sz w:val="20"/>
          <w:szCs w:val="20"/>
          <w:color w:val="auto"/>
        </w:rPr>
      </w:pPr>
    </w:p>
    <w:p>
      <w:pPr>
        <w:jc w:val="both"/>
        <w:ind w:firstLine="1377"/>
        <w:spacing w:after="0" w:line="216" w:lineRule="auto"/>
        <w:rPr>
          <w:sz w:val="20"/>
          <w:szCs w:val="20"/>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Option Shares or the proceeds of the sale of the Option Shares acquired upon the exercise of this Stock Option, if the Optionee fails to comply with his or her obligations in connection with the Tax-Related Items.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Nature of Award</w:t>
      </w:r>
      <w:r>
        <w:rPr>
          <w:rFonts w:ascii="Arial" w:cs="Arial" w:eastAsia="Arial" w:hAnsi="Arial"/>
          <w:sz w:val="19"/>
          <w:szCs w:val="19"/>
          <w:color w:val="auto"/>
        </w:rPr>
        <w:t>. In accepting this Stock Option, the Optionee acknowledges, understands, and agrees that:</w:t>
      </w:r>
    </w:p>
    <w:p>
      <w:pPr>
        <w:spacing w:after="0" w:line="214" w:lineRule="exact"/>
        <w:rPr>
          <w:sz w:val="20"/>
          <w:szCs w:val="20"/>
          <w:color w:val="auto"/>
        </w:rPr>
      </w:pPr>
    </w:p>
    <w:p>
      <w:pPr>
        <w:jc w:val="both"/>
        <w:ind w:firstLine="1952"/>
        <w:spacing w:after="0" w:line="229" w:lineRule="auto"/>
        <w:tabs>
          <w:tab w:leader="none" w:pos="2580" w:val="left"/>
        </w:tabs>
        <w:numPr>
          <w:ilvl w:val="0"/>
          <w:numId w:val="95"/>
        </w:numPr>
        <w:rPr>
          <w:rFonts w:ascii="Arial" w:cs="Arial" w:eastAsia="Arial" w:hAnsi="Arial"/>
          <w:sz w:val="21"/>
          <w:szCs w:val="21"/>
          <w:color w:val="010000"/>
        </w:rPr>
      </w:pPr>
      <w:r>
        <w:rPr>
          <w:rFonts w:ascii="Arial" w:cs="Arial" w:eastAsia="Arial" w:hAnsi="Arial"/>
          <w:sz w:val="21"/>
          <w:szCs w:val="21"/>
          <w:color w:val="auto"/>
        </w:rPr>
        <w:t>Neither the Company nor any Affiliate is obligated by or as a result of the Plan or this Agreement to continue the Optionee’s employment or any other Service Relationship with the Company or an Affiliate, and neither the Plan nor this Agreement shall interfere in any way with the right of the Company or any Affiliate to terminate the Optionee’s employment or any other Service Relationship with the Company or an Affiliate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0" w:right="339" w:bottom="1440" w:gutter="0" w:footer="0" w:header="0"/>
        </w:sectPr>
      </w:pPr>
    </w:p>
    <w:bookmarkStart w:id="137" w:name="page138"/>
    <w:bookmarkEnd w:id="137"/>
    <w:p>
      <w:pPr>
        <w:ind w:firstLine="1952"/>
        <w:spacing w:after="0" w:line="232" w:lineRule="auto"/>
        <w:tabs>
          <w:tab w:leader="none" w:pos="2586"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952"/>
        <w:spacing w:after="0" w:line="223" w:lineRule="auto"/>
        <w:tabs>
          <w:tab w:leader="none" w:pos="2592"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the grant of this Stock Option is exceptional, voluntary and occasional and does not create any contractual or other right to receive future stock options, or benefits in lieu of stock options, even if such grants have been made in the past;</w:t>
      </w:r>
    </w:p>
    <w:p>
      <w:pPr>
        <w:spacing w:after="0" w:line="151" w:lineRule="exact"/>
        <w:rPr>
          <w:rFonts w:ascii="Arial" w:cs="Arial" w:eastAsia="Arial" w:hAnsi="Arial"/>
          <w:sz w:val="22"/>
          <w:szCs w:val="22"/>
          <w:color w:val="010000"/>
        </w:rPr>
      </w:pPr>
    </w:p>
    <w:p>
      <w:pPr>
        <w:ind w:left="2580" w:hanging="628"/>
        <w:spacing w:after="0"/>
        <w:tabs>
          <w:tab w:leader="none" w:pos="2580" w:val="left"/>
        </w:tabs>
        <w:numPr>
          <w:ilvl w:val="0"/>
          <w:numId w:val="96"/>
        </w:numPr>
        <w:rPr>
          <w:rFonts w:ascii="Arial" w:cs="Arial" w:eastAsia="Arial" w:hAnsi="Arial"/>
          <w:sz w:val="21"/>
          <w:szCs w:val="21"/>
          <w:color w:val="010000"/>
        </w:rPr>
      </w:pPr>
      <w:r>
        <w:rPr>
          <w:rFonts w:ascii="Arial" w:cs="Arial" w:eastAsia="Arial" w:hAnsi="Arial"/>
          <w:sz w:val="21"/>
          <w:szCs w:val="21"/>
          <w:color w:val="auto"/>
        </w:rPr>
        <w:t>all decisions with respect to future Stock Options, if any, will be at the sole discretion of the</w:t>
      </w:r>
    </w:p>
    <w:p>
      <w:pPr>
        <w:spacing w:after="0"/>
        <w:rPr>
          <w:rFonts w:ascii="Arial" w:cs="Arial" w:eastAsia="Arial" w:hAnsi="Arial"/>
          <w:sz w:val="21"/>
          <w:szCs w:val="21"/>
          <w:color w:val="010000"/>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010000"/>
        </w:rPr>
      </w:pPr>
    </w:p>
    <w:p>
      <w:pPr>
        <w:ind w:left="2600" w:hanging="648"/>
        <w:spacing w:after="0"/>
        <w:tabs>
          <w:tab w:leader="none" w:pos="2600"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the Optionee’s participation in the Plan is voluntary;</w:t>
      </w:r>
    </w:p>
    <w:p>
      <w:pPr>
        <w:spacing w:after="0" w:line="179" w:lineRule="exact"/>
        <w:rPr>
          <w:rFonts w:ascii="Arial" w:cs="Arial" w:eastAsia="Arial" w:hAnsi="Arial"/>
          <w:sz w:val="22"/>
          <w:szCs w:val="22"/>
          <w:color w:val="010000"/>
        </w:rPr>
      </w:pPr>
    </w:p>
    <w:p>
      <w:pPr>
        <w:ind w:firstLine="1952"/>
        <w:spacing w:after="0" w:line="232" w:lineRule="auto"/>
        <w:tabs>
          <w:tab w:leader="none" w:pos="2580"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this Award and the shares of Stock subject to this Stock Option, and the income from and value of the same, are not intended to replace any pension rights or compensation;</w:t>
      </w:r>
    </w:p>
    <w:p>
      <w:pPr>
        <w:spacing w:after="0" w:line="158" w:lineRule="exact"/>
        <w:rPr>
          <w:rFonts w:ascii="Arial" w:cs="Arial" w:eastAsia="Arial" w:hAnsi="Arial"/>
          <w:sz w:val="22"/>
          <w:szCs w:val="22"/>
          <w:color w:val="010000"/>
        </w:rPr>
      </w:pPr>
    </w:p>
    <w:p>
      <w:pPr>
        <w:jc w:val="both"/>
        <w:ind w:firstLine="1952"/>
        <w:spacing w:after="0" w:line="218" w:lineRule="auto"/>
        <w:tabs>
          <w:tab w:leader="none" w:pos="2586"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this Stock Option and the shares of Stock subject to this Award, and the income from and value of same, are not part of normal or expected compensation or salary for purposes of, including, without limitation, calculating any severance, resignation, termination, redundancy, dismissal, end-of-service payments, holiday pay, bonuses, long-service awards, pension or retirement or welfare benefits or similar payments;</w:t>
      </w:r>
    </w:p>
    <w:p>
      <w:pPr>
        <w:spacing w:after="0" w:line="160" w:lineRule="exact"/>
        <w:rPr>
          <w:rFonts w:ascii="Arial" w:cs="Arial" w:eastAsia="Arial" w:hAnsi="Arial"/>
          <w:sz w:val="22"/>
          <w:szCs w:val="22"/>
          <w:color w:val="010000"/>
        </w:rPr>
      </w:pPr>
    </w:p>
    <w:p>
      <w:pPr>
        <w:ind w:right="20" w:firstLine="1952"/>
        <w:spacing w:after="0" w:line="232" w:lineRule="auto"/>
        <w:tabs>
          <w:tab w:leader="none" w:pos="2592"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the future value of the shares of Stock subject to this Stock Option is unknown, indeterminable and cannot be predicted with certainty;</w:t>
      </w:r>
    </w:p>
    <w:p>
      <w:pPr>
        <w:spacing w:after="0" w:line="158" w:lineRule="exact"/>
        <w:rPr>
          <w:rFonts w:ascii="Arial" w:cs="Arial" w:eastAsia="Arial" w:hAnsi="Arial"/>
          <w:sz w:val="22"/>
          <w:szCs w:val="22"/>
          <w:color w:val="010000"/>
        </w:rPr>
      </w:pPr>
    </w:p>
    <w:p>
      <w:pPr>
        <w:ind w:left="2580" w:hanging="628"/>
        <w:spacing w:after="0"/>
        <w:tabs>
          <w:tab w:leader="none" w:pos="2580"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if the underlying shares of Stock subject to the Stock Option do not increase in value, the Stock</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Option will have no value;</w:t>
      </w:r>
    </w:p>
    <w:p>
      <w:pPr>
        <w:spacing w:after="0" w:line="161" w:lineRule="exact"/>
        <w:rPr>
          <w:rFonts w:ascii="Arial" w:cs="Arial" w:eastAsia="Arial" w:hAnsi="Arial"/>
          <w:sz w:val="19"/>
          <w:szCs w:val="19"/>
          <w:color w:val="010000"/>
        </w:rPr>
      </w:pPr>
    </w:p>
    <w:p>
      <w:pPr>
        <w:ind w:firstLine="1952"/>
        <w:spacing w:after="0" w:line="232" w:lineRule="auto"/>
        <w:tabs>
          <w:tab w:leader="none" w:pos="2587"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if Optionee exercises the Stock Option and acquires shares of Stock, the value of such shares of Stock may increase or decrease, even below the Option Exercise Price per Share;</w:t>
      </w:r>
    </w:p>
    <w:p>
      <w:pPr>
        <w:spacing w:after="0" w:line="158" w:lineRule="exact"/>
        <w:rPr>
          <w:rFonts w:ascii="Arial" w:cs="Arial" w:eastAsia="Arial" w:hAnsi="Arial"/>
          <w:sz w:val="22"/>
          <w:szCs w:val="22"/>
          <w:color w:val="010000"/>
        </w:rPr>
      </w:pPr>
    </w:p>
    <w:p>
      <w:pPr>
        <w:jc w:val="both"/>
        <w:ind w:firstLine="1952"/>
        <w:spacing w:after="0" w:line="218" w:lineRule="auto"/>
        <w:tabs>
          <w:tab w:leader="none" w:pos="2580"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any portion of this Stock Option resulting from termination of the Optionee’s employment (for any reason whatsoever, whether or not later found to be invalid or in breach of employment laws in the jurisdiction where the Optionee renders service or the terms of the Optionee’s employment agreement, if any);</w:t>
      </w:r>
    </w:p>
    <w:p>
      <w:pPr>
        <w:spacing w:after="0" w:line="160" w:lineRule="exact"/>
        <w:rPr>
          <w:rFonts w:ascii="Arial" w:cs="Arial" w:eastAsia="Arial" w:hAnsi="Arial"/>
          <w:sz w:val="22"/>
          <w:szCs w:val="22"/>
          <w:color w:val="010000"/>
        </w:rPr>
      </w:pPr>
    </w:p>
    <w:p>
      <w:pPr>
        <w:jc w:val="both"/>
        <w:ind w:firstLine="1952"/>
        <w:spacing w:after="0" w:line="244" w:lineRule="auto"/>
        <w:tabs>
          <w:tab w:leader="none" w:pos="2586"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for purposes of the Stock Option, the Optionee’s employment will be considered terminated as of the date the Optionee is no longer actively providing services (regardless of the reason for such termination and whether or not later found to be invalid or in breach of employment laws in the jurisdiction where the Optionee renders service or the terms of the Optionee’s employment agreement, if any), and unless otherwise expressly provided in this Agreement or determined by the Company, the Optionee’s right to continue to vest in the Stock Option, if any, will terminate effective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any contractual notice period or any period of “garden leave” or similar period mandated under employment laws in the jurisdiction where Optionee renders service or the terms of the Optionee’s employment agreement, if any); the Administrator shall have the exclusive discretion to determine when the Optionee’s active employment is terminated for purposes of this Stock Option (including whether the Optionee may still be considered to actively be providing services while on a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0" w:right="339" w:bottom="1440" w:gutter="0" w:footer="0" w:header="0"/>
        </w:sectPr>
      </w:pPr>
    </w:p>
    <w:bookmarkStart w:id="138" w:name="page139"/>
    <w:bookmarkEnd w:id="138"/>
    <w:p>
      <w:pPr>
        <w:jc w:val="both"/>
        <w:ind w:firstLine="1952"/>
        <w:spacing w:after="0" w:line="223" w:lineRule="auto"/>
        <w:tabs>
          <w:tab w:leader="none" w:pos="2592"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Stock Option and the shares of Stock subject to this Stock Option, and the income from and value of the same, are not granted as consideration for, or in connection with, the service the Optionee may provide as a director of an Affiliate;</w:t>
      </w:r>
    </w:p>
    <w:p>
      <w:pPr>
        <w:spacing w:after="0" w:line="158" w:lineRule="exact"/>
        <w:rPr>
          <w:rFonts w:ascii="Arial" w:cs="Arial" w:eastAsia="Arial" w:hAnsi="Arial"/>
          <w:sz w:val="22"/>
          <w:szCs w:val="22"/>
          <w:color w:val="010000"/>
        </w:rPr>
      </w:pPr>
    </w:p>
    <w:p>
      <w:pPr>
        <w:jc w:val="both"/>
        <w:ind w:firstLine="1952"/>
        <w:spacing w:after="0" w:line="218" w:lineRule="auto"/>
        <w:tabs>
          <w:tab w:leader="none" w:pos="2580"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Stock Option and the benefits evidenced by this Agreement do not create any entitlement to have the Stock Option or any such benefits transferred to, or assumed by, another company nor to be exchanged, cashed out or substituted for, in connection with any corporate transaction affecting the shares of Stock; and</w:t>
      </w:r>
    </w:p>
    <w:p>
      <w:pPr>
        <w:spacing w:after="0" w:line="160" w:lineRule="exact"/>
        <w:rPr>
          <w:rFonts w:ascii="Arial" w:cs="Arial" w:eastAsia="Arial" w:hAnsi="Arial"/>
          <w:sz w:val="22"/>
          <w:szCs w:val="22"/>
          <w:color w:val="010000"/>
        </w:rPr>
      </w:pPr>
    </w:p>
    <w:p>
      <w:pPr>
        <w:ind w:left="2600" w:hanging="648"/>
        <w:spacing w:after="0"/>
        <w:tabs>
          <w:tab w:leader="none" w:pos="260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the following provisions apply only if the Optionee is providing services outside the United States:</w:t>
      </w:r>
    </w:p>
    <w:p>
      <w:pPr>
        <w:spacing w:after="0" w:line="213" w:lineRule="exact"/>
        <w:rPr>
          <w:rFonts w:ascii="Arial" w:cs="Arial" w:eastAsia="Arial" w:hAnsi="Arial"/>
          <w:sz w:val="19"/>
          <w:szCs w:val="19"/>
          <w:color w:val="010000"/>
        </w:rPr>
      </w:pPr>
    </w:p>
    <w:p>
      <w:pPr>
        <w:ind w:left="1300" w:right="220" w:firstLine="1300"/>
        <w:spacing w:after="0" w:line="298" w:lineRule="auto"/>
        <w:tabs>
          <w:tab w:leader="none" w:pos="3232" w:val="left"/>
        </w:tabs>
        <w:numPr>
          <w:ilvl w:val="1"/>
          <w:numId w:val="97"/>
        </w:numPr>
        <w:rPr>
          <w:rFonts w:ascii="Arial" w:cs="Arial" w:eastAsia="Arial" w:hAnsi="Arial"/>
          <w:sz w:val="18"/>
          <w:szCs w:val="18"/>
          <w:color w:val="auto"/>
        </w:rPr>
      </w:pPr>
      <w:r>
        <w:rPr>
          <w:rFonts w:ascii="Arial" w:cs="Arial" w:eastAsia="Arial" w:hAnsi="Arial"/>
          <w:sz w:val="19"/>
          <w:szCs w:val="19"/>
          <w:color w:val="auto"/>
        </w:rPr>
        <w:t>the Stock Option and the shares of Stock subject to the Stock Option and the income from and value of the same, are not part of normal or expected compensation or salary for any purpose;</w:t>
      </w:r>
    </w:p>
    <w:p>
      <w:pPr>
        <w:spacing w:after="0" w:line="105" w:lineRule="exact"/>
        <w:rPr>
          <w:rFonts w:ascii="Arial" w:cs="Arial" w:eastAsia="Arial" w:hAnsi="Arial"/>
          <w:sz w:val="18"/>
          <w:szCs w:val="18"/>
          <w:color w:val="auto"/>
        </w:rPr>
      </w:pPr>
    </w:p>
    <w:p>
      <w:pPr>
        <w:jc w:val="both"/>
        <w:ind w:left="1300" w:firstLine="1300"/>
        <w:spacing w:after="0" w:line="218" w:lineRule="auto"/>
        <w:tabs>
          <w:tab w:leader="none" w:pos="3232" w:val="left"/>
        </w:tabs>
        <w:numPr>
          <w:ilvl w:val="1"/>
          <w:numId w:val="97"/>
        </w:numPr>
        <w:rPr>
          <w:rFonts w:ascii="Arial" w:cs="Arial" w:eastAsia="Arial" w:hAnsi="Arial"/>
          <w:sz w:val="20"/>
          <w:szCs w:val="20"/>
          <w:color w:val="auto"/>
        </w:rPr>
      </w:pPr>
      <w:r>
        <w:rPr>
          <w:rFonts w:ascii="Arial" w:cs="Arial" w:eastAsia="Arial" w:hAnsi="Arial"/>
          <w:sz w:val="22"/>
          <w:szCs w:val="22"/>
          <w:color w:val="auto"/>
        </w:rPr>
        <w:t>neither the Company, the Employer nor any other Affiliate shall be liable for any foreign exchange rate fluctuation between the Optionee’s local currency and the U.S. Dollar that may affect the value of the Stock Option or of any amounts due to the Optionee pursuant to the settlement of the Stock Option or the subsequent sale of any shares of Stock acquired upon settlement.</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Stock Option and supersede[s] all prior agreements and discussions between the parties concerning such subject matter.</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or comparable non-US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0" w:right="339" w:bottom="1440" w:gutter="0" w:footer="0" w:header="0"/>
        </w:sectPr>
      </w:pPr>
    </w:p>
    <w:bookmarkStart w:id="139" w:name="page140"/>
    <w:bookmarkEnd w:id="139"/>
    <w:p>
      <w:pPr>
        <w:spacing w:after="0" w:line="232" w:lineRule="auto"/>
        <w:rPr>
          <w:sz w:val="20"/>
          <w:szCs w:val="20"/>
          <w:color w:val="auto"/>
        </w:rPr>
      </w:pPr>
      <w:r>
        <w:rPr>
          <w:rFonts w:ascii="Arial" w:cs="Arial" w:eastAsia="Arial" w:hAnsi="Arial"/>
          <w:sz w:val="22"/>
          <w:szCs w:val="22"/>
          <w:color w:val="auto"/>
        </w:rPr>
        <w:t>principal executive office and to the Optionee at the address that he or she most recently provided to the Company in accordance with this Paragraph.</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21" w:lineRule="auto"/>
        <w:tabs>
          <w:tab w:leader="none" w:pos="2022"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Governing Law; Choice of Venue</w:t>
      </w:r>
      <w:r>
        <w:rPr>
          <w:rFonts w:ascii="Arial" w:cs="Arial" w:eastAsia="Arial" w:hAnsi="Arial"/>
          <w:sz w:val="21"/>
          <w:szCs w:val="21"/>
          <w:color w:val="auto"/>
        </w:rPr>
        <w:t>. The Stock Option and the provisions of this Agreement shall be governed by 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Stock Option or this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Stock Option is made and/or to be performed.</w:t>
      </w:r>
    </w:p>
    <w:p>
      <w:pPr>
        <w:spacing w:after="0" w:line="158" w:lineRule="exact"/>
        <w:rPr>
          <w:rFonts w:ascii="Arial" w:cs="Arial" w:eastAsia="Arial" w:hAnsi="Arial"/>
          <w:sz w:val="21"/>
          <w:szCs w:val="21"/>
          <w:color w:val="auto"/>
        </w:rPr>
      </w:pPr>
    </w:p>
    <w:p>
      <w:pPr>
        <w:jc w:val="both"/>
        <w:ind w:firstLine="1304"/>
        <w:spacing w:after="0" w:line="216" w:lineRule="auto"/>
        <w:tabs>
          <w:tab w:leader="none" w:pos="1939"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Language</w:t>
      </w:r>
      <w:r>
        <w:rPr>
          <w:rFonts w:ascii="Arial" w:cs="Arial" w:eastAsia="Arial" w:hAnsi="Arial"/>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receives the Agreement or any other document related to the Plan translated into a language other than English and if the meaning of the translated version is different than the English version, the English version will control.</w:t>
      </w:r>
    </w:p>
    <w:p>
      <w:pPr>
        <w:spacing w:after="0" w:line="157" w:lineRule="exact"/>
        <w:rPr>
          <w:rFonts w:ascii="Arial" w:cs="Arial" w:eastAsia="Arial" w:hAnsi="Arial"/>
          <w:sz w:val="22"/>
          <w:szCs w:val="22"/>
          <w:color w:val="010000"/>
        </w:rPr>
      </w:pPr>
    </w:p>
    <w:p>
      <w:pPr>
        <w:jc w:val="both"/>
        <w:ind w:firstLine="1304"/>
        <w:spacing w:after="0" w:line="223" w:lineRule="auto"/>
        <w:tabs>
          <w:tab w:leader="none" w:pos="1941"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nevertheless shall be binding and enforceable.</w:t>
      </w:r>
    </w:p>
    <w:p>
      <w:pPr>
        <w:spacing w:after="0" w:line="158" w:lineRule="exact"/>
        <w:rPr>
          <w:rFonts w:ascii="Arial" w:cs="Arial" w:eastAsia="Arial" w:hAnsi="Arial"/>
          <w:sz w:val="22"/>
          <w:szCs w:val="22"/>
          <w:color w:val="010000"/>
        </w:rPr>
      </w:pPr>
    </w:p>
    <w:p>
      <w:pPr>
        <w:jc w:val="both"/>
        <w:ind w:firstLine="1304"/>
        <w:spacing w:after="0" w:line="252" w:lineRule="auto"/>
        <w:tabs>
          <w:tab w:leader="none" w:pos="1939" w:val="left"/>
        </w:tabs>
        <w:numPr>
          <w:ilvl w:val="0"/>
          <w:numId w:val="98"/>
        </w:numPr>
        <w:rPr>
          <w:rFonts w:ascii="Arial" w:cs="Arial" w:eastAsia="Arial" w:hAnsi="Arial"/>
          <w:sz w:val="19"/>
          <w:szCs w:val="19"/>
          <w:color w:val="010000"/>
        </w:rPr>
      </w:pPr>
      <w:r>
        <w:rPr>
          <w:rFonts w:ascii="Arial" w:cs="Arial" w:eastAsia="Arial" w:hAnsi="Arial"/>
          <w:sz w:val="19"/>
          <w:szCs w:val="19"/>
          <w:u w:val="single" w:color="auto"/>
          <w:color w:val="auto"/>
        </w:rPr>
        <w:t>Appendix</w:t>
      </w:r>
      <w:r>
        <w:rPr>
          <w:rFonts w:ascii="Arial" w:cs="Arial" w:eastAsia="Arial" w:hAnsi="Arial"/>
          <w:sz w:val="19"/>
          <w:szCs w:val="19"/>
          <w:color w:val="auto"/>
        </w:rPr>
        <w:t>. Notwithstanding any provisions in this Option Agreement, this Stock Option shall be subject to any additional terms and conditions set forth in any Appendix to this Agreement for the Optionee’s country. Moreover, if the Optionee relocates to one of the countries included in the Appendix, the additional terms and conditions for such country will apply to the Optionee, to the extent that the Company determines that the application of such terms and conditions is necessary or advisable for legal or administrative reasons. The Appendix constitutes part of this Agreement.</w:t>
      </w:r>
    </w:p>
    <w:p>
      <w:pPr>
        <w:spacing w:after="0" w:line="148" w:lineRule="exact"/>
        <w:rPr>
          <w:rFonts w:ascii="Arial" w:cs="Arial" w:eastAsia="Arial" w:hAnsi="Arial"/>
          <w:sz w:val="19"/>
          <w:szCs w:val="19"/>
          <w:color w:val="010000"/>
        </w:rPr>
      </w:pPr>
    </w:p>
    <w:p>
      <w:pPr>
        <w:jc w:val="both"/>
        <w:ind w:firstLine="1304"/>
        <w:spacing w:after="0" w:line="257" w:lineRule="auto"/>
        <w:tabs>
          <w:tab w:leader="none" w:pos="1941" w:val="left"/>
        </w:tabs>
        <w:numPr>
          <w:ilvl w:val="0"/>
          <w:numId w:val="98"/>
        </w:numPr>
        <w:rPr>
          <w:rFonts w:ascii="Arial" w:cs="Arial" w:eastAsia="Arial" w:hAnsi="Arial"/>
          <w:sz w:val="19"/>
          <w:szCs w:val="19"/>
          <w:color w:val="010000"/>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Optionee’s participation in the Plan, on this Stock Option and on any shares of Stock acquired under the Plan, to the extent that the Company determines that it is necessary or advisable for legal or administrative reasons, and to require the Optionee to sign any additional agreements or undertakings that may be necessary to accomplish the foregoing.</w:t>
      </w:r>
    </w:p>
    <w:p>
      <w:pPr>
        <w:spacing w:after="0" w:line="144" w:lineRule="exact"/>
        <w:rPr>
          <w:rFonts w:ascii="Arial" w:cs="Arial" w:eastAsia="Arial" w:hAnsi="Arial"/>
          <w:sz w:val="19"/>
          <w:szCs w:val="19"/>
          <w:color w:val="010000"/>
        </w:rPr>
      </w:pPr>
    </w:p>
    <w:p>
      <w:pPr>
        <w:jc w:val="both"/>
        <w:ind w:firstLine="1304"/>
        <w:spacing w:after="0" w:line="223" w:lineRule="auto"/>
        <w:tabs>
          <w:tab w:leader="none" w:pos="1944"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of this Agreement.</w:t>
      </w:r>
    </w:p>
    <w:p>
      <w:pPr>
        <w:spacing w:after="0" w:line="158" w:lineRule="exact"/>
        <w:rPr>
          <w:rFonts w:ascii="Arial" w:cs="Arial" w:eastAsia="Arial" w:hAnsi="Arial"/>
          <w:sz w:val="22"/>
          <w:szCs w:val="22"/>
          <w:color w:val="010000"/>
        </w:rPr>
      </w:pPr>
    </w:p>
    <w:p>
      <w:pPr>
        <w:jc w:val="both"/>
        <w:ind w:firstLine="1304"/>
        <w:spacing w:after="0" w:line="214" w:lineRule="auto"/>
        <w:tabs>
          <w:tab w:leader="none" w:pos="1939"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No Advice Regarding Award</w:t>
      </w:r>
      <w:r>
        <w:rPr>
          <w:rFonts w:ascii="Arial" w:cs="Arial" w:eastAsia="Arial" w:hAnsi="Arial"/>
          <w:sz w:val="22"/>
          <w:szCs w:val="22"/>
          <w:color w:val="auto"/>
        </w:rPr>
        <w:t>. The Company is not providing any tax, legal, or financial advice, nor is the Company making any recommendations regarding the Optionee’s participation in the Plan, or his or her acquisition or sale of the shares of Stock subject to this Stock Option. The Optionee is solely responsible for taking all appropriate legal advice, notably concerning U.S. and local country tax and social insurance regulations, when signing this Agreement, or selling the shares of Stock acquired upon settlement of the Stock Option, or more generally when making any decision in relation with this Stock Option,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0" w:right="339" w:bottom="1440" w:gutter="0" w:footer="0" w:header="0"/>
        </w:sectPr>
      </w:pPr>
    </w:p>
    <w:bookmarkStart w:id="140" w:name="page141"/>
    <w:bookmarkEnd w:id="140"/>
    <w:p>
      <w:pPr>
        <w:jc w:val="both"/>
        <w:spacing w:after="0" w:line="229" w:lineRule="auto"/>
        <w:rPr>
          <w:sz w:val="20"/>
          <w:szCs w:val="20"/>
          <w:color w:val="auto"/>
        </w:rPr>
      </w:pPr>
      <w:r>
        <w:rPr>
          <w:rFonts w:ascii="Arial" w:cs="Arial" w:eastAsia="Arial" w:hAnsi="Arial"/>
          <w:sz w:val="21"/>
          <w:szCs w:val="21"/>
          <w:color w:val="auto"/>
        </w:rPr>
        <w:t>Agreement or otherwise under the Plan. The Company does not represent or guarantee that the Optionee may benefit from specific provisions under said regulations and the Optionee shall on his or her own efforts receive proper information in this respect. The Optionee understands and agrees that he or she should consult with his or her personal tax, legal, and financial advisors regarding his or her participation in the Plan before taking any action related to the Plan.</w:t>
      </w:r>
    </w:p>
    <w:p>
      <w:pPr>
        <w:spacing w:after="0" w:line="158" w:lineRule="exact"/>
        <w:rPr>
          <w:sz w:val="20"/>
          <w:szCs w:val="20"/>
          <w:color w:val="auto"/>
        </w:rPr>
      </w:pPr>
    </w:p>
    <w:p>
      <w:pPr>
        <w:jc w:val="both"/>
        <w:ind w:firstLine="1304"/>
        <w:spacing w:after="0" w:line="212" w:lineRule="auto"/>
        <w:tabs>
          <w:tab w:leader="none" w:pos="1939"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Electronic Delivery of Documents</w:t>
      </w:r>
      <w:r>
        <w:rPr>
          <w:rFonts w:ascii="Arial" w:cs="Arial" w:eastAsia="Arial" w:hAnsi="Arial"/>
          <w:sz w:val="22"/>
          <w:szCs w:val="22"/>
          <w:color w:val="auto"/>
        </w:rPr>
        <w:t>. The Optionee agrees that the Company may decide, in its sole discretion, to deliver by email or other electronic means any documents relating to the Plan or this Stock Option (including, without limitation, a copy of the Plan) and all other documents that the Company is required to deliver to its security holders (including, without limitation, disclosures that may be required by the U.S.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pacing w:after="0" w:line="163" w:lineRule="exact"/>
        <w:rPr>
          <w:rFonts w:ascii="Arial" w:cs="Arial" w:eastAsia="Arial" w:hAnsi="Arial"/>
          <w:sz w:val="22"/>
          <w:szCs w:val="22"/>
          <w:color w:val="010000"/>
        </w:rPr>
      </w:pPr>
    </w:p>
    <w:p>
      <w:pPr>
        <w:jc w:val="both"/>
        <w:ind w:firstLine="1304"/>
        <w:spacing w:after="0" w:line="211" w:lineRule="auto"/>
        <w:tabs>
          <w:tab w:leader="none" w:pos="1932"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Insider-Trading/Market-Abuse Laws</w:t>
      </w:r>
      <w:r>
        <w:rPr>
          <w:rFonts w:ascii="Arial" w:cs="Arial" w:eastAsia="Arial" w:hAnsi="Arial"/>
          <w:sz w:val="22"/>
          <w:szCs w:val="22"/>
          <w:color w:val="auto"/>
        </w:rPr>
        <w:t>. The Optionee acknowledges that, depending on his or her country, he or she may be subject to insider-trading restrictions and/or market-abuse laws, which may affect the Optionee’s ability to purchase or sell shares of Stock acquired under the Plan during such times as the Optionee is considered to have “inside information” regarding the Company (as defined by the laws in the Optionee’s country). Any restrictions under these laws or regulations are separate from and in addition to any restrictions that may be imposed under any applicable Company insider-trading policy. The Optionee is responsible for complying with any applicable restrictions and is advised to speak to his or her personal legal advisor for further details regarding any applicable insider-trading and/or market-abuse laws in the Optionee’s country.</w:t>
      </w:r>
    </w:p>
    <w:p>
      <w:pPr>
        <w:spacing w:after="0" w:line="164" w:lineRule="exact"/>
        <w:rPr>
          <w:rFonts w:ascii="Arial" w:cs="Arial" w:eastAsia="Arial" w:hAnsi="Arial"/>
          <w:sz w:val="22"/>
          <w:szCs w:val="22"/>
          <w:color w:val="010000"/>
        </w:rPr>
      </w:pPr>
    </w:p>
    <w:p>
      <w:pPr>
        <w:jc w:val="both"/>
        <w:ind w:firstLine="1304"/>
        <w:spacing w:after="0" w:line="245" w:lineRule="auto"/>
        <w:tabs>
          <w:tab w:leader="none" w:pos="1932" w:val="left"/>
        </w:tabs>
        <w:numPr>
          <w:ilvl w:val="0"/>
          <w:numId w:val="99"/>
        </w:numPr>
        <w:rPr>
          <w:rFonts w:ascii="Arial" w:cs="Arial" w:eastAsia="Arial" w:hAnsi="Arial"/>
          <w:sz w:val="19"/>
          <w:szCs w:val="19"/>
          <w:color w:val="010000"/>
        </w:rPr>
      </w:pPr>
      <w:r>
        <w:rPr>
          <w:rFonts w:ascii="Arial" w:cs="Arial" w:eastAsia="Arial" w:hAnsi="Arial"/>
          <w:sz w:val="19"/>
          <w:szCs w:val="19"/>
          <w:u w:val="single" w:color="auto"/>
          <w:color w:val="auto"/>
        </w:rPr>
        <w:t>Foreign Asset/Account Reporting Requirements; Exchange Controls</w:t>
      </w:r>
      <w:r>
        <w:rPr>
          <w:rFonts w:ascii="Arial" w:cs="Arial" w:eastAsia="Arial" w:hAnsi="Arial"/>
          <w:sz w:val="19"/>
          <w:szCs w:val="19"/>
          <w:color w:val="auto"/>
        </w:rPr>
        <w:t>. The Optionee acknowledges that his or her country may have certain foreign asset and/or foreign account reporting requirements and exchange controls which may affect his or her ability to acquire or hold shares of Stock acquired under the Plan or cash received from participating in the Plan (including from any dividends paid on shares of Stock acquired under the Plan) in a brokerage or bank account outside his or her country. The Optionee may be required to report such accounts, assets or transactions to the tax or other authorities in his or her country. The Optionee also may be required to repatriate sale proceeds or other funds received as a result of his or her participation in the Plan to his or her country through a designated bank or broker within a certain time after receipt. The Optionee acknowledges that it is his or her responsibility to be compliant with such regulations and is encouraged to consult his or her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0" w:right="339" w:bottom="1440" w:gutter="0" w:footer="0" w:header="0"/>
        </w:sectPr>
      </w:pPr>
    </w:p>
    <w:bookmarkStart w:id="141" w:name="page142"/>
    <w:bookmarkEnd w:id="141"/>
    <w:p>
      <w:pPr>
        <w:spacing w:after="0" w:line="200" w:lineRule="exact"/>
        <w:rPr>
          <w:sz w:val="20"/>
          <w:szCs w:val="20"/>
          <w:color w:val="auto"/>
        </w:rPr>
      </w:pP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255905</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530225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804545</wp:posOffset>
            </wp:positionV>
            <wp:extent cx="137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860"/>
          </w:cols>
          <w:pgMar w:left="320" w:top="1440" w:right="719" w:bottom="1440" w:gutter="0" w:footer="0" w:header="0"/>
        </w:sectPr>
      </w:pPr>
    </w:p>
    <w:bookmarkStart w:id="142" w:name="page143"/>
    <w:bookmarkEnd w:id="142"/>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APPENDIX TO</w:t>
      </w:r>
    </w:p>
    <w:p>
      <w:pPr>
        <w:spacing w:after="0" w:line="58"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GLOBAL STOCK OPTION AGREEMENT</w:t>
      </w:r>
    </w:p>
    <w:p>
      <w:pPr>
        <w:jc w:val="center"/>
        <w:spacing w:after="0" w:line="204" w:lineRule="auto"/>
        <w:rPr>
          <w:sz w:val="20"/>
          <w:szCs w:val="20"/>
          <w:color w:val="auto"/>
        </w:rPr>
      </w:pPr>
      <w:r>
        <w:rPr>
          <w:rFonts w:ascii="Arial" w:cs="Arial" w:eastAsia="Arial" w:hAnsi="Arial"/>
          <w:sz w:val="22"/>
          <w:szCs w:val="22"/>
          <w:b w:val="1"/>
          <w:bCs w:val="1"/>
          <w:color w:val="auto"/>
        </w:rPr>
        <w:t>UNDER THE</w:t>
      </w:r>
    </w:p>
    <w:p>
      <w:pPr>
        <w:jc w:val="center"/>
        <w:spacing w:after="0" w:line="205" w:lineRule="auto"/>
        <w:rPr>
          <w:sz w:val="20"/>
          <w:szCs w:val="20"/>
          <w:color w:val="auto"/>
        </w:rPr>
      </w:pPr>
      <w:r>
        <w:rPr>
          <w:rFonts w:ascii="Arial" w:cs="Arial" w:eastAsia="Arial" w:hAnsi="Arial"/>
          <w:sz w:val="22"/>
          <w:szCs w:val="22"/>
          <w:b w:val="1"/>
          <w:bCs w:val="1"/>
          <w:color w:val="auto"/>
        </w:rPr>
        <w:t>GUIDEWIRE SOFTWARE,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2020 STOCK PLAN</w:t>
      </w:r>
    </w:p>
    <w:p>
      <w:pPr>
        <w:spacing w:after="0" w:line="296" w:lineRule="exact"/>
        <w:rPr>
          <w:sz w:val="20"/>
          <w:szCs w:val="20"/>
          <w:color w:val="auto"/>
        </w:rPr>
      </w:pPr>
    </w:p>
    <w:p>
      <w:pPr>
        <w:ind w:right="960"/>
        <w:spacing w:after="0" w:line="232" w:lineRule="auto"/>
        <w:rPr>
          <w:sz w:val="20"/>
          <w:szCs w:val="20"/>
          <w:color w:val="auto"/>
        </w:rPr>
      </w:pPr>
      <w:r>
        <w:rPr>
          <w:rFonts w:ascii="Arial" w:cs="Arial" w:eastAsia="Arial" w:hAnsi="Arial"/>
          <w:sz w:val="22"/>
          <w:szCs w:val="22"/>
          <w:color w:val="auto"/>
        </w:rPr>
        <w:t>Certain capitalized terms used but not defined in this Appendix have the meanings set forth in the Global Stock Option Agreement (the “Option Agreement”) or, if not defined therein, the Plan.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This Appendix, which is part of the Agreement, includes additional terms and conditions that govern the Stock Option and that will apply to the Optionee if he or she resides and/or works in one of the countries listed below. If the Optionee is a citizen or resident of a country other than the one in which the Optionee resides and/or works, is considered a resident of another country for local law purposes or transfers employment and/or residency between countries after the Grant Date, the Company, in its discretion, will determine to what extent terms and conditions contained herein shall be applicable to the Optionee.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This Appendix also includes information regarding securities, exchange control and certain other issues of which the Optionee should be aware with respect to his or her participation in the Plan. The information is based on the securities, exchange control and other laws in effect in the respective countries as of </w:t>
      </w:r>
      <w:r>
        <w:rPr>
          <w:rFonts w:ascii="Arial" w:cs="Arial" w:eastAsia="Arial" w:hAnsi="Arial"/>
          <w:sz w:val="19"/>
          <w:szCs w:val="19"/>
          <w:b w:val="1"/>
          <w:bCs w:val="1"/>
          <w:color w:val="auto"/>
        </w:rPr>
        <w:t>May 2022</w:t>
      </w:r>
      <w:r>
        <w:rPr>
          <w:rFonts w:ascii="Arial" w:cs="Arial" w:eastAsia="Arial" w:hAnsi="Arial"/>
          <w:sz w:val="19"/>
          <w:szCs w:val="19"/>
          <w:color w:val="auto"/>
        </w:rPr>
        <w:t>. Such laws are often complex and change frequently. As a result, the Optionee should not rely on the information in this Appendix as the only source of information relating to the consequences of his or her participation in the Plan because such information may be outdated when the Stock Option become vested, exercised and/or when any shares of Stock acquired upon exercise are sold.</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the information contained herein is general in nature and may not apply to the Optionee’s particular situation. As a result, the Company is not in a position to assure the Optionee of any particular result. The Optionee therefore should to seek appropriate professional advice as to how the relevant laws in his or her country may apply to his or her particular situation.</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Finally, if the Optionee is a citizen or resident of a country other than the one in which the Optionee resides and/or works, is considered a resident of another country for local law purposes or transfers employment and/or residency between countries after the Grant Date,, then the notifications contained herein may not apply to him or her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ALL NON-U.S.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 Consent</w:t>
      </w:r>
      <w:r>
        <w:rPr>
          <w:rFonts w:ascii="Arial" w:cs="Arial" w:eastAsia="Arial" w:hAnsi="Arial"/>
          <w:sz w:val="22"/>
          <w:szCs w:val="22"/>
          <w:color w:val="auto"/>
        </w:rPr>
        <w:t>. The following provision replaces Paragraph 7 of the Option Agreement:</w:t>
      </w: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i w:val="1"/>
          <w:iCs w:val="1"/>
          <w:u w:val="single" w:color="auto"/>
          <w:color w:val="auto"/>
        </w:rPr>
        <w:t>Consent to Personal Data Processing and Transfer</w:t>
      </w:r>
      <w:r>
        <w:rPr>
          <w:rFonts w:ascii="Arial" w:cs="Arial" w:eastAsia="Arial" w:hAnsi="Arial"/>
          <w:sz w:val="19"/>
          <w:szCs w:val="19"/>
          <w:b w:val="1"/>
          <w:bCs w:val="1"/>
          <w:i w:val="1"/>
          <w:iCs w:val="1"/>
          <w:color w:val="auto"/>
        </w:rPr>
        <w:t>. By accepting the Stock Option via the Company’s acceptance procedure, the Optionee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9" w:lineRule="exact"/>
        <w:rPr>
          <w:sz w:val="20"/>
          <w:szCs w:val="20"/>
          <w:color w:val="auto"/>
        </w:rPr>
      </w:pPr>
    </w:p>
    <w:p>
      <w:pPr>
        <w:jc w:val="both"/>
        <w:ind w:firstLine="1304"/>
        <w:spacing w:after="0" w:line="252" w:lineRule="auto"/>
        <w:tabs>
          <w:tab w:leader="none" w:pos="2022" w:val="left"/>
        </w:tabs>
        <w:numPr>
          <w:ilvl w:val="1"/>
          <w:numId w:val="10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The Optionee understands that the Optionee must review the following information about the processing of the Optionee’s personal data by or on behalf of the Company and its Subsidiaries and Affiliates as described in this Agreement and any materials related to the Stock Option (the “Personal Data”) and declare his or her consent. As regards the processing of the Optionee’s Personal Data in connection with the Plan and this Agreement, the Optionee understands that the Company is the controller of the Optionee’s Personal Data.</w:t>
      </w:r>
    </w:p>
    <w:p>
      <w:pPr>
        <w:spacing w:after="0" w:line="148" w:lineRule="exact"/>
        <w:rPr>
          <w:rFonts w:ascii="Arial" w:cs="Arial" w:eastAsia="Arial" w:hAnsi="Arial"/>
          <w:sz w:val="19"/>
          <w:szCs w:val="19"/>
          <w:color w:val="auto"/>
        </w:rPr>
      </w:pPr>
    </w:p>
    <w:p>
      <w:pPr>
        <w:jc w:val="both"/>
        <w:ind w:firstLine="494"/>
        <w:spacing w:after="0" w:line="246" w:lineRule="auto"/>
        <w:tabs>
          <w:tab w:leader="none" w:pos="1291" w:val="left"/>
        </w:tabs>
        <w:numPr>
          <w:ilvl w:val="0"/>
          <w:numId w:val="10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xml:space="preserve"> The Company collects, uses and otherwise processes Personal Data about the Optionee for purposes of allocating shares of Stock and implementing, administering and managing the Plan. The Personal Data processed by the Company includes, without limitation, the Optionee’s name, home address and telephone number, email address, date of birth, social insurance number, passport number or other identification number (e.g., resident registration number), salary, nationality, job title, any shares of stock or directorships held in the Company or its Affiliates, details of all Awards or any other entitlement to shares of stock or equivalent benefits awarded, canceled, exercised, vested, unvested or outstanding in the Optionee’s favor. The legal basis for the processing of the Optionee’s Personal Data, where required, is the Optionee’s consent.</w:t>
      </w:r>
    </w:p>
    <w:p>
      <w:pPr>
        <w:spacing w:after="0" w:line="152" w:lineRule="exact"/>
        <w:rPr>
          <w:rFonts w:ascii="Arial" w:cs="Arial" w:eastAsia="Arial" w:hAnsi="Arial"/>
          <w:sz w:val="19"/>
          <w:szCs w:val="19"/>
          <w:color w:val="auto"/>
        </w:rPr>
      </w:pPr>
    </w:p>
    <w:p>
      <w:pPr>
        <w:jc w:val="both"/>
        <w:ind w:firstLine="494"/>
        <w:spacing w:after="0" w:line="246" w:lineRule="auto"/>
        <w:tabs>
          <w:tab w:leader="none" w:pos="1293" w:val="left"/>
        </w:tabs>
        <w:numPr>
          <w:ilvl w:val="0"/>
          <w:numId w:val="10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xml:space="preserve"> The Optionee understands that the Company transfers the Optionee’s Personal Data, or parts thereof, to (i) E*Trade Corporate Financial Services, Inc. and its affiliated companies (“E*Trade”), an independent service provider based in the United States which assists the Company with the implementation, administration and management of the Plan. In the future, the Company may select different service providers and share the Optionee’s Personal Data with such different service providers that serve the Company in a similar manner. The Company’s service providers will open an account for the Optionee to receive and trade shares of Stock acquired under the Plan and the Optionee will be asked to agree on separate terms and data processing practices with the service provider, which is a condition of the Optionee’s ability to participate in the Plan.</w:t>
      </w:r>
    </w:p>
    <w:p>
      <w:pPr>
        <w:spacing w:after="0" w:line="152" w:lineRule="exact"/>
        <w:rPr>
          <w:rFonts w:ascii="Arial" w:cs="Arial" w:eastAsia="Arial" w:hAnsi="Arial"/>
          <w:sz w:val="19"/>
          <w:szCs w:val="19"/>
          <w:color w:val="auto"/>
        </w:rPr>
      </w:pPr>
    </w:p>
    <w:p>
      <w:pPr>
        <w:jc w:val="both"/>
        <w:ind w:firstLine="494"/>
        <w:spacing w:after="0" w:line="216" w:lineRule="auto"/>
        <w:tabs>
          <w:tab w:leader="none" w:pos="1291" w:val="left"/>
        </w:tabs>
        <w:numPr>
          <w:ilvl w:val="0"/>
          <w:numId w:val="101"/>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International Data Transfers.</w:t>
      </w:r>
      <w:r>
        <w:rPr>
          <w:rFonts w:ascii="Arial" w:cs="Arial" w:eastAsia="Arial" w:hAnsi="Arial"/>
          <w:sz w:val="22"/>
          <w:szCs w:val="22"/>
          <w:b w:val="1"/>
          <w:bCs w:val="1"/>
          <w:i w:val="1"/>
          <w:iCs w:val="1"/>
          <w:color w:val="auto"/>
        </w:rPr>
        <w:t xml:space="preserve"> The Company and, as of the date hereof, any third parties assisting in the implementation, administration and management of the Plan, such as E*Trade, are based in the United States. If the Optionee is located outside the United States, the Optionee’s country may have enacted data privacy laws that are different from the laws of the United States. The Company’s legal basis for the transfer of the Optionee’s Personal Data is the Optionee’s consent.</w:t>
      </w:r>
    </w:p>
    <w:p>
      <w:pPr>
        <w:spacing w:after="0" w:line="157" w:lineRule="exact"/>
        <w:rPr>
          <w:rFonts w:ascii="Arial" w:cs="Arial" w:eastAsia="Arial" w:hAnsi="Arial"/>
          <w:sz w:val="22"/>
          <w:szCs w:val="22"/>
          <w:color w:val="auto"/>
        </w:rPr>
      </w:pPr>
    </w:p>
    <w:p>
      <w:pPr>
        <w:ind w:firstLine="494"/>
        <w:spacing w:after="0" w:line="232" w:lineRule="auto"/>
        <w:tabs>
          <w:tab w:leader="none" w:pos="1293" w:val="left"/>
        </w:tabs>
        <w:numPr>
          <w:ilvl w:val="0"/>
          <w:numId w:val="101"/>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Data Retention.</w:t>
      </w:r>
      <w:r>
        <w:rPr>
          <w:rFonts w:ascii="Arial" w:cs="Arial" w:eastAsia="Arial" w:hAnsi="Arial"/>
          <w:sz w:val="22"/>
          <w:szCs w:val="22"/>
          <w:b w:val="1"/>
          <w:bCs w:val="1"/>
          <w:i w:val="1"/>
          <w:iCs w:val="1"/>
          <w:color w:val="auto"/>
        </w:rPr>
        <w:t xml:space="preserve"> The Company will process the Optionee’s Personal Data only as long as is necessary to implement, administer and manage the Optionee’s participation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44" w:name="page145"/>
    <w:bookmarkEnd w:id="144"/>
    <w:p>
      <w:pPr>
        <w:jc w:val="both"/>
        <w:spacing w:after="0" w:line="252" w:lineRule="auto"/>
        <w:rPr>
          <w:sz w:val="20"/>
          <w:szCs w:val="20"/>
          <w:color w:val="auto"/>
        </w:rPr>
      </w:pPr>
      <w:r>
        <w:rPr>
          <w:rFonts w:ascii="Arial" w:cs="Arial" w:eastAsia="Arial" w:hAnsi="Arial"/>
          <w:sz w:val="19"/>
          <w:szCs w:val="19"/>
          <w:b w:val="1"/>
          <w:bCs w:val="1"/>
          <w:i w:val="1"/>
          <w:iCs w:val="1"/>
          <w:color w:val="auto"/>
        </w:rPr>
        <w:t>the Plan, or to comply with legal or regulatory obligations, including under tax, exchange control, labor and securities laws. This period may extend beyond Optionee’s end of Service Relationship. In the latter case, the Optionee understands and acknowledges that the Company’s legal basis for the processing of the Optionee’s Personal Data would be compliance with the relevant laws or regulations. When the Company no longer needs the Optionee’s Personal Data for any of the above purposes, the Optionee understands the Company will remove it from its systems.</w:t>
      </w:r>
    </w:p>
    <w:p>
      <w:pPr>
        <w:spacing w:after="0" w:line="149" w:lineRule="exact"/>
        <w:rPr>
          <w:sz w:val="20"/>
          <w:szCs w:val="20"/>
          <w:color w:val="auto"/>
        </w:rPr>
      </w:pPr>
    </w:p>
    <w:p>
      <w:pPr>
        <w:jc w:val="both"/>
        <w:ind w:firstLine="494"/>
        <w:spacing w:after="0" w:line="247" w:lineRule="auto"/>
        <w:tabs>
          <w:tab w:leader="none" w:pos="1296" w:val="left"/>
        </w:tabs>
        <w:numPr>
          <w:ilvl w:val="0"/>
          <w:numId w:val="10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The Optionee understands that any participation in the Plan and his or her consent are purely voluntary. The Optionee may deny or later withdraw his or her consent at any time, with future effect and for any or no reason. If the Optionee denies or later withdraws his or her consent, the Company can no longer offer participation in the Plan or grant equity awards to the Optionee or administer or maintain such awards, and the Optionee will no longer be eligible to participate in the Plan. The Optionee further understands that denial or withdrawal of his or her consent would not affect his or her status or salary as an employee or his or her career and that the Optionee would merely forfeit the opportunities associated with the Plan.</w:t>
      </w:r>
    </w:p>
    <w:p>
      <w:pPr>
        <w:spacing w:after="0" w:line="153" w:lineRule="exact"/>
        <w:rPr>
          <w:rFonts w:ascii="Arial" w:cs="Arial" w:eastAsia="Arial" w:hAnsi="Arial"/>
          <w:sz w:val="19"/>
          <w:szCs w:val="19"/>
          <w:color w:val="auto"/>
        </w:rPr>
      </w:pPr>
    </w:p>
    <w:p>
      <w:pPr>
        <w:jc w:val="both"/>
        <w:ind w:firstLine="494"/>
        <w:spacing w:after="0" w:line="241" w:lineRule="auto"/>
        <w:tabs>
          <w:tab w:leader="none" w:pos="1291" w:val="left"/>
        </w:tabs>
        <w:numPr>
          <w:ilvl w:val="0"/>
          <w:numId w:val="10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The data subject rights regarding the processing of personal data vary depending on the applicable law and that, depending on where the Optionee is based and subject to the conditions set out in the applicable law, the Optionee may have, without limitation, the rights to (i) inquire whether and what kind of Personal Data the Company holds about the Optionee and how it is processed, and to access or request copies of such Personal Data, (ii) request the correction or supplementation of Personal Data about the Optionee that is inaccurate, incomplete or out- of-date in light of the purposes underlying the processing, (iii) obtain the erasure of Personal Data no longer necessary for the purposes underlying the processing, (iv) request the Company to restrict the processing of the Optionee’s Personal Data in certain situations where the Optionee feels its processing is inappropriate, (v) object, in certain circumstances, to the processing of Personal Data for legitimate interests, and to (vi) request portability of the Optionee’s Personal Data that the Optionee has actively or passively provided to the Company (which does not include data derived or inferred from the collected data), where the processing of such Personal Data is based on consent or the Optionee’s employment and is carried out by automated means. In case of concerns, the Optionee may also have the right to lodge a complaint with the competent local data protection authority. Further, to receive clarification of, or to exercise any of, the Optionee’s rights the Optionee should contact the Optionee’s local human resources representative.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AUSTRALIA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If Optionee offers any shares of Stock for sale to a person or entity resident in Australia, the offer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may be subject to disclosure requirements under Australian law (in addition to any requirements under the Plan and this Agreement). </w:t>
      </w:r>
      <w:r>
        <w:rPr>
          <w:rFonts w:ascii="Arial" w:cs="Arial" w:eastAsia="Arial" w:hAnsi="Arial"/>
          <w:sz w:val="22"/>
          <w:szCs w:val="22"/>
          <w:i w:val="1"/>
          <w:iCs w:val="1"/>
          <w:color w:val="auto"/>
        </w:rPr>
        <w:t>Optionee should consult his or her personal legal advisor prior to making any such offer to ensure compliance with</w:t>
      </w:r>
      <w:r>
        <w:rPr>
          <w:rFonts w:ascii="Arial" w:cs="Arial" w:eastAsia="Arial" w:hAnsi="Arial"/>
          <w:sz w:val="22"/>
          <w:szCs w:val="22"/>
          <w:color w:val="auto"/>
        </w:rPr>
        <w:t xml:space="preserve"> </w:t>
      </w:r>
      <w:r>
        <w:rPr>
          <w:rFonts w:ascii="Arial" w:cs="Arial" w:eastAsia="Arial" w:hAnsi="Arial"/>
          <w:sz w:val="22"/>
          <w:szCs w:val="22"/>
          <w:i w:val="1"/>
          <w:iCs w:val="1"/>
          <w:color w:val="auto"/>
        </w:rPr>
        <w:t>the applicable requirements.</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Tax Consideration. </w:t>
      </w:r>
      <w:r>
        <w:rPr>
          <w:rFonts w:ascii="Arial" w:cs="Arial" w:eastAsia="Arial" w:hAnsi="Arial"/>
          <w:sz w:val="22"/>
          <w:szCs w:val="22"/>
          <w:color w:val="auto"/>
        </w:rPr>
        <w:t>The Plan is a plan to which Subdivision 83A-C of the Income Tax Assessment Act 1997 (Cth) applies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of the Act).</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Exchange control reporting is required for cash transactions exceeding a certain threshold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fund transfers. The Australian bank assisting with the transaction may file the report on the Optionee's behalf. If there is no Australian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0" w:right="339" w:bottom="1440" w:gutter="0" w:footer="0" w:header="0"/>
        </w:sectPr>
      </w:pPr>
    </w:p>
    <w:bookmarkStart w:id="145" w:name="page146"/>
    <w:bookmarkEnd w:id="145"/>
    <w:p>
      <w:pPr>
        <w:jc w:val="both"/>
        <w:spacing w:after="0" w:line="232" w:lineRule="auto"/>
        <w:rPr>
          <w:sz w:val="20"/>
          <w:szCs w:val="20"/>
          <w:color w:val="auto"/>
        </w:rPr>
      </w:pPr>
      <w:r>
        <w:rPr>
          <w:rFonts w:ascii="Arial" w:cs="Arial" w:eastAsia="Arial" w:hAnsi="Arial"/>
          <w:sz w:val="22"/>
          <w:szCs w:val="22"/>
          <w:color w:val="auto"/>
        </w:rPr>
        <w:t>involved in the transfer, the Optionee will be required to file the report. The Optionee should consult with his or her personal advisor to ensure proper compliance with applicable reporting requirements in Australia.</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CANADA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Non-Qualified Securities. </w:t>
      </w:r>
      <w:r>
        <w:rPr>
          <w:rFonts w:ascii="Arial" w:cs="Arial" w:eastAsia="Arial" w:hAnsi="Arial"/>
          <w:sz w:val="21"/>
          <w:szCs w:val="21"/>
          <w:color w:val="auto"/>
        </w:rPr>
        <w:t>All or a portion of the shares of Common Stock subject to the Option may be "non-qualified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securities" within the meaning of the </w:t>
      </w:r>
      <w:r>
        <w:rPr>
          <w:rFonts w:ascii="Arial" w:cs="Arial" w:eastAsia="Arial" w:hAnsi="Arial"/>
          <w:sz w:val="21"/>
          <w:szCs w:val="21"/>
          <w:i w:val="1"/>
          <w:iCs w:val="1"/>
          <w:color w:val="auto"/>
        </w:rPr>
        <w:t>Income Tax Act</w:t>
      </w:r>
      <w:r>
        <w:rPr>
          <w:rFonts w:ascii="Arial" w:cs="Arial" w:eastAsia="Arial" w:hAnsi="Arial"/>
          <w:sz w:val="21"/>
          <w:szCs w:val="21"/>
          <w:color w:val="auto"/>
        </w:rPr>
        <w:t xml:space="preserve"> (Canada). The Company will provide the Optionee with additional information and/or appropriate notification regarding the characterization of the Stock Option for Canadian income tax purposes as may be required by the </w:t>
      </w:r>
      <w:r>
        <w:rPr>
          <w:rFonts w:ascii="Arial" w:cs="Arial" w:eastAsia="Arial" w:hAnsi="Arial"/>
          <w:sz w:val="21"/>
          <w:szCs w:val="21"/>
          <w:i w:val="1"/>
          <w:iCs w:val="1"/>
          <w:color w:val="auto"/>
        </w:rPr>
        <w:t>Income Tax Act</w:t>
      </w:r>
      <w:r>
        <w:rPr>
          <w:rFonts w:ascii="Arial" w:cs="Arial" w:eastAsia="Arial" w:hAnsi="Arial"/>
          <w:sz w:val="21"/>
          <w:szCs w:val="21"/>
          <w:color w:val="auto"/>
        </w:rPr>
        <w:t xml:space="preserve"> (Canada) and the regulations thereunder.</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Manner of Exercise</w:t>
      </w:r>
      <w:r>
        <w:rPr>
          <w:rFonts w:ascii="Arial" w:cs="Arial" w:eastAsia="Arial" w:hAnsi="Arial"/>
          <w:sz w:val="22"/>
          <w:szCs w:val="22"/>
          <w:color w:val="auto"/>
        </w:rPr>
        <w:t>. The following provision supplements Paragraph 2 of the Option Agreement:</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Notwithstanding anything in the Plan to the contrary, the Optionee is prohibited from surrendering shares of Stock the Optionee already owns or attesting to the ownership of shares of Stock to pay the Option Exercise Price per Share or any Tax-Related Items in connection with the Stock Option.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The following provision replaces Paragraph 7(l) of the Option Agreement:</w:t>
      </w:r>
    </w:p>
    <w:p>
      <w:pPr>
        <w:spacing w:after="0" w:line="185"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For purposes of the Stock Option, unless otherwise provided for in the Option Agreement, the Optionee’s Service Relationship will be considered terminated as of the date that is the earliest of (a) the date the Optionee's employment is terminated; (b) the date the Optionee receives notice of termination of employment; or (b) the date the Optionee is no longer providing services to the Company or any Affiliate (in all cases regardless of the reason for such termination and whether or not later found to be invalid or in breach of employment laws in the jurisdiction where the Optionee renders service or the terms of the Optionee’s employment agreement, if any). Unless otherwise expressly provided in this Agreement or determined by the Company, the Optionee’s right to continue to vest in the Stock Option, if any, will terminate effective as of such date and will not be extended any period during which notice, pay in lieu of notice or related payments or damages are provided or required to be provided under local law. The Administrator shall have the exclusive discretion to determine when the Optionee’s employment is terminated for purposes of this Stock Option (including whether the Optionee may still be considered providing services while on a leave of absence).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the foregoing, if applicable employment standards legislation explicitly requires</w:t>
      </w:r>
    </w:p>
    <w:p>
      <w:pPr>
        <w:jc w:val="both"/>
        <w:spacing w:after="0" w:line="214" w:lineRule="auto"/>
        <w:rPr>
          <w:sz w:val="20"/>
          <w:szCs w:val="20"/>
          <w:color w:val="auto"/>
        </w:rPr>
      </w:pPr>
      <w:r>
        <w:rPr>
          <w:rFonts w:ascii="Arial" w:cs="Arial" w:eastAsia="Arial" w:hAnsi="Arial"/>
          <w:sz w:val="22"/>
          <w:szCs w:val="22"/>
          <w:color w:val="auto"/>
        </w:rPr>
        <w:t>continued entitlement to vesting during a statutory notice period, the Optionee’s right to vest in the Stock Option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following provisions apply to the Stock Option if the Optionee is a resident of Quebec</w:t>
      </w:r>
      <w:r>
        <w:rPr>
          <w:rFonts w:ascii="Arial" w:cs="Arial" w:eastAsia="Arial" w:hAnsi="Arial"/>
          <w:sz w:val="22"/>
          <w:szCs w:val="22"/>
          <w:b w:val="1"/>
          <w:bCs w:val="1"/>
          <w:color w:val="auto"/>
        </w:rPr>
        <w:t>:</w:t>
      </w:r>
    </w:p>
    <w:p>
      <w:pPr>
        <w:spacing w:after="0" w:line="179" w:lineRule="exact"/>
        <w:rPr>
          <w:sz w:val="20"/>
          <w:szCs w:val="20"/>
          <w:color w:val="auto"/>
        </w:rPr>
      </w:pPr>
    </w:p>
    <w:p>
      <w:pPr>
        <w:jc w:val="both"/>
        <w:ind w:right="20"/>
        <w:spacing w:after="0" w:line="225"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0" w:right="339" w:bottom="1440" w:gutter="0" w:footer="0" w:header="0"/>
        </w:sectPr>
      </w:pPr>
    </w:p>
    <w:bookmarkStart w:id="146" w:name="page147"/>
    <w:bookmarkEnd w:id="146"/>
    <w:p>
      <w:pPr>
        <w:jc w:val="both"/>
        <w:spacing w:after="0" w:line="29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Personal Data Authorization. </w:t>
      </w:r>
      <w:r>
        <w:rPr>
          <w:rFonts w:ascii="Arial" w:cs="Arial" w:eastAsia="Arial" w:hAnsi="Arial"/>
          <w:sz w:val="19"/>
          <w:szCs w:val="19"/>
          <w:color w:val="auto"/>
        </w:rPr>
        <w:t>The following provision supplements the Data Privacy Consent, set forth above in this Appendix:</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the Employer and its other Affiliates to disclose and discuss with their advisors the Optionee’s participation in the Plan. The Optionee also authorizes the Company, the Employer and its other Affiliates to record such information and to keep it in his or her employment file. If the Optionee is resident in Quebec, the Optionee acknowledges and agrees that his or her personal information, including sensitive personal information, may be transferred or disclosed outside of the province of Quebec, including to the United States. The Optionee acknowledges and authorizes the Company and other parties involved in the administration of the Plan to use technology for profiling purposes and to make automated decisions that may have an impact on the Optionee or the administration of the Plan.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Optionee is permitted to sell shares of Stock acquired through the Plan through the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broker appointed under the Plan, if any, provided the resale of shares of Stock acquired under the Plan takes place outside of Canada through the facilities of a stock exchange on which the shares of Stock are listed. The shares of Stock are currently listed on the New York Stock Exchange.</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Foreign Account/Asset Reporting Information. </w:t>
      </w:r>
      <w:r>
        <w:rPr>
          <w:rFonts w:ascii="Arial" w:cs="Arial" w:eastAsia="Arial" w:hAnsi="Arial"/>
          <w:sz w:val="19"/>
          <w:szCs w:val="19"/>
          <w:color w:val="auto"/>
        </w:rPr>
        <w:t>If the Optionee is a Canadian resident, the Optionee is required to report</w:t>
      </w:r>
      <w:r>
        <w:rPr>
          <w:rFonts w:ascii="Arial" w:cs="Arial" w:eastAsia="Arial" w:hAnsi="Arial"/>
          <w:sz w:val="19"/>
          <w:szCs w:val="19"/>
          <w:b w:val="1"/>
          <w:bCs w:val="1"/>
          <w:color w:val="auto"/>
        </w:rPr>
        <w:t xml:space="preserve"> </w:t>
      </w:r>
      <w:r>
        <w:rPr>
          <w:rFonts w:ascii="Arial" w:cs="Arial" w:eastAsia="Arial" w:hAnsi="Arial"/>
          <w:sz w:val="19"/>
          <w:szCs w:val="19"/>
          <w:color w:val="auto"/>
        </w:rPr>
        <w:t>annually on Form T1135 (Foreign Income Verification Statement) the foreign specified property (including shares of Stock acquired under the Plan) he or she holds if the total cost of such foreign specified property exceeds C$100,000 at any time during the year. Unvested Stock Options also must be reported (generally at nil cost) on Form T1135 if the C$100,000 threshold is exceeded due to other foreign property the Optionee holds. If shares of Stock are acquired, their cost generally is the adjusted cost base (“ACB”) of the shares of Stock. The ACB would normally equal the fair market value of the shares of Stock at vesting, but if the Optionee owns other shares, this ACB may have to be averaged with the ACB of the other shares. The Form T1135 must be filed at the same time the Optionee files his or her annual tax return. The Optionee is advised to consult with a personal advisor to ensure he or she complies with the applicable reporting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FRANCE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jc w:val="both"/>
        <w:ind w:right="20"/>
        <w:spacing w:after="0" w:line="305"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In accepting this Stock Option, the Optionee confirms having read and understood the Plan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which were provided in the English language. The Optionee accepts the terms of those documents accordingly.</w:t>
      </w:r>
    </w:p>
    <w:p>
      <w:pPr>
        <w:spacing w:after="0" w:line="9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b w:val="1"/>
          <w:bCs w:val="1"/>
          <w:i w:val="1"/>
          <w:iCs w:val="1"/>
          <w:color w:val="auto"/>
        </w:rPr>
        <w:t xml:space="preserve">Consentement Relatif à la Langue Utilisée. </w:t>
      </w:r>
      <w:r>
        <w:rPr>
          <w:rFonts w:ascii="Arial" w:cs="Arial" w:eastAsia="Arial" w:hAnsi="Arial"/>
          <w:sz w:val="22"/>
          <w:szCs w:val="22"/>
          <w:i w:val="1"/>
          <w:iCs w:val="1"/>
          <w:color w:val="auto"/>
        </w:rPr>
        <w:t>En acceptant l’attribution, le Bénéficiaire de l’Option confirme avoir lu et compris</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le Plan et le Contrat, qui ont été communiqués en langue anglaise. le Bénéficiaire de l’Option accepte les termes de ces documents en connaissance de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0" w:right="3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right="20"/>
        <w:spacing w:after="0" w:line="253" w:lineRule="auto"/>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Stock Option is not intended to qualify for special tax and social security treatment applicable to stock</w:t>
      </w:r>
      <w:r>
        <w:rPr>
          <w:rFonts w:ascii="Arial" w:cs="Arial" w:eastAsia="Arial" w:hAnsi="Arial"/>
          <w:sz w:val="21"/>
          <w:szCs w:val="21"/>
          <w:b w:val="1"/>
          <w:bCs w:val="1"/>
          <w:color w:val="auto"/>
        </w:rPr>
        <w:t xml:space="preserve"> </w:t>
      </w:r>
      <w:r>
        <w:rPr>
          <w:rFonts w:ascii="Arial" w:cs="Arial" w:eastAsia="Arial" w:hAnsi="Arial"/>
          <w:sz w:val="21"/>
          <w:szCs w:val="21"/>
          <w:color w:val="auto"/>
        </w:rPr>
        <w:t>options granted under Section L. 225-177 to L. 225-186-1 of the French Commercial Code, as amended.</w:t>
      </w:r>
    </w:p>
    <w:p>
      <w:pPr>
        <w:spacing w:after="0" w:line="166"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the Optionee is a French resident, the Optionee must declare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Optionee’s foreign bank and brokerage accounts in which he or she holds cash or securities, including the accounts that were opened and/or closed during the tax year, on an annual basis on a special form N° 3916, together with the Optionee’s income tax return</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The Optionee must report the value of any cash or securities that the Optionee brings into</w:t>
      </w:r>
      <w:r>
        <w:rPr>
          <w:rFonts w:ascii="Arial" w:cs="Arial" w:eastAsia="Arial" w:hAnsi="Arial"/>
          <w:sz w:val="22"/>
          <w:szCs w:val="22"/>
          <w:b w:val="1"/>
          <w:bCs w:val="1"/>
          <w:color w:val="auto"/>
        </w:rPr>
        <w:t xml:space="preserve"> </w:t>
      </w:r>
      <w:r>
        <w:rPr>
          <w:rFonts w:ascii="Arial" w:cs="Arial" w:eastAsia="Arial" w:hAnsi="Arial"/>
          <w:sz w:val="22"/>
          <w:szCs w:val="22"/>
          <w:color w:val="auto"/>
        </w:rPr>
        <w:t>France or sends out of France without the use of a financial institution to the French Customs and Excise Authorities when the value of such cash or securities reaches or exceeds the threshold amount.</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GERMANY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Cross-border payments in excess of €12,500 must be reported monthly to the German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Bank. If the Optionee receives cross-border payments in excess of €12,500 in connection with the sale of securities (including shares of Stock acquired under the Plan) or the receipt of dividends paid on such shares of Stock, the Optionee must report by the fifth day of the month following the month in which the payment was received. The report must be filed electronically. The form of report can be accessed via the German Federal Bank’s website at </w:t>
      </w:r>
      <w:r>
        <w:rPr>
          <w:rFonts w:ascii="Arial" w:cs="Arial" w:eastAsia="Arial" w:hAnsi="Arial"/>
          <w:sz w:val="19"/>
          <w:szCs w:val="19"/>
          <w:u w:val="single" w:color="auto"/>
          <w:color w:val="0000FF"/>
        </w:rPr>
        <w:t>www.bundesbank.de</w:t>
      </w:r>
      <w:r>
        <w:rPr>
          <w:rFonts w:ascii="Arial" w:cs="Arial" w:eastAsia="Arial" w:hAnsi="Arial"/>
          <w:sz w:val="19"/>
          <w:szCs w:val="19"/>
          <w:color w:val="auto"/>
        </w:rPr>
        <w:t xml:space="preserve"> and is available in both German and English. The Optionee is advised to consult a personal legal advisor to ensure compliance with applicable reporting obligations.</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the acquisition of shares of Stock under the Plan leads to a “qualified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at any point during the calendar year, Optionee understands that Optionee will need to report the acquisition when Optionee files his or her tax return for the relevant year. A qualified participation is attained only if (a) the value of the shares of Stock acquired exceeds €150,000 and the Optionee holds 1% or more of the total shares of Stock, or (b) the Optionee holds shares of Stock exceeding 10% of the Company’s total Stock. Optionee should contact his or her personal advisor for further information regarding whether Optionee's acquisition of Stock under the Plan will result in a qualified participation.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IRELAND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 country-specific provisions.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INDIA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Manner of Exercise</w:t>
      </w:r>
      <w:r>
        <w:rPr>
          <w:rFonts w:ascii="Arial" w:cs="Arial" w:eastAsia="Arial" w:hAnsi="Arial"/>
          <w:sz w:val="22"/>
          <w:szCs w:val="22"/>
          <w:color w:val="auto"/>
        </w:rPr>
        <w:t>. The following provision supplements Paragraph 2 of the Option Agreement:</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Due to legal considerations in India, the Optionee will not be permitted to pay the Exercise Price per Share by a broker-assisted cashless exercise in which the Optionee irrevocably instruct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0" w:right="339" w:bottom="1440" w:gutter="0" w:footer="0" w:header="0"/>
        </w:sectPr>
      </w:pPr>
    </w:p>
    <w:bookmarkStart w:id="148" w:name="page149"/>
    <w:bookmarkEnd w:id="148"/>
    <w:p>
      <w:pPr>
        <w:jc w:val="both"/>
        <w:spacing w:after="0" w:line="222" w:lineRule="auto"/>
        <w:rPr>
          <w:sz w:val="20"/>
          <w:szCs w:val="20"/>
          <w:color w:val="auto"/>
        </w:rPr>
      </w:pPr>
      <w:r>
        <w:rPr>
          <w:rFonts w:ascii="Arial" w:cs="Arial" w:eastAsia="Arial" w:hAnsi="Arial"/>
          <w:sz w:val="21"/>
          <w:szCs w:val="21"/>
          <w:color w:val="auto"/>
        </w:rPr>
        <w:t xml:space="preserve">broker to sell </w:t>
      </w:r>
      <w:r>
        <w:rPr>
          <w:rFonts w:ascii="Arial" w:cs="Arial" w:eastAsia="Arial" w:hAnsi="Arial"/>
          <w:sz w:val="21"/>
          <w:szCs w:val="21"/>
          <w:u w:val="single" w:color="auto"/>
          <w:color w:val="auto"/>
        </w:rPr>
        <w:t>a portion</w:t>
      </w:r>
      <w:r>
        <w:rPr>
          <w:rFonts w:ascii="Arial" w:cs="Arial" w:eastAsia="Arial" w:hAnsi="Arial"/>
          <w:sz w:val="21"/>
          <w:szCs w:val="21"/>
          <w:color w:val="auto"/>
        </w:rPr>
        <w:t xml:space="preserve"> of the shares of Stock for which the Stock Option is being exercised and deliver the proceeds of the sale to the Company in payment of the Exercise Price per Share of such shares of Stock and, if applicable, in payment of Tax-Related Items. The Optionee may, however, pay the Exercise Price per Share by a broker-assisted cashless exercise in which the Optionee irrevocably instructs a broker to sell </w:t>
      </w:r>
      <w:r>
        <w:rPr>
          <w:rFonts w:ascii="Arial" w:cs="Arial" w:eastAsia="Arial" w:hAnsi="Arial"/>
          <w:sz w:val="21"/>
          <w:szCs w:val="21"/>
          <w:u w:val="single" w:color="auto"/>
          <w:color w:val="auto"/>
        </w:rPr>
        <w:t>all</w:t>
      </w:r>
      <w:r>
        <w:rPr>
          <w:rFonts w:ascii="Arial" w:cs="Arial" w:eastAsia="Arial" w:hAnsi="Arial"/>
          <w:sz w:val="21"/>
          <w:szCs w:val="21"/>
          <w:color w:val="auto"/>
        </w:rPr>
        <w:t xml:space="preserve"> of the shares of Stock for which the Stock Option is being exercised and deliver the proceeds of the sale to the Company in payment of the Exercise Price per Share of such shares of Stock and, if applicable, in payment of Tax-Related Items. The Company reserves the right to allow additional methods of payment depending on the development of local law.</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Exchange Control Information</w:t>
      </w:r>
      <w:r>
        <w:rPr>
          <w:rFonts w:ascii="Arial" w:cs="Arial" w:eastAsia="Arial" w:hAnsi="Arial"/>
          <w:sz w:val="22"/>
          <w:szCs w:val="22"/>
          <w:color w:val="auto"/>
        </w:rPr>
        <w:t>. Exchange control laws and regulations in India require that all proceeds resulting from the sale</w:t>
      </w:r>
      <w:r>
        <w:rPr>
          <w:rFonts w:ascii="Arial" w:cs="Arial" w:eastAsia="Arial" w:hAnsi="Arial"/>
          <w:sz w:val="22"/>
          <w:szCs w:val="22"/>
          <w:b w:val="1"/>
          <w:bCs w:val="1"/>
          <w:color w:val="auto"/>
        </w:rPr>
        <w:t xml:space="preserve"> </w:t>
      </w:r>
      <w:r>
        <w:rPr>
          <w:rFonts w:ascii="Arial" w:cs="Arial" w:eastAsia="Arial" w:hAnsi="Arial"/>
          <w:sz w:val="22"/>
          <w:szCs w:val="22"/>
          <w:color w:val="auto"/>
        </w:rPr>
        <w:t>of shares of Stock and any dividends received in relation to the shares of Stock be repatriated to India within such time as prescribed under applicable Indian exchange control laws, as may be amended from time to time. Indian residents must obtain a foreign inward remittance certificate (“FIRC”) from the bank into which foreign currency is deposited and retain the FIRC as evidence of repatriation of funds in the event that the Reserve Bank of India or the Service Recipient requests proof of repatriation.</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Foreign bank accounts and any foreign financial assets (including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 held outside India) must be reported in the annual Indian personal tax return. It is the Optionee’s responsibility to comply with this reporting obligation and the Optionee should consult with his or her personal advisor in this regard.</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POLAND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the Optionee holds foreign securities (including shares of Stock) and maintains accounts</w:t>
      </w:r>
      <w:r>
        <w:rPr>
          <w:rFonts w:ascii="Arial" w:cs="Arial" w:eastAsia="Arial" w:hAnsi="Arial"/>
          <w:sz w:val="21"/>
          <w:szCs w:val="21"/>
          <w:b w:val="1"/>
          <w:bCs w:val="1"/>
          <w:color w:val="auto"/>
        </w:rPr>
        <w:t xml:space="preserve"> </w:t>
      </w:r>
      <w:r>
        <w:rPr>
          <w:rFonts w:ascii="Arial" w:cs="Arial" w:eastAsia="Arial" w:hAnsi="Arial"/>
          <w:sz w:val="21"/>
          <w:szCs w:val="21"/>
          <w:color w:val="auto"/>
        </w:rPr>
        <w:t>abroad, the Optionee may be required to file certain reports with the National Bank of Poland on the transactions and balances of the securities and cash deposited in such accounts if the value of such transactions or balances exceeds PLN 7,000,000 in the aggregate. If required, the Optionee must file reports on the transactions and balances of the accounts on a quarterly basis on special forms available on the website of the National Bank of Poland.</w:t>
      </w:r>
    </w:p>
    <w:p>
      <w:pPr>
        <w:spacing w:after="0" w:line="160"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Further, if the Optionee transfers funds in excess of €15,000 into Poland in connection with the sale of shares of Stock under the Plan, the funds must be transferred via a bank account held at a bank in Poland. The Optionee is required to maintain all documents related to foreign exchange transactions for a period of five years, in case of a request for their production from the Bank of Poland.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SPAIN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173"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No Entitlement for Claims or Compensation</w:t>
      </w:r>
      <w:r>
        <w:rPr>
          <w:rFonts w:ascii="Arial" w:cs="Arial" w:eastAsia="Arial" w:hAnsi="Arial"/>
          <w:sz w:val="22"/>
          <w:szCs w:val="22"/>
          <w:color w:val="auto"/>
        </w:rPr>
        <w:t>. By accepting the Stock Option, the Optionee acknowledges that he or she</w:t>
      </w:r>
      <w:r>
        <w:rPr>
          <w:rFonts w:ascii="Arial" w:cs="Arial" w:eastAsia="Arial" w:hAnsi="Arial"/>
          <w:sz w:val="22"/>
          <w:szCs w:val="22"/>
          <w:b w:val="1"/>
          <w:bCs w:val="1"/>
          <w:color w:val="auto"/>
        </w:rPr>
        <w:t xml:space="preserve"> </w:t>
      </w:r>
      <w:r>
        <w:rPr>
          <w:rFonts w:ascii="Arial" w:cs="Arial" w:eastAsia="Arial" w:hAnsi="Arial"/>
          <w:sz w:val="22"/>
          <w:szCs w:val="22"/>
          <w:color w:val="auto"/>
        </w:rPr>
        <w:t>consents to participation in the Plan and has received a copy of the Plan. The Optionee understands that the Company has unilaterally, gratuitously and in its sole discretion decided to grant Stock Options under the Plan to individuals who may be employees of the Employer, the Company or its other Affiliates throughout the world. The decision is a limited decision that is entered into upon the express assumption and condition that any Stock Option will not economically or otherwise bind the Employer, the Company or its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0" w:right="339" w:bottom="1440" w:gutter="0" w:footer="0" w:header="0"/>
        </w:sectPr>
      </w:pPr>
    </w:p>
    <w:bookmarkStart w:id="149" w:name="page150"/>
    <w:bookmarkEnd w:id="149"/>
    <w:p>
      <w:pPr>
        <w:jc w:val="both"/>
        <w:spacing w:after="0" w:line="247" w:lineRule="auto"/>
        <w:rPr>
          <w:sz w:val="20"/>
          <w:szCs w:val="20"/>
          <w:color w:val="auto"/>
        </w:rPr>
      </w:pPr>
      <w:r>
        <w:rPr>
          <w:rFonts w:ascii="Arial" w:cs="Arial" w:eastAsia="Arial" w:hAnsi="Arial"/>
          <w:sz w:val="19"/>
          <w:szCs w:val="19"/>
          <w:color w:val="auto"/>
        </w:rPr>
        <w:t>Affiliates on an ongoing basis. Consequently, the Optionee understands that the Stock Options are granted on the assumption and condition that the Sock Option and the shares of Stock acquired upon settlement shall not become a part of any employment contract (either with the Employer, the Company or any of its other Affiliates) and shall not be considered a mandatory benefit, salary for any purposes (including severance compensation) or any other right whatsoever. In addition, the Optionee understands that grant of Stock Option would not be made to the Optionee but for the assumptions and conditions referred to above; thus, the Optionee acknowledges and freely accepts that should any or all of the assumptions be mistaken or should any of the conditions not be met for any reason, then any grant of Stock Options shall be null and void.</w:t>
      </w:r>
    </w:p>
    <w:p>
      <w:pPr>
        <w:spacing w:after="0" w:line="15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Further, the vesting of the Stock Options is expressly conditioned on the Optionee’s continued employment, such that if the Optionee’s status as an employee terminates for any reason whatsoever, the Stock Options may, subject to the terms of the Option Agreement, cease vesting immediately, in whole or in part, effective on the date of the Optionee ceases to be an employee. This will be the case, for example, unless otherwise provided for in the Option Agreement, even if (a) the Optionee is considered to be unfairly dismissed without good cause; (b) the Optionee is dismissed for disciplinary or objective reasons or due to a collective dismissal; (c) the Optionee ceases to be an employee due to a change of work location, duties or any other employment or contractual condition; (d) the Optionee ceases to be an employee due to a unilateral breach of contract by the Employer, the Company or its other Affiliates; or (e) the Optionee ceases to be an employee for any other reason whatsoever. Consequently, once the Optionee ceases to be an employee any of the above reasons, the Optionee may automatically lose any rights to Stock Options that were not vested on the date of the Optionee’s termination of employment, as described in the Plan and the Agreement.</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Optionee acknowledges that he or she has read and specifically accepts the conditions referred to in Paragraphs 3 and 7 of the Option Agreement.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No “offer of securities to the public,” as defined under Spanish law, has taken place or will take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place in the Spanish territory in connection with the grant of the Stock Option. The Agreement has not been nor will it be registered with the </w:t>
      </w:r>
      <w:r>
        <w:rPr>
          <w:rFonts w:ascii="Arial" w:cs="Arial" w:eastAsia="Arial" w:hAnsi="Arial"/>
          <w:sz w:val="21"/>
          <w:szCs w:val="21"/>
          <w:i w:val="1"/>
          <w:iCs w:val="1"/>
          <w:color w:val="auto"/>
        </w:rPr>
        <w:t>Comisión Nacional del Mercado de Valores</w:t>
      </w:r>
      <w:r>
        <w:rPr>
          <w:rFonts w:ascii="Arial" w:cs="Arial" w:eastAsia="Arial" w:hAnsi="Arial"/>
          <w:sz w:val="21"/>
          <w:szCs w:val="21"/>
          <w:color w:val="auto"/>
        </w:rPr>
        <w:t>, and does not constitute a public offering prospectus.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SWITZERLAND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Securities Law Notification</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Agreement, this Appendix and any other materials relating to the Stock Option (a) do</w:t>
      </w:r>
      <w:r>
        <w:rPr>
          <w:rFonts w:ascii="Arial" w:cs="Arial" w:eastAsia="Arial" w:hAnsi="Arial"/>
          <w:sz w:val="19"/>
          <w:szCs w:val="19"/>
          <w:b w:val="1"/>
          <w:bCs w:val="1"/>
          <w:color w:val="auto"/>
        </w:rPr>
        <w:t xml:space="preserve"> </w:t>
      </w:r>
      <w:r>
        <w:rPr>
          <w:rFonts w:ascii="Arial" w:cs="Arial" w:eastAsia="Arial" w:hAnsi="Arial"/>
          <w:sz w:val="19"/>
          <w:szCs w:val="19"/>
          <w:color w:val="auto"/>
        </w:rPr>
        <w:t>not constitute a prospectus according to articles 35 et seq. of the Swiss Federal Act on Financial Services (“FinSA”), (b) may not be publicly distributed or otherwise made publicly available in Switzerland to any person other than an employee of the Company, or (c) has not been and will not be filed with, approved or supervised by any Swiss reviewing body according to article 51 FinSA or any Swiss regulatory authority, including the Swiss Financial Market Supervisory Authority (FINMA).</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UNITED KINGDOM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0" w:right="339" w:bottom="1440" w:gutter="0" w:footer="0" w:header="0"/>
        </w:sectPr>
      </w:pPr>
    </w:p>
    <w:bookmarkStart w:id="150" w:name="page151"/>
    <w:bookmarkEnd w:id="150"/>
    <w:p>
      <w:pPr>
        <w:jc w:val="both"/>
        <w:spacing w:after="0" w:line="220" w:lineRule="auto"/>
        <w:rPr>
          <w:sz w:val="20"/>
          <w:szCs w:val="20"/>
          <w:color w:val="auto"/>
        </w:rPr>
      </w:pPr>
      <w:r>
        <w:rPr>
          <w:rFonts w:ascii="Arial" w:cs="Arial" w:eastAsia="Arial" w:hAnsi="Arial"/>
          <w:sz w:val="21"/>
          <w:szCs w:val="21"/>
          <w:b w:val="1"/>
          <w:bCs w:val="1"/>
          <w:color w:val="auto"/>
        </w:rPr>
        <w:t xml:space="preserve">Joint Election for Transfer of Liability for Employer National Insurance Contributions. </w:t>
      </w:r>
      <w:r>
        <w:rPr>
          <w:rFonts w:ascii="Arial" w:cs="Arial" w:eastAsia="Arial" w:hAnsi="Arial"/>
          <w:sz w:val="21"/>
          <w:szCs w:val="21"/>
          <w:color w:val="auto"/>
        </w:rPr>
        <w:t>As a condition of participation in</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and settlement of any Stock Option upon vesting, the Optionee hereby irrevocably agrees to accept any liability for secondary Class 1 National Insurance contributions and, to the extent permissible, the employer portion of the Health and Social Care Levy (the “Employer NICs”) that may be payable by the Company or the Employer (and any successor to the Company and/or the Employer) in connection with the Stock Options and any event giving rise to Tax-Related Items. Without prejudice to the foregoing, the Optionee agrees to execute a joint election with the Company and/or the Employer in such form as the Company may determine (the “Joint Election”), and any other required consent or election requested by the Company. The Optionee further agrees to execute such other joint elections as may be required between the Optionee and any successor to the Company or the Employer. The Optionee further agrees that the Company and the Employer (and any successor to the Company and/or the Employer) may collect the Employer NICs from the Optionee by any of the means set forth in Paragraph 6 of the Option Agreement.</w:t>
      </w:r>
    </w:p>
    <w:p>
      <w:pPr>
        <w:spacing w:after="0" w:line="16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the Optionee does not enter into a Joint Election prior to exercise of the Stock Option, the Stock Option shall not be settled unless and until he or she enters into a Joint Election, and no shares of Stock will be issued to the Optionee under the Plan, without any liability to the Company, the Employer, or any other Affiliate.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following provision supplements Paragraph 6 of the Option Agreement:</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Without limitation to Paragraph 6 of the Option Agreement, the Optionee agrees that he or she is liable for all Tax-Related Items, including, to the extent permissible, the Employer’s portion of the Health and Social Care levy, and hereby covenants to pay all such Tax-Related Items as and when requested by the Company, the Employer or by HM Revenue &amp; Customs ("HMRC") (or any other tax authority or any other relevant authority). The Optionee also agrees to indemnify and keep indemnified the Company and the Employer (and any successor to the Company and/or the Employer) against any Tax-Related Items that they are required to pay or withhold on or have paid or will pay to HMRC (or any other tax authority or any other relevant authority) on the Optionee’s behalf. </w:t>
      </w:r>
      <w:r>
        <w:rPr>
          <w:rFonts w:ascii="Arial" w:cs="Arial" w:eastAsia="Arial" w:hAnsi="Arial"/>
          <w:sz w:val="17"/>
          <w:szCs w:val="17"/>
          <w:color w:val="auto"/>
        </w:rPr>
        <w:t>F</w:t>
      </w:r>
      <w:r>
        <w:rPr>
          <w:rFonts w:ascii="Arial" w:cs="Arial" w:eastAsia="Arial" w:hAnsi="Arial"/>
          <w:sz w:val="19"/>
          <w:szCs w:val="19"/>
          <w:color w:val="auto"/>
        </w:rPr>
        <w:t>or the purposes of the Option Agreement, Tax-Related Items include (without limitation) employment income tax, employee National Insurance contributions and the employee portion of the Health and Social Care levy.</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Notwithstanding the foregoing, if the Optionee is an executive officer or director (within the meaning of Section 13(k) of the Exchange Act), the Optionee acknowledges that may not be able to indemnify the Company or the Employer for the amount of any income tax not collected from or paid by the Optionee, as it may be considered a loan. In such case, if the amount of any income tax due is not collected from or paid by the Optionee within ninety (90) days of the end of the U.K. tax year in which an event giving rise to the indemnification described above occurs, the amount of any uncollected income tax may constitute an additional benefit to the Optionee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xml:space="preserve"> ”) may be payable. The Optionee will be responsible for reporting and paying any income tax due on this additional benefit directly to HMRC under the self-assessment regime and for paying the Company and/or the Employer (and any successor to the Company and/or the Employer) the value of any employee NICs due on this additional benefit, which the Company and/or the Employer may recover at any time thereafter by any of the means referred to in Paragraph 6 of the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394" w:right="339" w:bottom="1440" w:gutter="0" w:footer="0" w:header="0"/>
        </w:sectPr>
      </w:pPr>
    </w:p>
    <w:bookmarkStart w:id="151" w:name="page152"/>
    <w:bookmarkEnd w:id="151"/>
    <w:p>
      <w:pPr>
        <w:jc w:val="center"/>
        <w:spacing w:after="0" w:line="235" w:lineRule="auto"/>
        <w:rPr>
          <w:sz w:val="20"/>
          <w:szCs w:val="20"/>
          <w:color w:val="auto"/>
        </w:rPr>
      </w:pPr>
      <w:r>
        <w:rPr>
          <w:rFonts w:ascii="Arial" w:cs="Arial" w:eastAsia="Arial" w:hAnsi="Arial"/>
          <w:sz w:val="22"/>
          <w:szCs w:val="22"/>
          <w:b w:val="1"/>
          <w:bCs w:val="1"/>
          <w:color w:val="auto"/>
        </w:rPr>
        <w:t>NICs JOINT ELECTION FOR UK PARTICIPANTS FOR THE GUIDEWIRE SOFTWARE, INC. AMENDED AND RESTATED 2020 STOCK PLAN</w:t>
      </w:r>
    </w:p>
    <w:p>
      <w:pPr>
        <w:spacing w:after="0" w:line="18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(the “Election”)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Note on the Election to Transfer Employer’s NICs</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As a condition of your participation in the Guidewire Software, Inc. Amended and Restated 2020 Stock Plan, you are required to enter into the Election to transfer to you any liability for employer National Insurance contributions (“Employer NICs”) that may arise in connection with your participation in the Plan.</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By accepting your stock option award (the “Award”) (whether by signing the applicable award or by clicking on the “ACCEPT” box as part of the Company’s online acceptance procedures) or by separately accepting the Election (whether in hard copy or by clicking on the “ACCEPT” box), you indicate your acceptance to transfer Employer’s NICs and to be bound by the terms of the Election. You should read this important note and the Election in their entirety before accepting the applicable award agreement and the Election. Please print and keep a copy of the Election for your records.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By entering into the Election:</w:t>
      </w:r>
    </w:p>
    <w:p>
      <w:pPr>
        <w:spacing w:after="0" w:line="206" w:lineRule="exact"/>
        <w:rPr>
          <w:sz w:val="20"/>
          <w:szCs w:val="20"/>
          <w:color w:val="auto"/>
        </w:rPr>
      </w:pPr>
    </w:p>
    <w:p>
      <w:pPr>
        <w:ind w:left="660" w:hanging="328"/>
        <w:spacing w:after="0" w:line="232"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you agree that any Employer’s NICs liability that may arise in connection with your participation in the Plan will be transferred to you;</w:t>
      </w:r>
    </w:p>
    <w:p>
      <w:pPr>
        <w:spacing w:after="0" w:line="185" w:lineRule="exact"/>
        <w:rPr>
          <w:rFonts w:ascii="Arial" w:cs="Arial" w:eastAsia="Arial" w:hAnsi="Arial"/>
          <w:sz w:val="22"/>
          <w:szCs w:val="22"/>
          <w:color w:val="auto"/>
        </w:rPr>
      </w:pPr>
    </w:p>
    <w:p>
      <w:pPr>
        <w:jc w:val="both"/>
        <w:ind w:left="660" w:hanging="328"/>
        <w:spacing w:after="0" w:line="22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you authorise your employer to recover an amount sufficient to cover this liability by such methods as set forth in Paragraph 6 of the Option Agreement including, but not limited to, deductions from your salary or other payments due or the sale of sufficient shares acquired pursuant to your Awards; and</w:t>
      </w:r>
    </w:p>
    <w:p>
      <w:pPr>
        <w:spacing w:after="0" w:line="185" w:lineRule="exact"/>
        <w:rPr>
          <w:rFonts w:ascii="Arial" w:cs="Arial" w:eastAsia="Arial" w:hAnsi="Arial"/>
          <w:sz w:val="22"/>
          <w:szCs w:val="22"/>
          <w:color w:val="auto"/>
        </w:rPr>
      </w:pPr>
    </w:p>
    <w:p>
      <w:pPr>
        <w:jc w:val="both"/>
        <w:ind w:left="660" w:hanging="328"/>
        <w:spacing w:after="0" w:line="268" w:lineRule="auto"/>
        <w:tabs>
          <w:tab w:leader="none" w:pos="65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You understand that by providing your signature or acceptance and thereby enrolling into the Plan, you are agreeing to be bound by the terms of the Joint Election.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39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Joint Election for Transfer of Liability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Employer National Insurance Contributions to Employee</w:t>
      </w:r>
    </w:p>
    <w:p>
      <w:pPr>
        <w:spacing w:after="0" w:line="206" w:lineRule="exact"/>
        <w:rPr>
          <w:sz w:val="20"/>
          <w:szCs w:val="20"/>
          <w:color w:val="auto"/>
        </w:rPr>
      </w:pPr>
    </w:p>
    <w:p>
      <w:pPr>
        <w:ind w:right="1840" w:firstLine="1832"/>
        <w:spacing w:after="0" w:line="435" w:lineRule="auto"/>
        <w:rPr>
          <w:sz w:val="20"/>
          <w:szCs w:val="20"/>
          <w:color w:val="auto"/>
        </w:rPr>
      </w:pPr>
      <w:r>
        <w:rPr>
          <w:rFonts w:ascii="Arial" w:cs="Arial" w:eastAsia="Arial" w:hAnsi="Arial"/>
          <w:sz w:val="22"/>
          <w:szCs w:val="22"/>
          <w:b w:val="1"/>
          <w:bCs w:val="1"/>
          <w:u w:val="single" w:color="auto"/>
          <w:color w:val="auto"/>
        </w:rPr>
        <w:t xml:space="preserve">Election To Transfer the Employer’s National Insurance Liability to the Employee </w:t>
      </w:r>
      <w:r>
        <w:rPr>
          <w:rFonts w:ascii="Arial" w:cs="Arial" w:eastAsia="Arial" w:hAnsi="Arial"/>
          <w:sz w:val="22"/>
          <w:szCs w:val="22"/>
          <w:color w:val="auto"/>
        </w:rPr>
        <w:t>This Election is between:</w:t>
      </w:r>
    </w:p>
    <w:p>
      <w:pPr>
        <w:spacing w:after="0" w:line="1" w:lineRule="exact"/>
        <w:rPr>
          <w:sz w:val="20"/>
          <w:szCs w:val="20"/>
          <w:color w:val="auto"/>
        </w:rPr>
      </w:pPr>
    </w:p>
    <w:p>
      <w:pPr>
        <w:jc w:val="both"/>
        <w:ind w:left="660" w:hanging="652"/>
        <w:spacing w:after="0" w:line="220" w:lineRule="auto"/>
        <w:tabs>
          <w:tab w:leader="none" w:pos="6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individual who has obtained authorised access to this Election (the “</w:t>
      </w:r>
      <w:r>
        <w:rPr>
          <w:rFonts w:ascii="Arial" w:cs="Arial" w:eastAsia="Arial" w:hAnsi="Arial"/>
          <w:sz w:val="22"/>
          <w:szCs w:val="22"/>
          <w:b w:val="1"/>
          <w:bCs w:val="1"/>
          <w:color w:val="auto"/>
        </w:rPr>
        <w:t>Employee</w:t>
      </w:r>
      <w:r>
        <w:rPr>
          <w:rFonts w:ascii="Arial" w:cs="Arial" w:eastAsia="Arial" w:hAnsi="Arial"/>
          <w:sz w:val="22"/>
          <w:szCs w:val="22"/>
          <w:color w:val="auto"/>
        </w:rPr>
        <w:t>”), who is employed by one of the employing companies listed in the attached schedule (the “</w:t>
      </w:r>
      <w:r>
        <w:rPr>
          <w:rFonts w:ascii="Arial" w:cs="Arial" w:eastAsia="Arial" w:hAnsi="Arial"/>
          <w:sz w:val="22"/>
          <w:szCs w:val="22"/>
          <w:b w:val="1"/>
          <w:bCs w:val="1"/>
          <w:color w:val="auto"/>
        </w:rPr>
        <w:t>Employer</w:t>
      </w:r>
      <w:r>
        <w:rPr>
          <w:rFonts w:ascii="Arial" w:cs="Arial" w:eastAsia="Arial" w:hAnsi="Arial"/>
          <w:sz w:val="22"/>
          <w:szCs w:val="22"/>
          <w:color w:val="auto"/>
        </w:rPr>
        <w:t>”) and who is eligible to receive stock options and/or restricted stock units (the “</w:t>
      </w:r>
      <w:r>
        <w:rPr>
          <w:rFonts w:ascii="Arial" w:cs="Arial" w:eastAsia="Arial" w:hAnsi="Arial"/>
          <w:sz w:val="22"/>
          <w:szCs w:val="22"/>
          <w:b w:val="1"/>
          <w:bCs w:val="1"/>
          <w:color w:val="auto"/>
        </w:rPr>
        <w:t>Awards</w:t>
      </w:r>
      <w:r>
        <w:rPr>
          <w:rFonts w:ascii="Arial" w:cs="Arial" w:eastAsia="Arial" w:hAnsi="Arial"/>
          <w:sz w:val="22"/>
          <w:szCs w:val="22"/>
          <w:color w:val="auto"/>
        </w:rPr>
        <w:t>”) pursuant to the Guidewire Software, Inc. Amended and Restated 2020 Stock Plan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660" w:hanging="652"/>
        <w:spacing w:after="0" w:line="223" w:lineRule="auto"/>
        <w:tabs>
          <w:tab w:leader="none" w:pos="6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Guidewire Software, Inc., a Delaware corporation, with registered offices at 2850 S. Delaware Street, Suite 100, San Mateo, CA 94403, U.S.A. (the “</w:t>
      </w:r>
      <w:r>
        <w:rPr>
          <w:rFonts w:ascii="Arial" w:cs="Arial" w:eastAsia="Arial" w:hAnsi="Arial"/>
          <w:sz w:val="22"/>
          <w:szCs w:val="22"/>
          <w:b w:val="1"/>
          <w:bCs w:val="1"/>
          <w:color w:val="auto"/>
        </w:rPr>
        <w:t>Company</w:t>
      </w:r>
      <w:r>
        <w:rPr>
          <w:rFonts w:ascii="Arial" w:cs="Arial" w:eastAsia="Arial" w:hAnsi="Arial"/>
          <w:sz w:val="22"/>
          <w:szCs w:val="22"/>
          <w:color w:val="auto"/>
        </w:rPr>
        <w:t>”), which may grant Awards under the Plan and is entering into this Election on behalf of the Employer.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Introduction</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This Election relates to all Awards granted to the Employee under the Plan up to the termination date of the Plan.</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 this Election the following words and phrases have the following meanings:</w:t>
      </w:r>
    </w:p>
    <w:p>
      <w:pPr>
        <w:spacing w:after="0" w:line="200" w:lineRule="exact"/>
        <w:rPr>
          <w:sz w:val="20"/>
          <w:szCs w:val="20"/>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Chargeable Event</w:t>
      </w:r>
      <w:r>
        <w:rPr>
          <w:rFonts w:ascii="Arial" w:cs="Arial" w:eastAsia="Arial" w:hAnsi="Arial"/>
          <w:sz w:val="22"/>
          <w:szCs w:val="22"/>
          <w:color w:val="auto"/>
        </w:rPr>
        <w:t>” means any event giving rise to Relevant Employment Income.</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ITEPA</w:t>
      </w:r>
      <w:r>
        <w:rPr>
          <w:rFonts w:ascii="Arial" w:cs="Arial" w:eastAsia="Arial" w:hAnsi="Arial"/>
          <w:sz w:val="22"/>
          <w:szCs w:val="22"/>
          <w:color w:val="auto"/>
        </w:rPr>
        <w:t>” means the Income Tax (Earnings and Pensions) Act 2003.</w:t>
      </w:r>
    </w:p>
    <w:p>
      <w:pPr>
        <w:spacing w:after="0" w:line="206" w:lineRule="exact"/>
        <w:rPr>
          <w:rFonts w:ascii="Arial" w:cs="Arial" w:eastAsia="Arial" w:hAnsi="Arial"/>
          <w:sz w:val="22"/>
          <w:szCs w:val="22"/>
          <w:color w:val="auto"/>
        </w:rPr>
      </w:pPr>
    </w:p>
    <w:p>
      <w:pPr>
        <w:ind w:left="980" w:hanging="324"/>
        <w:spacing w:after="0" w:line="235" w:lineRule="auto"/>
        <w:tabs>
          <w:tab w:leader="none" w:pos="97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Employment Income</w:t>
      </w:r>
      <w:r>
        <w:rPr>
          <w:rFonts w:ascii="Arial" w:cs="Arial" w:eastAsia="Arial" w:hAnsi="Arial"/>
          <w:sz w:val="22"/>
          <w:szCs w:val="22"/>
          <w:color w:val="auto"/>
        </w:rPr>
        <w:t>” from Awards on which Employer's National Insurance Contributions becomes due is defined as:</w:t>
      </w:r>
    </w:p>
    <w:p>
      <w:pPr>
        <w:spacing w:after="0" w:line="185" w:lineRule="exact"/>
        <w:rPr>
          <w:rFonts w:ascii="Arial" w:cs="Arial" w:eastAsia="Arial" w:hAnsi="Arial"/>
          <w:sz w:val="22"/>
          <w:szCs w:val="22"/>
          <w:color w:val="auto"/>
        </w:rPr>
      </w:pPr>
    </w:p>
    <w:p>
      <w:pPr>
        <w:ind w:left="1460" w:hanging="318"/>
        <w:spacing w:after="0" w:line="232" w:lineRule="auto"/>
        <w:tabs>
          <w:tab w:leader="none" w:pos="148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426 ITEPA (restricted securities: charge on certain post-acquisition events);</w:t>
      </w:r>
    </w:p>
    <w:p>
      <w:pPr>
        <w:spacing w:after="0" w:line="185" w:lineRule="exact"/>
        <w:rPr>
          <w:rFonts w:ascii="Arial" w:cs="Arial" w:eastAsia="Arial" w:hAnsi="Arial"/>
          <w:sz w:val="22"/>
          <w:szCs w:val="22"/>
          <w:color w:val="auto"/>
        </w:rPr>
      </w:pPr>
    </w:p>
    <w:p>
      <w:pPr>
        <w:ind w:left="1460" w:hanging="318"/>
        <w:spacing w:after="0" w:line="232" w:lineRule="auto"/>
        <w:tabs>
          <w:tab w:leader="none" w:pos="148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438 of ITEPA (convertible securities: charge on certain post-acquisition events); or</w:t>
      </w:r>
    </w:p>
    <w:p>
      <w:pPr>
        <w:spacing w:after="0" w:line="185" w:lineRule="exact"/>
        <w:rPr>
          <w:rFonts w:ascii="Arial" w:cs="Arial" w:eastAsia="Arial" w:hAnsi="Arial"/>
          <w:sz w:val="22"/>
          <w:szCs w:val="22"/>
          <w:color w:val="auto"/>
        </w:rPr>
      </w:pPr>
    </w:p>
    <w:p>
      <w:pPr>
        <w:ind w:left="1460" w:right="20" w:hanging="318"/>
        <w:spacing w:after="0" w:line="232" w:lineRule="auto"/>
        <w:tabs>
          <w:tab w:leader="none" w:pos="148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gain that is treated as remuneration derived from the earner's employment by virtue of section 4(4)(a) SSCBA, including without limitation:</w:t>
      </w:r>
    </w:p>
    <w:p>
      <w:pPr>
        <w:spacing w:after="0" w:line="185" w:lineRule="exact"/>
        <w:rPr>
          <w:rFonts w:ascii="Arial" w:cs="Arial" w:eastAsia="Arial" w:hAnsi="Arial"/>
          <w:sz w:val="22"/>
          <w:szCs w:val="22"/>
          <w:color w:val="auto"/>
        </w:rPr>
      </w:pPr>
    </w:p>
    <w:p>
      <w:pPr>
        <w:ind w:left="1780" w:hanging="314"/>
        <w:spacing w:after="0"/>
        <w:tabs>
          <w:tab w:leader="none" w:pos="1780" w:val="left"/>
        </w:tabs>
        <w:numPr>
          <w:ilvl w:val="2"/>
          <w:numId w:val="105"/>
        </w:numPr>
        <w:rPr>
          <w:rFonts w:ascii="Arial" w:cs="Arial" w:eastAsia="Arial" w:hAnsi="Arial"/>
          <w:sz w:val="19"/>
          <w:szCs w:val="19"/>
          <w:color w:val="auto"/>
        </w:rPr>
      </w:pPr>
      <w:r>
        <w:rPr>
          <w:rFonts w:ascii="Arial" w:cs="Arial" w:eastAsia="Arial" w:hAnsi="Arial"/>
          <w:sz w:val="19"/>
          <w:szCs w:val="19"/>
          <w:color w:val="auto"/>
        </w:rPr>
        <w:t>the acquisition of securities pursuant to the Awards (within the meaning of section 477(3)(a) of ITEPA);</w:t>
      </w:r>
    </w:p>
    <w:p>
      <w:pPr>
        <w:spacing w:after="0" w:line="240" w:lineRule="exact"/>
        <w:rPr>
          <w:rFonts w:ascii="Arial" w:cs="Arial" w:eastAsia="Arial" w:hAnsi="Arial"/>
          <w:sz w:val="19"/>
          <w:szCs w:val="19"/>
          <w:color w:val="auto"/>
        </w:rPr>
      </w:pPr>
    </w:p>
    <w:p>
      <w:pPr>
        <w:ind w:left="1800" w:hanging="334"/>
        <w:spacing w:after="0" w:line="232" w:lineRule="auto"/>
        <w:tabs>
          <w:tab w:leader="none" w:pos="1795"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the assignment (if applicable) or release of the Awards in return for consideration (within the meaning of section 477(3)(b) of ITEPA);</w:t>
      </w:r>
    </w:p>
    <w:p>
      <w:pPr>
        <w:spacing w:after="0" w:line="185" w:lineRule="exact"/>
        <w:rPr>
          <w:rFonts w:ascii="Arial" w:cs="Arial" w:eastAsia="Arial" w:hAnsi="Arial"/>
          <w:sz w:val="22"/>
          <w:szCs w:val="22"/>
          <w:color w:val="auto"/>
        </w:rPr>
      </w:pPr>
    </w:p>
    <w:p>
      <w:pPr>
        <w:ind w:left="1800" w:hanging="334"/>
        <w:spacing w:after="0" w:line="232" w:lineRule="auto"/>
        <w:tabs>
          <w:tab w:leader="none" w:pos="1795"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the receipt of a benefit in connection with the Awards, other than a benefit within (i) or (ii) above (within the meaning of section 477(3)(c) of ITEPA).</w:t>
      </w:r>
    </w:p>
    <w:p>
      <w:pPr>
        <w:spacing w:after="0" w:line="185" w:lineRule="exact"/>
        <w:rPr>
          <w:rFonts w:ascii="Arial" w:cs="Arial" w:eastAsia="Arial" w:hAnsi="Arial"/>
          <w:sz w:val="22"/>
          <w:szCs w:val="22"/>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“SSCBA” means the Social Security Contributions and Benefits Act 1992.</w:t>
      </w:r>
    </w:p>
    <w:p>
      <w:pPr>
        <w:spacing w:after="0" w:line="206" w:lineRule="exact"/>
        <w:rPr>
          <w:sz w:val="20"/>
          <w:szCs w:val="20"/>
          <w:color w:val="auto"/>
        </w:rPr>
      </w:pPr>
    </w:p>
    <w:p>
      <w:pPr>
        <w:ind w:left="660" w:hanging="647"/>
        <w:spacing w:after="0" w:line="232"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This Election relates to the Employer’s secondary Class 1 National Insurance Contributions (the “Employer’s Liability”) which may arise in respect of Relevant</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95" w:right="339" w:bottom="1440" w:gutter="0" w:footer="0" w:header="0"/>
          <w:type w:val="continuous"/>
        </w:sectPr>
      </w:pPr>
    </w:p>
    <w:bookmarkStart w:id="153" w:name="page154"/>
    <w:bookmarkEnd w:id="153"/>
    <w:p>
      <w:pPr>
        <w:ind w:left="660"/>
        <w:spacing w:after="0" w:line="232" w:lineRule="auto"/>
        <w:rPr>
          <w:sz w:val="20"/>
          <w:szCs w:val="20"/>
          <w:color w:val="auto"/>
        </w:rPr>
      </w:pPr>
      <w:r>
        <w:rPr>
          <w:rFonts w:ascii="Arial" w:cs="Arial" w:eastAsia="Arial" w:hAnsi="Arial"/>
          <w:sz w:val="22"/>
          <w:szCs w:val="22"/>
          <w:color w:val="auto"/>
        </w:rPr>
        <w:t>Employment Income in respect of the Awards pursuant to section 4(4)(a) and/or paragraph 3B(1A) of Schedule 1 of the SSCBA.</w:t>
      </w:r>
    </w:p>
    <w:p>
      <w:pPr>
        <w:spacing w:after="0" w:line="186" w:lineRule="exact"/>
        <w:rPr>
          <w:sz w:val="20"/>
          <w:szCs w:val="20"/>
          <w:color w:val="auto"/>
        </w:rPr>
      </w:pPr>
    </w:p>
    <w:p>
      <w:pPr>
        <w:jc w:val="both"/>
        <w:ind w:left="660" w:hanging="647"/>
        <w:spacing w:after="0" w:line="223"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86" w:lineRule="exact"/>
        <w:rPr>
          <w:sz w:val="20"/>
          <w:szCs w:val="20"/>
          <w:color w:val="auto"/>
        </w:rPr>
      </w:pPr>
    </w:p>
    <w:p>
      <w:pPr>
        <w:jc w:val="both"/>
        <w:ind w:left="660" w:hanging="647"/>
        <w:spacing w:after="0" w:line="223"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color w:val="auto"/>
        </w:rPr>
        <w:t>The Election</w:t>
      </w:r>
    </w:p>
    <w:p>
      <w:pPr>
        <w:spacing w:after="0" w:line="212" w:lineRule="exact"/>
        <w:rPr>
          <w:sz w:val="20"/>
          <w:szCs w:val="20"/>
          <w:color w:val="auto"/>
        </w:rPr>
      </w:pPr>
    </w:p>
    <w:p>
      <w:pPr>
        <w:jc w:val="both"/>
        <w:ind w:left="660"/>
        <w:spacing w:after="0" w:line="224" w:lineRule="auto"/>
        <w:rPr>
          <w:sz w:val="20"/>
          <w:szCs w:val="20"/>
          <w:color w:val="auto"/>
        </w:rPr>
      </w:pPr>
      <w:r>
        <w:rPr>
          <w:rFonts w:ascii="Arial" w:cs="Arial" w:eastAsia="Arial" w:hAnsi="Arial"/>
          <w:sz w:val="21"/>
          <w:szCs w:val="21"/>
          <w:color w:val="auto"/>
        </w:rPr>
        <w:t>The Employee and the Company jointly elect that the entire liability of the Employer to pay the Employer’s Liability that arises on any Relevant Employment Income is hereby transferred to the Employee. The Employee understands that, by signing or electronically accepting this Election (including by electronic signature process) or by accepting the Awards (including by electronic signature or acceptance process if made available by the Company), as applicable, he or she will become personally liable for the Employer’s Liability covered by this Election. This Election is made in accordance with paragraph 3B(1) of Schedule 1 of the SSCBA.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color w:val="auto"/>
        </w:rPr>
        <w:t>Payment of the Employer’s Liability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Employee hereby authorises the Company and/or the Employer to collect the Employer’s Liability in respect of any</w:t>
      </w:r>
    </w:p>
    <w:p>
      <w:pPr>
        <w:ind w:left="660"/>
        <w:spacing w:after="0"/>
        <w:rPr>
          <w:sz w:val="20"/>
          <w:szCs w:val="20"/>
          <w:color w:val="auto"/>
        </w:rPr>
      </w:pPr>
      <w:r>
        <w:rPr>
          <w:rFonts w:ascii="Arial" w:cs="Arial" w:eastAsia="Arial" w:hAnsi="Arial"/>
          <w:sz w:val="22"/>
          <w:szCs w:val="22"/>
          <w:color w:val="auto"/>
        </w:rPr>
        <w:t>Relevant Employment Income from the Employee at any time after the Chargeable Event:</w:t>
      </w:r>
    </w:p>
    <w:p>
      <w:pPr>
        <w:spacing w:after="0" w:line="188" w:lineRule="exact"/>
        <w:rPr>
          <w:sz w:val="20"/>
          <w:szCs w:val="20"/>
          <w:color w:val="auto"/>
        </w:rPr>
      </w:pPr>
    </w:p>
    <w:p>
      <w:pPr>
        <w:ind w:left="980" w:hanging="324"/>
        <w:spacing w:after="0" w:line="232" w:lineRule="auto"/>
        <w:tabs>
          <w:tab w:leader="none" w:pos="97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Chargeable Event; and/or</w:t>
      </w:r>
    </w:p>
    <w:p>
      <w:pPr>
        <w:spacing w:after="0" w:line="185" w:lineRule="exact"/>
        <w:rPr>
          <w:rFonts w:ascii="Arial" w:cs="Arial" w:eastAsia="Arial" w:hAnsi="Arial"/>
          <w:sz w:val="22"/>
          <w:szCs w:val="22"/>
          <w:color w:val="auto"/>
        </w:rPr>
      </w:pPr>
    </w:p>
    <w:p>
      <w:pPr>
        <w:ind w:left="980" w:hanging="324"/>
        <w:spacing w:after="0"/>
        <w:tabs>
          <w:tab w:leader="none" w:pos="98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06" w:lineRule="exact"/>
        <w:rPr>
          <w:rFonts w:ascii="Arial" w:cs="Arial" w:eastAsia="Arial" w:hAnsi="Arial"/>
          <w:sz w:val="22"/>
          <w:szCs w:val="22"/>
          <w:color w:val="auto"/>
        </w:rPr>
      </w:pPr>
    </w:p>
    <w:p>
      <w:pPr>
        <w:jc w:val="both"/>
        <w:ind w:left="980" w:hanging="324"/>
        <w:spacing w:after="0" w:line="223" w:lineRule="auto"/>
        <w:tabs>
          <w:tab w:leader="none" w:pos="97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by arranging, on behalf of the Employee, for the sale of some of the securities which the Employee is entitled to receive in respect of the Awards, the proceeds from which must be delivered to the Employer in sufficient time for payment to be made to HM Revenue &amp; Customs (“HMRC”) by the due date; and/or</w:t>
      </w:r>
    </w:p>
    <w:p>
      <w:pPr>
        <w:spacing w:after="0" w:line="185" w:lineRule="exact"/>
        <w:rPr>
          <w:rFonts w:ascii="Arial" w:cs="Arial" w:eastAsia="Arial" w:hAnsi="Arial"/>
          <w:sz w:val="22"/>
          <w:szCs w:val="22"/>
          <w:color w:val="auto"/>
        </w:rPr>
      </w:pPr>
    </w:p>
    <w:p>
      <w:pPr>
        <w:ind w:left="980" w:right="20" w:hanging="324"/>
        <w:spacing w:after="0" w:line="232" w:lineRule="auto"/>
        <w:tabs>
          <w:tab w:leader="none" w:pos="97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by any other means specified in the applicable Award agreement entered into between the Employee and the Company.</w:t>
      </w:r>
    </w:p>
    <w:p>
      <w:pPr>
        <w:spacing w:after="0" w:line="185" w:lineRule="exact"/>
        <w:rPr>
          <w:rFonts w:ascii="Arial" w:cs="Arial" w:eastAsia="Arial" w:hAnsi="Arial"/>
          <w:sz w:val="22"/>
          <w:szCs w:val="22"/>
          <w:color w:val="auto"/>
        </w:rPr>
      </w:pPr>
    </w:p>
    <w:p>
      <w:pPr>
        <w:ind w:left="660" w:hanging="652"/>
        <w:spacing w:after="0" w:line="232" w:lineRule="auto"/>
        <w:tabs>
          <w:tab w:leader="none" w:pos="20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186" w:lineRule="exact"/>
        <w:rPr>
          <w:sz w:val="20"/>
          <w:szCs w:val="20"/>
          <w:color w:val="auto"/>
        </w:rPr>
      </w:pPr>
    </w:p>
    <w:p>
      <w:pPr>
        <w:ind w:left="660" w:hanging="652"/>
        <w:spacing w:after="0" w:line="268" w:lineRule="auto"/>
        <w:tabs>
          <w:tab w:leader="none" w:pos="18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color w:val="auto"/>
        </w:rPr>
        <w:t>Duration of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1" w:right="339" w:bottom="1440" w:gutter="0" w:footer="0" w:header="0"/>
        </w:sectPr>
      </w:pPr>
    </w:p>
    <w:bookmarkStart w:id="154" w:name="page155"/>
    <w:bookmarkEnd w:id="154"/>
    <w:p>
      <w:pPr>
        <w:jc w:val="both"/>
        <w:ind w:left="560" w:right="20" w:hanging="647"/>
        <w:spacing w:after="0" w:line="298" w:lineRule="auto"/>
        <w:tabs>
          <w:tab w:leader="none" w:pos="5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2" w:lineRule="exact"/>
        <w:rPr>
          <w:sz w:val="20"/>
          <w:szCs w:val="20"/>
          <w:color w:val="auto"/>
        </w:rPr>
      </w:pPr>
    </w:p>
    <w:p>
      <w:pPr>
        <w:jc w:val="both"/>
        <w:ind w:left="540" w:hanging="647"/>
        <w:spacing w:after="0" w:line="234" w:lineRule="auto"/>
        <w:tabs>
          <w:tab w:leader="none" w:pos="5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This Election will continue in effect until the earliest of the following:</w:t>
      </w:r>
    </w:p>
    <w:p>
      <w:pPr>
        <w:spacing w:after="0" w:line="206"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date on which the Employee and the Company agree in writing that it should cease to have effect;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date on which the Company serves written notice on the Employee terminating its effect;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date on which HMRC withdraws approval of this Election; or</w:t>
      </w:r>
    </w:p>
    <w:p>
      <w:pPr>
        <w:spacing w:after="0" w:line="206" w:lineRule="exact"/>
        <w:rPr>
          <w:rFonts w:ascii="Arial" w:cs="Arial" w:eastAsia="Arial" w:hAnsi="Arial"/>
          <w:sz w:val="22"/>
          <w:szCs w:val="22"/>
          <w:color w:val="auto"/>
        </w:rPr>
      </w:pPr>
    </w:p>
    <w:p>
      <w:pPr>
        <w:ind w:left="980" w:right="20" w:hanging="324"/>
        <w:spacing w:after="0" w:line="247" w:lineRule="auto"/>
        <w:tabs>
          <w:tab w:leader="none" w:pos="97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178" w:lineRule="exact"/>
        <w:rPr>
          <w:sz w:val="20"/>
          <w:szCs w:val="20"/>
          <w:color w:val="auto"/>
        </w:rPr>
      </w:pPr>
    </w:p>
    <w:p>
      <w:pPr>
        <w:ind w:right="740"/>
        <w:spacing w:after="0" w:line="432" w:lineRule="auto"/>
        <w:rPr>
          <w:sz w:val="20"/>
          <w:szCs w:val="20"/>
          <w:color w:val="auto"/>
        </w:rPr>
      </w:pPr>
      <w:r>
        <w:rPr>
          <w:rFonts w:ascii="Arial" w:cs="Arial" w:eastAsia="Arial" w:hAnsi="Arial"/>
          <w:sz w:val="22"/>
          <w:szCs w:val="22"/>
          <w:color w:val="auto"/>
        </w:rPr>
        <w:t xml:space="preserve">4.4 This Election will continue in force regardless of whether the Employee ceases to be an employee of the Employer. </w:t>
      </w:r>
      <w:r>
        <w:rPr>
          <w:rFonts w:ascii="Arial" w:cs="Arial" w:eastAsia="Arial" w:hAnsi="Arial"/>
          <w:sz w:val="22"/>
          <w:szCs w:val="22"/>
          <w:b w:val="1"/>
          <w:bCs w:val="1"/>
          <w:u w:val="single" w:color="auto"/>
          <w:color w:val="auto"/>
        </w:rPr>
        <w:t>Acceptance by the Employee</w:t>
      </w:r>
    </w:p>
    <w:p>
      <w:pPr>
        <w:spacing w:after="0" w:line="1" w:lineRule="exact"/>
        <w:rPr>
          <w:sz w:val="20"/>
          <w:szCs w:val="20"/>
          <w:color w:val="auto"/>
        </w:rPr>
      </w:pPr>
    </w:p>
    <w:p>
      <w:pPr>
        <w:jc w:val="both"/>
        <w:ind w:right="300"/>
        <w:spacing w:after="0" w:line="225" w:lineRule="auto"/>
        <w:rPr>
          <w:sz w:val="20"/>
          <w:szCs w:val="20"/>
          <w:color w:val="auto"/>
        </w:rPr>
      </w:pPr>
      <w:r>
        <w:rPr>
          <w:rFonts w:ascii="Arial" w:cs="Arial" w:eastAsia="Arial" w:hAnsi="Arial"/>
          <w:sz w:val="22"/>
          <w:szCs w:val="22"/>
          <w:b w:val="1"/>
          <w:bCs w:val="1"/>
          <w:color w:val="auto"/>
        </w:rPr>
        <w:t>The Employee acknowledges that, by electronically accepting or signing this Election (including by electronic signature process) or by accepting the Awards (including by electronic signature process if made available by the Company), the Employee agrees to be bound by the terms of this Election.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rPr>
          <w:sz w:val="20"/>
          <w:szCs w:val="20"/>
          <w:color w:val="auto"/>
        </w:rPr>
      </w:pPr>
      <w:r>
        <w:rPr>
          <w:rFonts w:ascii="Arial" w:cs="Arial" w:eastAsia="Arial" w:hAnsi="Arial"/>
          <w:sz w:val="22"/>
          <w:szCs w:val="22"/>
          <w:color w:val="auto"/>
        </w:rPr>
        <w:t>Signature (Employee) Date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Company</w:t>
      </w:r>
    </w:p>
    <w:p>
      <w:pPr>
        <w:spacing w:after="0" w:line="206" w:lineRule="exact"/>
        <w:rPr>
          <w:sz w:val="20"/>
          <w:szCs w:val="20"/>
          <w:color w:val="auto"/>
        </w:rPr>
      </w:pPr>
    </w:p>
    <w:p>
      <w:pPr>
        <w:ind w:right="60"/>
        <w:spacing w:after="0" w:line="225" w:lineRule="auto"/>
        <w:rPr>
          <w:sz w:val="20"/>
          <w:szCs w:val="20"/>
          <w:color w:val="auto"/>
        </w:rPr>
      </w:pPr>
      <w:r>
        <w:rPr>
          <w:rFonts w:ascii="Arial" w:cs="Arial" w:eastAsia="Arial" w:hAnsi="Arial"/>
          <w:sz w:val="22"/>
          <w:szCs w:val="22"/>
          <w:b w:val="1"/>
          <w:bCs w:val="1"/>
          <w:color w:val="auto"/>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gridSpan w:val="2"/>
          </w:tcPr>
          <w:p>
            <w:pPr>
              <w:spacing w:after="0"/>
              <w:rPr>
                <w:sz w:val="20"/>
                <w:szCs w:val="20"/>
                <w:color w:val="auto"/>
              </w:rPr>
            </w:pPr>
            <w:r>
              <w:rPr>
                <w:rFonts w:ascii="Arial" w:cs="Arial" w:eastAsia="Arial" w:hAnsi="Arial"/>
                <w:sz w:val="22"/>
                <w:szCs w:val="22"/>
                <w:color w:val="auto"/>
              </w:rPr>
              <w:t>Signature for and on</w:t>
            </w:r>
          </w:p>
        </w:tc>
        <w:tc>
          <w:tcPr>
            <w:tcW w:w="2380" w:type="dxa"/>
            <w:vAlign w:val="bottom"/>
            <w:vMerge w:val="restart"/>
          </w:tcPr>
          <w:p>
            <w:pPr>
              <w:jc w:val="right"/>
              <w:spacing w:after="0"/>
              <w:rPr>
                <w:sz w:val="20"/>
                <w:szCs w:val="20"/>
                <w:color w:val="auto"/>
              </w:rPr>
            </w:pPr>
            <w:r>
              <w:rPr>
                <w:rFonts w:ascii="Arial" w:cs="Arial" w:eastAsia="Arial" w:hAnsi="Arial"/>
                <w:sz w:val="22"/>
                <w:szCs w:val="22"/>
                <w:color w:val="auto"/>
                <w:w w:val="96"/>
              </w:rPr>
              <w:t>____________________</w:t>
            </w:r>
          </w:p>
        </w:tc>
        <w:tc>
          <w:tcPr>
            <w:tcW w:w="0" w:type="dxa"/>
            <w:vAlign w:val="bottom"/>
          </w:tcPr>
          <w:p>
            <w:pPr>
              <w:spacing w:after="0"/>
              <w:rPr>
                <w:sz w:val="1"/>
                <w:szCs w:val="1"/>
                <w:color w:val="auto"/>
              </w:rPr>
            </w:pPr>
          </w:p>
        </w:tc>
      </w:tr>
      <w:tr>
        <w:trPr>
          <w:trHeight w:val="274"/>
        </w:trPr>
        <w:tc>
          <w:tcPr>
            <w:tcW w:w="2200" w:type="dxa"/>
            <w:vAlign w:val="bottom"/>
            <w:gridSpan w:val="2"/>
          </w:tcPr>
          <w:p>
            <w:pPr>
              <w:spacing w:after="0"/>
              <w:rPr>
                <w:sz w:val="20"/>
                <w:szCs w:val="20"/>
                <w:color w:val="auto"/>
              </w:rPr>
            </w:pPr>
            <w:r>
              <w:rPr>
                <w:rFonts w:ascii="Arial" w:cs="Arial" w:eastAsia="Arial" w:hAnsi="Arial"/>
                <w:sz w:val="22"/>
                <w:szCs w:val="22"/>
                <w:color w:val="auto"/>
                <w:w w:val="98"/>
              </w:rPr>
              <w:t>behalf of the Company</w:t>
            </w:r>
          </w:p>
        </w:tc>
        <w:tc>
          <w:tcPr>
            <w:tcW w:w="2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0"/>
                <w:szCs w:val="20"/>
                <w:color w:val="auto"/>
              </w:rPr>
            </w:pPr>
            <w:r>
              <w:rPr>
                <w:rFonts w:ascii="Arial" w:cs="Arial" w:eastAsia="Arial" w:hAnsi="Arial"/>
                <w:sz w:val="22"/>
                <w:szCs w:val="22"/>
                <w:color w:val="auto"/>
                <w:w w:val="97"/>
              </w:rPr>
              <w:t>Position</w:t>
            </w:r>
          </w:p>
        </w:tc>
        <w:tc>
          <w:tcPr>
            <w:tcW w:w="3800" w:type="dxa"/>
            <w:vAlign w:val="bottom"/>
            <w:gridSpan w:val="2"/>
          </w:tcPr>
          <w:p>
            <w:pPr>
              <w:jc w:val="right"/>
              <w:ind w:right="1172"/>
              <w:spacing w:after="0"/>
              <w:rPr>
                <w:sz w:val="20"/>
                <w:szCs w:val="20"/>
                <w:color w:val="auto"/>
              </w:rPr>
            </w:pPr>
            <w:r>
              <w:rPr>
                <w:rFonts w:ascii="Arial" w:cs="Arial" w:eastAsia="Arial" w:hAnsi="Arial"/>
                <w:sz w:val="22"/>
                <w:szCs w:val="22"/>
                <w:color w:val="auto"/>
              </w:rPr>
              <w:t>____________________</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0"/>
                <w:szCs w:val="20"/>
                <w:color w:val="auto"/>
              </w:rPr>
            </w:pPr>
            <w:r>
              <w:rPr>
                <w:rFonts w:ascii="Arial" w:cs="Arial" w:eastAsia="Arial" w:hAnsi="Arial"/>
                <w:sz w:val="22"/>
                <w:szCs w:val="22"/>
                <w:color w:val="auto"/>
              </w:rPr>
              <w:t>Date</w:t>
            </w:r>
          </w:p>
        </w:tc>
        <w:tc>
          <w:tcPr>
            <w:tcW w:w="3800" w:type="dxa"/>
            <w:vAlign w:val="bottom"/>
            <w:gridSpan w:val="2"/>
          </w:tcPr>
          <w:p>
            <w:pPr>
              <w:jc w:val="right"/>
              <w:ind w:right="1472"/>
              <w:spacing w:after="0"/>
              <w:rPr>
                <w:sz w:val="20"/>
                <w:szCs w:val="20"/>
                <w:color w:val="auto"/>
              </w:rPr>
            </w:pPr>
            <w:r>
              <w:rPr>
                <w:rFonts w:ascii="Arial" w:cs="Arial" w:eastAsia="Arial" w:hAnsi="Arial"/>
                <w:sz w:val="22"/>
                <w:szCs w:val="22"/>
                <w:color w:val="auto"/>
                <w:w w:val="89"/>
              </w:rPr>
              <w:t>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155" w:name="page156"/>
    <w:bookmarkEnd w:id="155"/>
    <w:tbl>
      <w:tblPr>
        <w:tblLayout w:type="fixed"/>
        <w:tblInd w:w="10" w:type="dxa"/>
        <w:tblCellMar>
          <w:top w:w="0" w:type="dxa"/>
          <w:left w:w="0" w:type="dxa"/>
          <w:bottom w:w="0" w:type="dxa"/>
          <w:right w:w="0" w:type="dxa"/>
        </w:tblCellMar>
      </w:tblPr>
      <w:tr>
        <w:trPr>
          <w:trHeight w:val="280"/>
        </w:trPr>
        <w:tc>
          <w:tcPr>
            <w:tcW w:w="3940" w:type="dxa"/>
            <w:vAlign w:val="bottom"/>
          </w:tcPr>
          <w:p>
            <w:pPr>
              <w:spacing w:after="0"/>
              <w:rPr>
                <w:sz w:val="24"/>
                <w:szCs w:val="24"/>
                <w:color w:val="auto"/>
              </w:rPr>
            </w:pPr>
          </w:p>
        </w:tc>
        <w:tc>
          <w:tcPr>
            <w:tcW w:w="7320" w:type="dxa"/>
            <w:vAlign w:val="bottom"/>
          </w:tcPr>
          <w:p>
            <w:pPr>
              <w:ind w:left="120"/>
              <w:spacing w:after="0"/>
              <w:rPr>
                <w:sz w:val="20"/>
                <w:szCs w:val="20"/>
                <w:color w:val="auto"/>
              </w:rPr>
            </w:pPr>
            <w:r>
              <w:rPr>
                <w:rFonts w:ascii="Arial" w:cs="Arial" w:eastAsia="Arial" w:hAnsi="Arial"/>
                <w:sz w:val="22"/>
                <w:szCs w:val="22"/>
                <w:b w:val="1"/>
                <w:bCs w:val="1"/>
                <w:color w:val="auto"/>
              </w:rPr>
              <w:t>Schedule of Employer Companies</w:t>
            </w:r>
          </w:p>
        </w:tc>
      </w:tr>
      <w:tr>
        <w:trPr>
          <w:trHeight w:val="459"/>
        </w:trPr>
        <w:tc>
          <w:tcPr>
            <w:tcW w:w="11260" w:type="dxa"/>
            <w:vAlign w:val="bottom"/>
            <w:gridSpan w:val="2"/>
          </w:tcPr>
          <w:p>
            <w:pPr>
              <w:spacing w:after="0"/>
              <w:rPr>
                <w:sz w:val="20"/>
                <w:szCs w:val="20"/>
                <w:color w:val="auto"/>
              </w:rPr>
            </w:pPr>
            <w:r>
              <w:rPr>
                <w:rFonts w:ascii="Arial" w:cs="Arial" w:eastAsia="Arial" w:hAnsi="Arial"/>
                <w:sz w:val="22"/>
                <w:szCs w:val="22"/>
                <w:color w:val="auto"/>
              </w:rPr>
              <w:t>The employing companies to which this Election relates include:</w:t>
            </w:r>
          </w:p>
        </w:tc>
      </w:tr>
      <w:tr>
        <w:trPr>
          <w:trHeight w:val="247"/>
        </w:trPr>
        <w:tc>
          <w:tcPr>
            <w:tcW w:w="3940" w:type="dxa"/>
            <w:vAlign w:val="bottom"/>
            <w:tcBorders>
              <w:bottom w:val="single" w:sz="8" w:color="auto"/>
            </w:tcBorders>
          </w:tcPr>
          <w:p>
            <w:pPr>
              <w:spacing w:after="0"/>
              <w:rPr>
                <w:sz w:val="21"/>
                <w:szCs w:val="21"/>
                <w:color w:val="auto"/>
              </w:rPr>
            </w:pPr>
          </w:p>
        </w:tc>
        <w:tc>
          <w:tcPr>
            <w:tcW w:w="7320" w:type="dxa"/>
            <w:vAlign w:val="bottom"/>
            <w:tcBorders>
              <w:bottom w:val="single" w:sz="8" w:color="auto"/>
            </w:tcBorders>
          </w:tcPr>
          <w:p>
            <w:pPr>
              <w:spacing w:after="0"/>
              <w:rPr>
                <w:sz w:val="21"/>
                <w:szCs w:val="21"/>
                <w:color w:val="auto"/>
              </w:rPr>
            </w:pPr>
          </w:p>
        </w:tc>
      </w:tr>
      <w:tr>
        <w:trPr>
          <w:trHeight w:val="263"/>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Name</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Guidewire Software (UK) Ltd</w:t>
            </w:r>
            <w:r>
              <w:rPr>
                <w:rFonts w:ascii="Arial" w:cs="Arial" w:eastAsia="Arial" w:hAnsi="Arial"/>
                <w:sz w:val="22"/>
                <w:szCs w:val="22"/>
                <w:color w:val="auto"/>
              </w:rPr>
              <w:t>.</w:t>
            </w:r>
          </w:p>
        </w:tc>
      </w:tr>
      <w:tr>
        <w:trPr>
          <w:trHeight w:val="202"/>
        </w:trPr>
        <w:tc>
          <w:tcPr>
            <w:tcW w:w="39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color w:val="auto"/>
              </w:rPr>
              <w:t>Registered Office:</w:t>
            </w:r>
          </w:p>
        </w:tc>
        <w:tc>
          <w:tcPr>
            <w:tcW w:w="73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22"/>
                <w:szCs w:val="22"/>
                <w:color w:val="auto"/>
              </w:rPr>
              <w:t>4th Floor, 9 Cloak Lane</w:t>
            </w:r>
          </w:p>
        </w:tc>
      </w:tr>
      <w:tr>
        <w:trPr>
          <w:trHeight w:val="276"/>
        </w:trPr>
        <w:tc>
          <w:tcPr>
            <w:tcW w:w="3940" w:type="dxa"/>
            <w:vAlign w:val="bottom"/>
            <w:tcBorders>
              <w:left w:val="single" w:sz="8" w:color="auto"/>
              <w:bottom w:val="single" w:sz="8" w:color="auto"/>
              <w:right w:val="single" w:sz="8" w:color="auto"/>
            </w:tcBorders>
          </w:tcPr>
          <w:p>
            <w:pPr>
              <w:spacing w:after="0"/>
              <w:rPr>
                <w:sz w:val="24"/>
                <w:szCs w:val="24"/>
                <w:color w:val="auto"/>
              </w:rPr>
            </w:pP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London EC4R 2RU, U.K.</w:t>
            </w:r>
          </w:p>
        </w:tc>
      </w:tr>
      <w:tr>
        <w:trPr>
          <w:trHeight w:val="265"/>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Company Registration Number:</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05427894</w:t>
            </w:r>
          </w:p>
        </w:tc>
      </w:tr>
      <w:tr>
        <w:trPr>
          <w:trHeight w:val="263"/>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Corporation Tax Reference:</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18293 29999</w:t>
            </w:r>
          </w:p>
        </w:tc>
      </w:tr>
      <w:tr>
        <w:trPr>
          <w:trHeight w:val="263"/>
        </w:trPr>
        <w:tc>
          <w:tcPr>
            <w:tcW w:w="39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PAYE Reference:</w:t>
            </w:r>
          </w:p>
        </w:tc>
        <w:tc>
          <w:tcPr>
            <w:tcW w:w="7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951 / BZ75816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60"/>
          </w:cols>
          <w:pgMar w:left="320" w:top="1395" w:right="319" w:bottom="1440" w:gutter="0" w:footer="0" w:header="0"/>
        </w:sectPr>
      </w:pPr>
    </w:p>
    <w:bookmarkStart w:id="156" w:name="page157"/>
    <w:bookmarkEnd w:id="156"/>
    <w:p>
      <w:pPr>
        <w:ind w:left="2740"/>
        <w:spacing w:after="0"/>
        <w:rPr>
          <w:sz w:val="20"/>
          <w:szCs w:val="20"/>
          <w:color w:val="auto"/>
        </w:rPr>
      </w:pPr>
      <w:r>
        <w:rPr>
          <w:rFonts w:ascii="Arial" w:cs="Arial" w:eastAsia="Arial" w:hAnsi="Arial"/>
          <w:sz w:val="25"/>
          <w:szCs w:val="25"/>
          <w:b w:val="1"/>
          <w:bCs w:val="1"/>
          <w:color w:val="auto"/>
        </w:rPr>
        <w:t>NON-QUALIFIED STOCK OPTION AGREEMENT</w:t>
      </w:r>
    </w:p>
    <w:p>
      <w:pPr>
        <w:ind w:left="4180"/>
        <w:spacing w:after="0" w:line="202" w:lineRule="auto"/>
        <w:rPr>
          <w:sz w:val="20"/>
          <w:szCs w:val="20"/>
          <w:color w:val="auto"/>
        </w:rPr>
      </w:pPr>
      <w:r>
        <w:rPr>
          <w:rFonts w:ascii="Arial" w:cs="Arial" w:eastAsia="Arial" w:hAnsi="Arial"/>
          <w:sz w:val="25"/>
          <w:szCs w:val="25"/>
          <w:b w:val="1"/>
          <w:bCs w:val="1"/>
          <w:color w:val="auto"/>
        </w:rPr>
        <w:t>FOR NON-EMPLOYEES</w:t>
      </w:r>
    </w:p>
    <w:p>
      <w:pPr>
        <w:jc w:val="center"/>
        <w:ind w:right="-19"/>
        <w:spacing w:after="0" w:line="215" w:lineRule="auto"/>
        <w:rPr>
          <w:sz w:val="20"/>
          <w:szCs w:val="20"/>
          <w:color w:val="auto"/>
        </w:rPr>
      </w:pPr>
      <w:r>
        <w:rPr>
          <w:rFonts w:ascii="Arial" w:cs="Arial" w:eastAsia="Arial" w:hAnsi="Arial"/>
          <w:sz w:val="25"/>
          <w:szCs w:val="25"/>
          <w:b w:val="1"/>
          <w:bCs w:val="1"/>
          <w:color w:val="auto"/>
        </w:rPr>
        <w:t>UNDER THE GUIDEWIRE SOFTWARE, INC.</w:t>
      </w:r>
    </w:p>
    <w:p>
      <w:pPr>
        <w:jc w:val="center"/>
        <w:ind w:right="-19"/>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-17780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-17780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2" w:lineRule="exact"/>
        <w:rPr>
          <w:sz w:val="20"/>
          <w:szCs w:val="20"/>
          <w:color w:val="auto"/>
        </w:rPr>
      </w:pPr>
    </w:p>
    <w:p>
      <w:pPr>
        <w:spacing w:after="0"/>
        <w:tabs>
          <w:tab w:leader="none" w:pos="3040" w:val="left"/>
        </w:tabs>
        <w:rPr>
          <w:sz w:val="20"/>
          <w:szCs w:val="20"/>
          <w:color w:val="auto"/>
        </w:rPr>
      </w:pPr>
      <w:r>
        <w:rPr>
          <w:rFonts w:ascii="Arial" w:cs="Arial" w:eastAsia="Arial" w:hAnsi="Arial"/>
          <w:sz w:val="21"/>
          <w:szCs w:val="21"/>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-5715</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b w:val="1"/>
          <w:bCs w:val="1"/>
          <w:color w:val="auto"/>
        </w:rPr>
        <w:t>[FMV on Grant Date]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-17780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-5715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b w:val="1"/>
          <w:bCs w:val="1"/>
          <w:color w:val="auto"/>
        </w:rPr>
        <w:t>[No more than 10 years]</w:t>
      </w:r>
    </w:p>
    <w:p>
      <w:pPr>
        <w:spacing w:after="0" w:line="377"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Pursuant to the Guidewire Software, Inc. Amended and Restated 2020 Stock Plan as amended through the date hereof (the “Plan”), Guidewire Software, Inc. (the “Company”) hereby grants to the Optionee named above, who is not an employee of the Company,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52" w:lineRule="exact"/>
        <w:rPr>
          <w:sz w:val="20"/>
          <w:szCs w:val="20"/>
          <w:color w:val="auto"/>
        </w:rPr>
      </w:pPr>
    </w:p>
    <w:p>
      <w:pPr>
        <w:ind w:right="40" w:firstLine="648"/>
        <w:spacing w:after="0" w:line="217"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Exercisability Schedule</w:t>
      </w:r>
      <w:r>
        <w:rPr>
          <w:rFonts w:ascii="Arial" w:cs="Arial" w:eastAsia="Arial" w:hAnsi="Arial"/>
          <w:sz w:val="21"/>
          <w:szCs w:val="21"/>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in circumstances involving the Optionee’s death or disability [and to any Company leave of absence policy in effect]</w:t>
      </w:r>
      <w:r>
        <w:rPr>
          <w:rFonts w:ascii="Arial" w:cs="Arial" w:eastAsia="Arial" w:hAnsi="Arial"/>
          <w:sz w:val="27"/>
          <w:szCs w:val="27"/>
          <w:color w:val="auto"/>
          <w:vertAlign w:val="superscript"/>
        </w:rPr>
        <w:t>27</w:t>
      </w:r>
      <w:r>
        <w:rPr>
          <w:rFonts w:ascii="Arial" w:cs="Arial" w:eastAsia="Arial" w:hAnsi="Arial"/>
          <w:sz w:val="21"/>
          <w:szCs w:val="21"/>
          <w:color w:val="auto"/>
        </w:rPr>
        <w:t>, this Stock Option shall be exercisable with respect to the following number of Option Shares on the dates indicated so long as the Optionee remains [in service as a member of the Board]</w:t>
      </w:r>
      <w:r>
        <w:rPr>
          <w:rFonts w:ascii="Arial" w:cs="Arial" w:eastAsia="Arial" w:hAnsi="Arial"/>
          <w:sz w:val="27"/>
          <w:szCs w:val="27"/>
          <w:color w:val="auto"/>
          <w:vertAlign w:val="superscript"/>
        </w:rPr>
        <w:t>28</w:t>
      </w:r>
      <w:r>
        <w:rPr>
          <w:rFonts w:ascii="Arial" w:cs="Arial" w:eastAsia="Arial" w:hAnsi="Arial"/>
          <w:sz w:val="21"/>
          <w:szCs w:val="21"/>
          <w:color w:val="auto"/>
        </w:rPr>
        <w:t xml:space="preserve"> [in a Service Relationship with the Company or a Subsidiary]</w:t>
      </w:r>
      <w:r>
        <w:rPr>
          <w:rFonts w:ascii="Arial" w:cs="Arial" w:eastAsia="Arial" w:hAnsi="Arial"/>
          <w:sz w:val="27"/>
          <w:szCs w:val="27"/>
          <w:color w:val="auto"/>
          <w:vertAlign w:val="superscript"/>
        </w:rPr>
        <w:t>29</w:t>
      </w:r>
      <w:r>
        <w:rPr>
          <w:rFonts w:ascii="Arial" w:cs="Arial" w:eastAsia="Arial" w:hAnsi="Arial"/>
          <w:sz w:val="21"/>
          <w:szCs w:val="21"/>
          <w:color w:val="auto"/>
        </w:rPr>
        <w:t xml:space="preserve">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714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3" w:lineRule="exact"/>
        <w:rPr>
          <w:sz w:val="20"/>
          <w:szCs w:val="20"/>
          <w:color w:val="auto"/>
        </w:rPr>
      </w:pPr>
    </w:p>
    <w:p>
      <w:pPr>
        <w:ind w:left="560" w:hanging="163"/>
        <w:spacing w:after="0"/>
        <w:tabs>
          <w:tab w:leader="none" w:pos="560" w:val="left"/>
        </w:tabs>
        <w:numPr>
          <w:ilvl w:val="0"/>
          <w:numId w:val="110"/>
        </w:numPr>
        <w:rPr>
          <w:rFonts w:ascii="Arial" w:cs="Arial" w:eastAsia="Arial" w:hAnsi="Arial"/>
          <w:sz w:val="22"/>
          <w:szCs w:val="22"/>
          <w:color w:val="auto"/>
          <w:vertAlign w:val="superscript"/>
        </w:rPr>
      </w:pPr>
      <w:r>
        <w:rPr>
          <w:rFonts w:ascii="Arial" w:cs="Arial" w:eastAsia="Arial" w:hAnsi="Arial"/>
          <w:sz w:val="17"/>
          <w:szCs w:val="17"/>
          <w:color w:val="auto"/>
        </w:rPr>
        <w:t>Include if LOA policy is in effect.</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0"/>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0"/>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ectPr>
          <w:pgSz w:w="11900" w:h="16838" w:orient="portrait"/>
          <w:cols w:equalWidth="0" w:num="1">
            <w:col w:w="11240"/>
          </w:cols>
          <w:pgMar w:left="320" w:top="1383" w:right="339" w:bottom="1440" w:gutter="0" w:footer="0" w:header="0"/>
        </w:sectPr>
      </w:pPr>
    </w:p>
    <w:bookmarkStart w:id="157" w:name="page158"/>
    <w:bookmarkEnd w:id="157"/>
    <w:p>
      <w:pPr>
        <w:jc w:val="center"/>
        <w:ind w:right="4640"/>
        <w:spacing w:after="0"/>
        <w:rPr>
          <w:sz w:val="20"/>
          <w:szCs w:val="20"/>
          <w:color w:val="auto"/>
        </w:rPr>
      </w:pPr>
      <w:r>
        <w:rPr>
          <w:rFonts w:ascii="Arial" w:cs="Arial" w:eastAsia="Arial" w:hAnsi="Arial"/>
          <w:sz w:val="22"/>
          <w:szCs w:val="22"/>
          <w:color w:val="auto"/>
        </w:rPr>
        <w:t>Incremental Number of</w:t>
      </w:r>
    </w:p>
    <w:p>
      <w:pPr>
        <w:jc w:val="center"/>
        <w:ind w:right="4640"/>
        <w:spacing w:after="0" w:line="195" w:lineRule="auto"/>
        <w:rPr>
          <w:sz w:val="20"/>
          <w:szCs w:val="20"/>
          <w:color w:val="auto"/>
        </w:rPr>
      </w:pPr>
      <w:r>
        <w:rPr>
          <w:rFonts w:ascii="Arial" w:cs="Arial" w:eastAsia="Arial" w:hAnsi="Arial"/>
          <w:sz w:val="22"/>
          <w:szCs w:val="22"/>
          <w:color w:val="auto"/>
        </w:rPr>
        <w:t>Option Shares Exercisable</w:t>
      </w:r>
    </w:p>
    <w:tbl>
      <w:tblPr>
        <w:tblLayout w:type="fixed"/>
        <w:tblInd w:w="2160" w:type="dxa"/>
        <w:tblCellMar>
          <w:top w:w="0" w:type="dxa"/>
          <w:left w:w="0" w:type="dxa"/>
          <w:bottom w:w="0" w:type="dxa"/>
          <w:right w:w="0" w:type="dxa"/>
        </w:tblCellMar>
      </w:tblPr>
      <w:tr>
        <w:trPr>
          <w:trHeight w:val="196"/>
        </w:trPr>
        <w:tc>
          <w:tcPr>
            <w:tcW w:w="2300" w:type="dxa"/>
            <w:vAlign w:val="bottom"/>
            <w:tcBorders>
              <w:top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90"/>
              </w:rPr>
              <w:t>Exercisability Date</w:t>
            </w:r>
          </w:p>
        </w:tc>
      </w:tr>
      <w:tr>
        <w:trPr>
          <w:trHeight w:val="323"/>
        </w:trPr>
        <w:tc>
          <w:tcPr>
            <w:tcW w:w="2300" w:type="dxa"/>
            <w:vAlign w:val="bottom"/>
          </w:tcPr>
          <w:p>
            <w:pPr>
              <w:jc w:val="right"/>
              <w:spacing w:after="0"/>
              <w:rPr>
                <w:sz w:val="20"/>
                <w:szCs w:val="20"/>
                <w:color w:val="auto"/>
              </w:rPr>
            </w:pPr>
            <w:r>
              <w:rPr>
                <w:rFonts w:ascii="Arial" w:cs="Arial" w:eastAsia="Arial" w:hAnsi="Arial"/>
                <w:sz w:val="22"/>
                <w:szCs w:val="22"/>
                <w:color w:val="auto"/>
                <w:w w:val="92"/>
              </w:rPr>
              <w:t>_____________ (___%)</w:t>
            </w:r>
          </w:p>
        </w:tc>
        <w:tc>
          <w:tcPr>
            <w:tcW w:w="4040" w:type="dxa"/>
            <w:vAlign w:val="bottom"/>
            <w:gridSpan w:val="2"/>
          </w:tcPr>
          <w:p>
            <w:pPr>
              <w:jc w:val="center"/>
              <w:ind w:left="2272"/>
              <w:spacing w:after="0"/>
              <w:rPr>
                <w:sz w:val="20"/>
                <w:szCs w:val="20"/>
                <w:color w:val="auto"/>
              </w:rPr>
            </w:pPr>
            <w:r>
              <w:rPr>
                <w:rFonts w:ascii="Arial" w:cs="Arial" w:eastAsia="Arial" w:hAnsi="Arial"/>
                <w:sz w:val="22"/>
                <w:szCs w:val="22"/>
                <w:color w:val="auto"/>
                <w:w w:val="87"/>
              </w:rPr>
              <w:t>[____________]</w:t>
            </w:r>
            <w:r>
              <w:rPr>
                <w:rFonts w:ascii="Arial" w:cs="Arial" w:eastAsia="Arial" w:hAnsi="Arial"/>
                <w:sz w:val="28"/>
                <w:szCs w:val="28"/>
                <w:color w:val="auto"/>
                <w:w w:val="87"/>
                <w:vertAlign w:val="superscript"/>
              </w:rPr>
              <w:t>30</w:t>
            </w:r>
          </w:p>
        </w:tc>
      </w:tr>
      <w:tr>
        <w:trPr>
          <w:trHeight w:val="270"/>
        </w:trPr>
        <w:tc>
          <w:tcPr>
            <w:tcW w:w="2300" w:type="dxa"/>
            <w:vAlign w:val="bottom"/>
          </w:tcPr>
          <w:p>
            <w:pPr>
              <w:jc w:val="right"/>
              <w:spacing w:after="0"/>
              <w:rPr>
                <w:sz w:val="20"/>
                <w:szCs w:val="20"/>
                <w:color w:val="auto"/>
              </w:rPr>
            </w:pPr>
            <w:r>
              <w:rPr>
                <w:rFonts w:ascii="Arial" w:cs="Arial" w:eastAsia="Arial" w:hAnsi="Arial"/>
                <w:sz w:val="22"/>
                <w:szCs w:val="22"/>
                <w:color w:val="auto"/>
                <w:w w:val="92"/>
              </w:rPr>
              <w:t>_____________ (___%)</w:t>
            </w:r>
          </w:p>
        </w:tc>
        <w:tc>
          <w:tcPr>
            <w:tcW w:w="4040" w:type="dxa"/>
            <w:vAlign w:val="bottom"/>
            <w:gridSpan w:val="2"/>
          </w:tcPr>
          <w:p>
            <w:pPr>
              <w:jc w:val="center"/>
              <w:ind w:left="2272"/>
              <w:spacing w:after="0"/>
              <w:rPr>
                <w:sz w:val="20"/>
                <w:szCs w:val="20"/>
                <w:color w:val="auto"/>
              </w:rPr>
            </w:pPr>
            <w:r>
              <w:rPr>
                <w:rFonts w:ascii="Arial" w:cs="Arial" w:eastAsia="Arial" w:hAnsi="Arial"/>
                <w:sz w:val="22"/>
                <w:szCs w:val="22"/>
                <w:color w:val="auto"/>
                <w:w w:val="88"/>
              </w:rPr>
              <w:t>____________</w:t>
            </w:r>
          </w:p>
        </w:tc>
      </w:tr>
      <w:tr>
        <w:trPr>
          <w:trHeight w:val="270"/>
        </w:trPr>
        <w:tc>
          <w:tcPr>
            <w:tcW w:w="2300" w:type="dxa"/>
            <w:vAlign w:val="bottom"/>
          </w:tcPr>
          <w:p>
            <w:pPr>
              <w:jc w:val="right"/>
              <w:spacing w:after="0"/>
              <w:rPr>
                <w:sz w:val="20"/>
                <w:szCs w:val="20"/>
                <w:color w:val="auto"/>
              </w:rPr>
            </w:pPr>
            <w:r>
              <w:rPr>
                <w:rFonts w:ascii="Arial" w:cs="Arial" w:eastAsia="Arial" w:hAnsi="Arial"/>
                <w:sz w:val="22"/>
                <w:szCs w:val="22"/>
                <w:color w:val="auto"/>
                <w:w w:val="92"/>
              </w:rPr>
              <w:t>_____________ (___%)</w:t>
            </w:r>
          </w:p>
        </w:tc>
        <w:tc>
          <w:tcPr>
            <w:tcW w:w="4040" w:type="dxa"/>
            <w:vAlign w:val="bottom"/>
            <w:gridSpan w:val="2"/>
          </w:tcPr>
          <w:p>
            <w:pPr>
              <w:jc w:val="center"/>
              <w:ind w:left="2272"/>
              <w:spacing w:after="0"/>
              <w:rPr>
                <w:sz w:val="20"/>
                <w:szCs w:val="20"/>
                <w:color w:val="auto"/>
              </w:rPr>
            </w:pPr>
            <w:r>
              <w:rPr>
                <w:rFonts w:ascii="Arial" w:cs="Arial" w:eastAsia="Arial" w:hAnsi="Arial"/>
                <w:sz w:val="22"/>
                <w:szCs w:val="22"/>
                <w:color w:val="auto"/>
                <w:w w:val="88"/>
              </w:rPr>
              <w:t>____________</w:t>
            </w:r>
          </w:p>
        </w:tc>
      </w:tr>
      <w:tr>
        <w:trPr>
          <w:trHeight w:val="270"/>
        </w:trPr>
        <w:tc>
          <w:tcPr>
            <w:tcW w:w="2300" w:type="dxa"/>
            <w:vAlign w:val="bottom"/>
          </w:tcPr>
          <w:p>
            <w:pPr>
              <w:jc w:val="right"/>
              <w:spacing w:after="0"/>
              <w:rPr>
                <w:sz w:val="20"/>
                <w:szCs w:val="20"/>
                <w:color w:val="auto"/>
              </w:rPr>
            </w:pPr>
            <w:r>
              <w:rPr>
                <w:rFonts w:ascii="Arial" w:cs="Arial" w:eastAsia="Arial" w:hAnsi="Arial"/>
                <w:sz w:val="22"/>
                <w:szCs w:val="22"/>
                <w:color w:val="auto"/>
                <w:w w:val="92"/>
              </w:rPr>
              <w:t>_____________ (___%)</w:t>
            </w:r>
          </w:p>
        </w:tc>
        <w:tc>
          <w:tcPr>
            <w:tcW w:w="4040" w:type="dxa"/>
            <w:vAlign w:val="bottom"/>
            <w:gridSpan w:val="2"/>
          </w:tcPr>
          <w:p>
            <w:pPr>
              <w:jc w:val="center"/>
              <w:ind w:left="2272"/>
              <w:spacing w:after="0"/>
              <w:rPr>
                <w:sz w:val="20"/>
                <w:szCs w:val="20"/>
                <w:color w:val="auto"/>
              </w:rPr>
            </w:pPr>
            <w:r>
              <w:rPr>
                <w:rFonts w:ascii="Arial" w:cs="Arial" w:eastAsia="Arial" w:hAnsi="Arial"/>
                <w:sz w:val="22"/>
                <w:szCs w:val="22"/>
                <w:color w:val="auto"/>
                <w:w w:val="88"/>
              </w:rPr>
              <w:t>____________</w:t>
            </w:r>
          </w:p>
        </w:tc>
      </w:tr>
      <w:tr>
        <w:trPr>
          <w:trHeight w:val="274"/>
        </w:trPr>
        <w:tc>
          <w:tcPr>
            <w:tcW w:w="2300" w:type="dxa"/>
            <w:vAlign w:val="bottom"/>
          </w:tcPr>
          <w:p>
            <w:pPr>
              <w:jc w:val="right"/>
              <w:spacing w:after="0"/>
              <w:rPr>
                <w:sz w:val="20"/>
                <w:szCs w:val="20"/>
                <w:color w:val="auto"/>
              </w:rPr>
            </w:pPr>
            <w:r>
              <w:rPr>
                <w:rFonts w:ascii="Arial" w:cs="Arial" w:eastAsia="Arial" w:hAnsi="Arial"/>
                <w:sz w:val="22"/>
                <w:szCs w:val="22"/>
                <w:color w:val="auto"/>
                <w:w w:val="92"/>
              </w:rPr>
              <w:t>_____________ (___%)</w:t>
            </w:r>
          </w:p>
        </w:tc>
        <w:tc>
          <w:tcPr>
            <w:tcW w:w="4040" w:type="dxa"/>
            <w:vAlign w:val="bottom"/>
            <w:gridSpan w:val="2"/>
          </w:tcPr>
          <w:p>
            <w:pPr>
              <w:jc w:val="center"/>
              <w:ind w:left="2272"/>
              <w:spacing w:after="0"/>
              <w:rPr>
                <w:sz w:val="20"/>
                <w:szCs w:val="20"/>
                <w:color w:val="auto"/>
              </w:rPr>
            </w:pPr>
            <w:r>
              <w:rPr>
                <w:rFonts w:ascii="Arial" w:cs="Arial" w:eastAsia="Arial" w:hAnsi="Arial"/>
                <w:sz w:val="22"/>
                <w:szCs w:val="22"/>
                <w:color w:val="auto"/>
                <w:w w:val="88"/>
              </w:rPr>
              <w:t>____________</w:t>
            </w:r>
          </w:p>
        </w:tc>
      </w:tr>
    </w:tbl>
    <w:p>
      <w:pPr>
        <w:spacing w:after="0" w:line="200" w:lineRule="exact"/>
        <w:rPr>
          <w:sz w:val="20"/>
          <w:szCs w:val="20"/>
          <w:color w:val="auto"/>
        </w:rPr>
      </w:pPr>
    </w:p>
    <w:p>
      <w:pPr>
        <w:spacing w:after="0" w:line="295" w:lineRule="exact"/>
        <w:rPr>
          <w:sz w:val="20"/>
          <w:szCs w:val="20"/>
          <w:color w:val="auto"/>
        </w:rPr>
      </w:pPr>
    </w:p>
    <w:p>
      <w:pPr>
        <w:ind w:firstLine="648"/>
        <w:spacing w:after="0" w:line="226" w:lineRule="auto"/>
        <w:rPr>
          <w:sz w:val="20"/>
          <w:szCs w:val="20"/>
          <w:color w:val="auto"/>
        </w:rPr>
      </w:pPr>
      <w:r>
        <w:rPr>
          <w:rFonts w:ascii="Arial" w:cs="Arial" w:eastAsia="Arial" w:hAnsi="Arial"/>
          <w:sz w:val="19"/>
          <w:szCs w:val="19"/>
          <w:color w:val="auto"/>
        </w:rPr>
        <w:t>[Notwithstanding anything in this Agreement to the contrary, in the case of a Sale Event, this Stock Option and the Option Shares shall be treated as provided in Section 3(c) of the Plan; provided, however, that in the event of a Sale Event, 100% of the then-outstanding and unvested Option Shares shall immediately be deemed vested and exercisable on the date of such Sale Event, subject to the Optionee remaining in service as a member of the Board until the date of such Sale Event]</w:t>
      </w:r>
      <w:r>
        <w:rPr>
          <w:rFonts w:ascii="Arial" w:cs="Arial" w:eastAsia="Arial" w:hAnsi="Arial"/>
          <w:sz w:val="25"/>
          <w:szCs w:val="25"/>
          <w:color w:val="auto"/>
          <w:vertAlign w:val="superscript"/>
        </w:rPr>
        <w:t>31</w:t>
      </w:r>
      <w:r>
        <w:rPr>
          <w:rFonts w:ascii="Arial" w:cs="Arial" w:eastAsia="Arial" w:hAnsi="Arial"/>
          <w:sz w:val="19"/>
          <w:szCs w:val="19"/>
          <w:color w:val="auto"/>
        </w:rPr>
        <w:t>. [Notwithstanding anything in this Agreement to the contrary, in the case of a Sale Event, this Stock Option and the Option Shares shall be treated as provided in Section 3(c) of the Plan]</w:t>
      </w:r>
      <w:r>
        <w:rPr>
          <w:rFonts w:ascii="Arial" w:cs="Arial" w:eastAsia="Arial" w:hAnsi="Arial"/>
          <w:sz w:val="25"/>
          <w:szCs w:val="25"/>
          <w:color w:val="auto"/>
          <w:vertAlign w:val="superscript"/>
        </w:rPr>
        <w:t>32</w:t>
      </w:r>
      <w:r>
        <w:rPr>
          <w:rFonts w:ascii="Arial" w:cs="Arial" w:eastAsia="Arial" w:hAnsi="Arial"/>
          <w:sz w:val="19"/>
          <w:szCs w:val="19"/>
          <w:color w:val="auto"/>
        </w:rPr>
        <w:t>. Once exercisable, this Stock Option shall continue to be exercisable at any time or times prior to the close of business on the Expiration Date, subject to the provisions hereof and of the Plan.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179" w:lineRule="exact"/>
        <w:rPr>
          <w:sz w:val="20"/>
          <w:szCs w:val="20"/>
          <w:color w:val="auto"/>
        </w:rPr>
      </w:pPr>
    </w:p>
    <w:p>
      <w:pPr>
        <w:ind w:right="160" w:firstLine="1304"/>
        <w:spacing w:after="0" w:line="218" w:lineRule="auto"/>
        <w:tabs>
          <w:tab w:leader="none" w:pos="194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61" w:lineRule="exact"/>
        <w:rPr>
          <w:sz w:val="20"/>
          <w:szCs w:val="20"/>
          <w:color w:val="auto"/>
        </w:rPr>
      </w:pPr>
    </w:p>
    <w:p>
      <w:pPr>
        <w:ind w:right="60" w:firstLine="648"/>
        <w:spacing w:after="0" w:line="244"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55"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5" w:lineRule="exact"/>
        <w:rPr>
          <w:sz w:val="20"/>
          <w:szCs w:val="20"/>
          <w:color w:val="auto"/>
        </w:rPr>
      </w:pPr>
    </w:p>
    <w:p>
      <w:pPr>
        <w:ind w:left="560" w:hanging="163"/>
        <w:spacing w:after="0"/>
        <w:tabs>
          <w:tab w:leader="none" w:pos="560" w:val="left"/>
        </w:tabs>
        <w:numPr>
          <w:ilvl w:val="0"/>
          <w:numId w:val="112"/>
        </w:numPr>
        <w:rPr>
          <w:rFonts w:ascii="Arial" w:cs="Arial" w:eastAsia="Arial" w:hAnsi="Arial"/>
          <w:sz w:val="22"/>
          <w:szCs w:val="22"/>
          <w:color w:val="auto"/>
          <w:vertAlign w:val="superscript"/>
        </w:rPr>
      </w:pPr>
      <w:r>
        <w:rPr>
          <w:rFonts w:ascii="Arial" w:cs="Arial" w:eastAsia="Arial" w:hAnsi="Arial"/>
          <w:sz w:val="17"/>
          <w:szCs w:val="17"/>
          <w:color w:val="auto"/>
        </w:rPr>
        <w:t>For directors, enter “Earlier of the Company’s next annual meeting of stockholders or the one-year anniversary of the Vesting Commencement</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Date.”</w:t>
      </w:r>
    </w:p>
    <w:p>
      <w:pPr>
        <w:spacing w:after="0" w:line="78"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2"/>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2"/>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36" w:right="339" w:bottom="1440" w:gutter="0" w:footer="0" w:header="0"/>
        </w:sectPr>
      </w:pPr>
    </w:p>
    <w:bookmarkStart w:id="158" w:name="page159"/>
    <w:bookmarkEnd w:id="158"/>
    <w:p>
      <w:pPr>
        <w:ind w:right="20"/>
        <w:spacing w:after="0" w:line="224" w:lineRule="auto"/>
        <w:rPr>
          <w:sz w:val="20"/>
          <w:szCs w:val="20"/>
          <w:color w:val="auto"/>
        </w:rPr>
      </w:pPr>
      <w:r>
        <w:rPr>
          <w:rFonts w:ascii="Arial" w:cs="Arial" w:eastAsia="Arial" w:hAnsi="Arial"/>
          <w:sz w:val="21"/>
          <w:szCs w:val="21"/>
          <w:color w:val="auto"/>
        </w:rPr>
        <w:t>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60" w:lineRule="exact"/>
        <w:rPr>
          <w:sz w:val="20"/>
          <w:szCs w:val="20"/>
          <w:color w:val="auto"/>
        </w:rPr>
      </w:pPr>
    </w:p>
    <w:p>
      <w:pPr>
        <w:ind w:firstLine="1304"/>
        <w:spacing w:after="0" w:line="245" w:lineRule="auto"/>
        <w:tabs>
          <w:tab w:leader="none" w:pos="193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375" w:lineRule="exact"/>
        <w:rPr>
          <w:rFonts w:ascii="Arial" w:cs="Arial" w:eastAsia="Arial" w:hAnsi="Arial"/>
          <w:sz w:val="19"/>
          <w:szCs w:val="19"/>
          <w:color w:val="auto"/>
        </w:rPr>
      </w:pPr>
    </w:p>
    <w:p>
      <w:pPr>
        <w:ind w:right="680" w:firstLine="1304"/>
        <w:spacing w:after="0" w:line="232" w:lineRule="auto"/>
        <w:tabs>
          <w:tab w:leader="none" w:pos="194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59" w:lineRule="exact"/>
        <w:rPr>
          <w:sz w:val="20"/>
          <w:szCs w:val="20"/>
          <w:color w:val="auto"/>
        </w:rPr>
      </w:pPr>
    </w:p>
    <w:p>
      <w:pPr>
        <w:ind w:right="340" w:firstLine="648"/>
        <w:spacing w:after="0" w:line="218"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[Termination as Non-Employee Director</w:t>
      </w:r>
      <w:r>
        <w:rPr>
          <w:rFonts w:ascii="Arial" w:cs="Arial" w:eastAsia="Arial" w:hAnsi="Arial"/>
          <w:sz w:val="21"/>
          <w:szCs w:val="21"/>
          <w:color w:val="auto"/>
        </w:rPr>
        <w:t>. If the Optionee ceases to be a Non-Employee Director of the Company, the period within which to exercise the Stock Option may be subject to earlier termination as set forth below.]</w:t>
      </w:r>
      <w:r>
        <w:rPr>
          <w:rFonts w:ascii="Arial" w:cs="Arial" w:eastAsia="Arial" w:hAnsi="Arial"/>
          <w:sz w:val="27"/>
          <w:szCs w:val="27"/>
          <w:color w:val="auto"/>
          <w:vertAlign w:val="superscript"/>
        </w:rPr>
        <w:t>33</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Termination of Service Relationship</w:t>
      </w:r>
      <w:r>
        <w:rPr>
          <w:rFonts w:ascii="Arial" w:cs="Arial" w:eastAsia="Arial" w:hAnsi="Arial"/>
          <w:sz w:val="21"/>
          <w:szCs w:val="21"/>
          <w:color w:val="auto"/>
        </w:rPr>
        <w:t>. Except as may otherwise be provided by the Administrator, if the Optionee’s Service Relationship with the Company or a Subsidiary (as defined in the Plan) is terminated, the period within which to exercise the Stock Option may be subject to earlier termination as set forth below.]</w:t>
      </w:r>
      <w:r>
        <w:rPr>
          <w:rFonts w:ascii="Arial" w:cs="Arial" w:eastAsia="Arial" w:hAnsi="Arial"/>
          <w:sz w:val="27"/>
          <w:szCs w:val="27"/>
          <w:color w:val="auto"/>
          <w:vertAlign w:val="superscript"/>
        </w:rPr>
        <w:t>34</w:t>
      </w:r>
    </w:p>
    <w:p>
      <w:pPr>
        <w:spacing w:after="0" w:line="74" w:lineRule="exact"/>
        <w:rPr>
          <w:sz w:val="20"/>
          <w:szCs w:val="20"/>
          <w:color w:val="auto"/>
        </w:rPr>
      </w:pPr>
    </w:p>
    <w:p>
      <w:pPr>
        <w:ind w:right="40" w:firstLine="1304"/>
        <w:spacing w:after="0" w:line="238" w:lineRule="auto"/>
        <w:tabs>
          <w:tab w:leader="none" w:pos="1941"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r>
        <w:rPr>
          <w:rFonts w:ascii="Arial" w:cs="Arial" w:eastAsia="Arial" w:hAnsi="Arial"/>
          <w:sz w:val="25"/>
          <w:szCs w:val="25"/>
          <w:color w:val="auto"/>
          <w:vertAlign w:val="superscript"/>
        </w:rPr>
        <w:t>35</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r>
        <w:rPr>
          <w:rFonts w:ascii="Arial" w:cs="Arial" w:eastAsia="Arial" w:hAnsi="Arial"/>
          <w:sz w:val="25"/>
          <w:szCs w:val="25"/>
          <w:color w:val="auto"/>
          <w:vertAlign w:val="superscript"/>
        </w:rPr>
        <w:t>36</w:t>
      </w:r>
    </w:p>
    <w:p>
      <w:pPr>
        <w:spacing w:after="0" w:line="73" w:lineRule="exact"/>
        <w:rPr>
          <w:rFonts w:ascii="Arial" w:cs="Arial" w:eastAsia="Arial" w:hAnsi="Arial"/>
          <w:sz w:val="19"/>
          <w:szCs w:val="19"/>
          <w:color w:val="auto"/>
        </w:rPr>
      </w:pPr>
    </w:p>
    <w:p>
      <w:pPr>
        <w:ind w:right="20" w:firstLine="1304"/>
        <w:spacing w:after="0" w:line="223" w:lineRule="auto"/>
        <w:tabs>
          <w:tab w:leader="none" w:pos="1939"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the Optionee’s service as a Non-Employee Director terminates by reason of the Optionee’s disability (as determined by the Administrator), any portion of this Stock Option outstanding on such date,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5" w:lineRule="exact"/>
        <w:rPr>
          <w:sz w:val="20"/>
          <w:szCs w:val="20"/>
          <w:color w:val="auto"/>
        </w:rPr>
      </w:pPr>
    </w:p>
    <w:p>
      <w:pPr>
        <w:ind w:left="560" w:hanging="163"/>
        <w:spacing w:after="0"/>
        <w:tabs>
          <w:tab w:leader="none" w:pos="560" w:val="left"/>
        </w:tabs>
        <w:numPr>
          <w:ilvl w:val="0"/>
          <w:numId w:val="115"/>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5"/>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5"/>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5"/>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1401" w:right="419" w:bottom="1440" w:gutter="0" w:footer="0" w:header="0"/>
        </w:sectPr>
      </w:pPr>
    </w:p>
    <w:bookmarkStart w:id="159" w:name="page160"/>
    <w:bookmarkEnd w:id="159"/>
    <w:p>
      <w:pPr>
        <w:ind w:right="40"/>
        <w:spacing w:after="0" w:line="227" w:lineRule="auto"/>
        <w:rPr>
          <w:sz w:val="20"/>
          <w:szCs w:val="20"/>
          <w:color w:val="auto"/>
        </w:rPr>
      </w:pPr>
      <w:r>
        <w:rPr>
          <w:rFonts w:ascii="Arial" w:cs="Arial" w:eastAsia="Arial" w:hAnsi="Arial"/>
          <w:sz w:val="20"/>
          <w:szCs w:val="20"/>
          <w:color w:val="auto"/>
        </w:rPr>
        <w:t>exercisable on the date of such termination, may thereafter be exercised by the Optionee’s legal representative or legatee for a period of 12 months from the date of disability or until the Expiration Date, if earlier. Any portion of this Stock Option that is not exercisable on the date of death shall terminate immediately and be of no further force or effect.]</w:t>
      </w:r>
      <w:r>
        <w:rPr>
          <w:rFonts w:ascii="Arial" w:cs="Arial" w:eastAsia="Arial" w:hAnsi="Arial"/>
          <w:sz w:val="26"/>
          <w:szCs w:val="26"/>
          <w:color w:val="auto"/>
          <w:vertAlign w:val="superscript"/>
        </w:rPr>
        <w:t>37</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 Due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Disability</w:t>
      </w:r>
      <w:r>
        <w:rPr>
          <w:rFonts w:ascii="Arial" w:cs="Arial" w:eastAsia="Arial" w:hAnsi="Arial"/>
          <w:sz w:val="20"/>
          <w:szCs w:val="20"/>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r>
        <w:rPr>
          <w:rFonts w:ascii="Arial" w:cs="Arial" w:eastAsia="Arial" w:hAnsi="Arial"/>
          <w:sz w:val="26"/>
          <w:szCs w:val="26"/>
          <w:color w:val="auto"/>
          <w:vertAlign w:val="superscript"/>
        </w:rPr>
        <w:t>38</w:t>
      </w:r>
    </w:p>
    <w:p>
      <w:pPr>
        <w:spacing w:after="0" w:line="73" w:lineRule="exact"/>
        <w:rPr>
          <w:sz w:val="20"/>
          <w:szCs w:val="20"/>
          <w:color w:val="auto"/>
        </w:rPr>
      </w:pPr>
    </w:p>
    <w:p>
      <w:pPr>
        <w:ind w:firstLine="1304"/>
        <w:spacing w:after="0" w:line="237" w:lineRule="auto"/>
        <w:tabs>
          <w:tab w:leader="none" w:pos="194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service as a Non-Employee Director terminates for Cause, any portion of this Stock Option outstanding on such date shall terminate immediately and be of no further force and effect. For purposes hereof, “Cause” shall mean, unless otherwise provided in a director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r>
        <w:rPr>
          <w:rFonts w:ascii="Arial" w:cs="Arial" w:eastAsia="Arial" w:hAnsi="Arial"/>
          <w:sz w:val="25"/>
          <w:szCs w:val="25"/>
          <w:color w:val="auto"/>
          <w:vertAlign w:val="superscript"/>
        </w:rPr>
        <w:t>39</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 consulting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r>
        <w:rPr>
          <w:rFonts w:ascii="Arial" w:cs="Arial" w:eastAsia="Arial" w:hAnsi="Arial"/>
          <w:sz w:val="25"/>
          <w:szCs w:val="25"/>
          <w:color w:val="auto"/>
          <w:vertAlign w:val="superscript"/>
        </w:rPr>
        <w:t>40</w:t>
      </w:r>
    </w:p>
    <w:p>
      <w:pPr>
        <w:spacing w:after="0" w:line="83" w:lineRule="exact"/>
        <w:rPr>
          <w:rFonts w:ascii="Arial" w:cs="Arial" w:eastAsia="Arial" w:hAnsi="Arial"/>
          <w:sz w:val="19"/>
          <w:szCs w:val="19"/>
          <w:color w:val="auto"/>
        </w:rPr>
      </w:pPr>
    </w:p>
    <w:p>
      <w:pPr>
        <w:ind w:right="40" w:firstLine="1304"/>
        <w:spacing w:after="0" w:line="226" w:lineRule="auto"/>
        <w:tabs>
          <w:tab w:leader="none" w:pos="1939"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[Other Termination</w:t>
      </w:r>
      <w:r>
        <w:rPr>
          <w:rFonts w:ascii="Arial" w:cs="Arial" w:eastAsia="Arial" w:hAnsi="Arial"/>
          <w:sz w:val="20"/>
          <w:szCs w:val="20"/>
          <w:color w:val="auto"/>
        </w:rPr>
        <w:t>. If the Optionee ceases to be a Non-Employee Director for any reason other than the Optionee’s death, the Optionee’s disability or Cause, and unless otherwise determined by the Administrator, any portion of this Stock Option outstanding on such date may be exercised, to the extent exercisable on the date the Optionee ceased to be a Non-Employee Director, for a period of three months from the date the Optionee ceased be a Non-Employee Director or until the Expiration Date, if earlier. Any portion of this Stock Option that is not exercisable on the date the Optionee ceases to be a Non-Employee Director shall terminate immediately and be of no further force or effect.]</w:t>
      </w:r>
      <w:r>
        <w:rPr>
          <w:rFonts w:ascii="Arial" w:cs="Arial" w:eastAsia="Arial" w:hAnsi="Arial"/>
          <w:sz w:val="26"/>
          <w:szCs w:val="26"/>
          <w:color w:val="auto"/>
          <w:vertAlign w:val="superscript"/>
        </w:rPr>
        <w:t>41</w:t>
      </w:r>
      <w:r>
        <w:rPr>
          <w:rFonts w:ascii="Arial" w:cs="Arial" w:eastAsia="Arial" w:hAnsi="Arial"/>
          <w:sz w:val="20"/>
          <w:szCs w:val="20"/>
          <w:color w:val="auto"/>
        </w:rPr>
        <w:t xml:space="preserve"> [</w:t>
      </w:r>
      <w:r>
        <w:rPr>
          <w:rFonts w:ascii="Arial" w:cs="Arial" w:eastAsia="Arial" w:hAnsi="Arial"/>
          <w:sz w:val="20"/>
          <w:szCs w:val="20"/>
          <w:u w:val="single" w:color="auto"/>
          <w:color w:val="auto"/>
        </w:rPr>
        <w:t>Other Termination</w:t>
      </w:r>
      <w:r>
        <w:rPr>
          <w:rFonts w:ascii="Arial" w:cs="Arial" w:eastAsia="Arial" w:hAnsi="Arial"/>
          <w:sz w:val="20"/>
          <w:szCs w:val="20"/>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r>
        <w:rPr>
          <w:rFonts w:ascii="Arial" w:cs="Arial" w:eastAsia="Arial" w:hAnsi="Arial"/>
          <w:sz w:val="26"/>
          <w:szCs w:val="26"/>
          <w:color w:val="auto"/>
          <w:vertAlign w:val="superscript"/>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714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6" w:lineRule="exact"/>
        <w:rPr>
          <w:sz w:val="20"/>
          <w:szCs w:val="20"/>
          <w:color w:val="auto"/>
        </w:rPr>
      </w:pPr>
    </w:p>
    <w:p>
      <w:pPr>
        <w:ind w:left="560" w:hanging="163"/>
        <w:spacing w:after="0"/>
        <w:tabs>
          <w:tab w:leader="none" w:pos="560" w:val="left"/>
        </w:tabs>
        <w:numPr>
          <w:ilvl w:val="0"/>
          <w:numId w:val="117"/>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7"/>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7"/>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7"/>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7"/>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7"/>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01" w:right="359" w:bottom="1440" w:gutter="0" w:footer="0" w:header="0"/>
        </w:sectPr>
      </w:pPr>
    </w:p>
    <w:bookmarkStart w:id="160" w:name="page161"/>
    <w:bookmarkEnd w:id="160"/>
    <w:p>
      <w:pPr>
        <w:ind w:right="80" w:firstLine="648"/>
        <w:spacing w:after="0" w:line="218" w:lineRule="auto"/>
        <w:rPr>
          <w:sz w:val="20"/>
          <w:szCs w:val="20"/>
          <w:color w:val="auto"/>
        </w:rPr>
      </w:pPr>
      <w:r>
        <w:rPr>
          <w:rFonts w:ascii="Arial" w:cs="Arial" w:eastAsia="Arial" w:hAnsi="Arial"/>
          <w:sz w:val="21"/>
          <w:szCs w:val="21"/>
          <w:color w:val="auto"/>
        </w:rPr>
        <w:t>[The Administrator’s determination of the reason for termination of the Optionee’s service as a Non-Employee Director shall be conclusive and binding on the Optionee and his or her representatives or legatees.]</w:t>
      </w:r>
      <w:r>
        <w:rPr>
          <w:rFonts w:ascii="Arial" w:cs="Arial" w:eastAsia="Arial" w:hAnsi="Arial"/>
          <w:sz w:val="27"/>
          <w:szCs w:val="27"/>
          <w:color w:val="auto"/>
          <w:vertAlign w:val="superscript"/>
        </w:rPr>
        <w:t>43</w:t>
      </w:r>
      <w:r>
        <w:rPr>
          <w:rFonts w:ascii="Arial" w:cs="Arial" w:eastAsia="Arial" w:hAnsi="Arial"/>
          <w:sz w:val="21"/>
          <w:szCs w:val="21"/>
          <w:color w:val="auto"/>
        </w:rPr>
        <w:t xml:space="preserve"> [The Administrator’s determination of the reason for termination of the Optionee’s Service Relationship with the Company or a Subsidiary shall be conclusive and binding on the Optionee and his or her representatives or legatees.]</w:t>
      </w:r>
      <w:r>
        <w:rPr>
          <w:rFonts w:ascii="Arial" w:cs="Arial" w:eastAsia="Arial" w:hAnsi="Arial"/>
          <w:sz w:val="27"/>
          <w:szCs w:val="27"/>
          <w:color w:val="auto"/>
          <w:vertAlign w:val="superscript"/>
        </w:rPr>
        <w:t>44</w:t>
      </w:r>
    </w:p>
    <w:p>
      <w:pPr>
        <w:spacing w:after="0" w:line="77"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sz w:val="20"/>
          <w:szCs w:val="20"/>
          <w:color w:val="auto"/>
        </w:rPr>
      </w:pPr>
    </w:p>
    <w:p>
      <w:pPr>
        <w:ind w:right="280" w:firstLine="648"/>
        <w:spacing w:after="0" w:line="21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61" w:lineRule="exact"/>
        <w:rPr>
          <w:sz w:val="20"/>
          <w:szCs w:val="20"/>
          <w:color w:val="auto"/>
        </w:rPr>
      </w:pPr>
    </w:p>
    <w:p>
      <w:pPr>
        <w:ind w:right="40" w:firstLine="648"/>
        <w:spacing w:after="0" w:line="20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[No Obligation to Continue as a Non-Employee Director</w:t>
      </w:r>
      <w:r>
        <w:rPr>
          <w:rFonts w:ascii="Arial" w:cs="Arial" w:eastAsia="Arial" w:hAnsi="Arial"/>
          <w:sz w:val="22"/>
          <w:szCs w:val="22"/>
          <w:color w:val="auto"/>
        </w:rPr>
        <w:t>. Neither the Plan nor this Stock Option confers upon the Optionee any rights with respect to continuance as a Non-Employee Director.]</w:t>
      </w:r>
      <w:r>
        <w:rPr>
          <w:rFonts w:ascii="Arial" w:cs="Arial" w:eastAsia="Arial" w:hAnsi="Arial"/>
          <w:sz w:val="28"/>
          <w:szCs w:val="28"/>
          <w:color w:val="auto"/>
          <w:vertAlign w:val="superscript"/>
        </w:rPr>
        <w:t>45</w:t>
      </w:r>
      <w:r>
        <w:rPr>
          <w:rFonts w:ascii="Arial" w:cs="Arial" w:eastAsia="Arial" w:hAnsi="Arial"/>
          <w:sz w:val="22"/>
          <w:szCs w:val="22"/>
          <w:color w:val="auto"/>
        </w:rPr>
        <w:t xml:space="preserve"> [</w:t>
      </w:r>
      <w:r>
        <w:rPr>
          <w:rFonts w:ascii="Arial" w:cs="Arial" w:eastAsia="Arial" w:hAnsi="Arial"/>
          <w:sz w:val="22"/>
          <w:szCs w:val="22"/>
          <w:u w:val="single" w:color="auto"/>
          <w:color w:val="auto"/>
        </w:rPr>
        <w:t>No Obligation to Continue Service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Relationship</w:t>
      </w:r>
      <w:r>
        <w:rPr>
          <w:rFonts w:ascii="Arial" w:cs="Arial" w:eastAsia="Arial" w:hAnsi="Arial"/>
          <w:sz w:val="22"/>
          <w:szCs w:val="22"/>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r>
        <w:rPr>
          <w:rFonts w:ascii="Arial" w:cs="Arial" w:eastAsia="Arial" w:hAnsi="Arial"/>
          <w:sz w:val="28"/>
          <w:szCs w:val="28"/>
          <w:color w:val="auto"/>
          <w:vertAlign w:val="superscript"/>
        </w:rPr>
        <w:t>46</w:t>
      </w:r>
    </w:p>
    <w:p>
      <w:pPr>
        <w:spacing w:after="0" w:line="77" w:lineRule="exact"/>
        <w:rPr>
          <w:sz w:val="20"/>
          <w:szCs w:val="20"/>
          <w:color w:val="auto"/>
        </w:rPr>
      </w:pPr>
    </w:p>
    <w:p>
      <w:pPr>
        <w:ind w:right="60" w:firstLine="648"/>
        <w:spacing w:after="0" w:line="29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5" w:lineRule="exact"/>
        <w:rPr>
          <w:sz w:val="20"/>
          <w:szCs w:val="20"/>
          <w:color w:val="auto"/>
        </w:rPr>
      </w:pPr>
    </w:p>
    <w:p>
      <w:pPr>
        <w:ind w:right="60" w:firstLine="648"/>
        <w:spacing w:after="0" w:line="244"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5"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8" w:lineRule="exact"/>
        <w:rPr>
          <w:sz w:val="20"/>
          <w:szCs w:val="20"/>
          <w:color w:val="auto"/>
        </w:rPr>
      </w:pPr>
    </w:p>
    <w:p>
      <w:pPr>
        <w:ind w:left="560" w:hanging="163"/>
        <w:spacing w:after="0"/>
        <w:tabs>
          <w:tab w:leader="none" w:pos="560" w:val="left"/>
        </w:tabs>
        <w:numPr>
          <w:ilvl w:val="0"/>
          <w:numId w:val="118"/>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8"/>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8"/>
        </w:numPr>
        <w:rPr>
          <w:rFonts w:ascii="Arial" w:cs="Arial" w:eastAsia="Arial" w:hAnsi="Arial"/>
          <w:sz w:val="22"/>
          <w:szCs w:val="22"/>
          <w:color w:val="auto"/>
          <w:vertAlign w:val="superscript"/>
        </w:rPr>
      </w:pPr>
      <w:r>
        <w:rPr>
          <w:rFonts w:ascii="Arial" w:cs="Arial" w:eastAsia="Arial" w:hAnsi="Arial"/>
          <w:sz w:val="17"/>
          <w:szCs w:val="17"/>
          <w:color w:val="auto"/>
        </w:rPr>
        <w:t>For directors.</w:t>
      </w:r>
    </w:p>
    <w:p>
      <w:pPr>
        <w:spacing w:after="0" w:line="71" w:lineRule="exact"/>
        <w:rPr>
          <w:rFonts w:ascii="Arial" w:cs="Arial" w:eastAsia="Arial" w:hAnsi="Arial"/>
          <w:sz w:val="22"/>
          <w:szCs w:val="22"/>
          <w:color w:val="auto"/>
          <w:vertAlign w:val="superscript"/>
        </w:rPr>
      </w:pPr>
    </w:p>
    <w:p>
      <w:pPr>
        <w:ind w:left="560" w:hanging="163"/>
        <w:spacing w:after="0"/>
        <w:tabs>
          <w:tab w:leader="none" w:pos="560" w:val="left"/>
        </w:tabs>
        <w:numPr>
          <w:ilvl w:val="0"/>
          <w:numId w:val="118"/>
        </w:numPr>
        <w:rPr>
          <w:rFonts w:ascii="Arial" w:cs="Arial" w:eastAsia="Arial" w:hAnsi="Arial"/>
          <w:sz w:val="22"/>
          <w:szCs w:val="22"/>
          <w:color w:val="auto"/>
          <w:vertAlign w:val="superscript"/>
        </w:rPr>
      </w:pPr>
      <w:r>
        <w:rPr>
          <w:rFonts w:ascii="Arial" w:cs="Arial" w:eastAsia="Arial" w:hAnsi="Arial"/>
          <w:sz w:val="17"/>
          <w:szCs w:val="17"/>
          <w:color w:val="auto"/>
        </w:rPr>
        <w:t>For consultants.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01" w:right="359" w:bottom="1440" w:gutter="0" w:footer="0" w:header="0"/>
        </w:sectPr>
      </w:pPr>
    </w:p>
    <w:bookmarkStart w:id="161" w:name="page162"/>
    <w:bookmarkEnd w:id="161"/>
    <w:p>
      <w:pPr>
        <w:ind w:right="140"/>
        <w:spacing w:after="0" w:line="223" w:lineRule="auto"/>
        <w:rPr>
          <w:sz w:val="20"/>
          <w:szCs w:val="20"/>
          <w:color w:val="auto"/>
        </w:rPr>
      </w:pPr>
      <w:r>
        <w:rPr>
          <w:rFonts w:ascii="Arial" w:cs="Arial" w:eastAsia="Arial" w:hAnsi="Arial"/>
          <w:sz w:val="22"/>
          <w:szCs w:val="22"/>
          <w:color w:val="auto"/>
        </w:rPr>
        <w:t>the Company), with shipping charges prepaid or (iv) the date on which an electronic notification is received. Notice shall be addressed to the Company at its principal executive office and to the Optionee at the address that he or she most recently provided to the Company in accordance with this Paragraph.</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255905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530225</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804545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60"/>
          </w:cols>
          <w:pgMar w:left="320" w:top="1401" w:right="719" w:bottom="1440" w:gutter="0" w:footer="0" w:header="0"/>
        </w:sectPr>
      </w:pPr>
    </w:p>
    <w:bookmarkStart w:id="162" w:name="page163"/>
    <w:bookmarkEnd w:id="16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EXERCISE NOTICE</w:t>
      </w:r>
    </w:p>
    <w:p>
      <w:pPr>
        <w:jc w:val="center"/>
        <w:spacing w:after="0" w:line="204" w:lineRule="auto"/>
        <w:rPr>
          <w:sz w:val="20"/>
          <w:szCs w:val="20"/>
          <w:color w:val="auto"/>
        </w:rPr>
      </w:pPr>
      <w:r>
        <w:rPr>
          <w:rFonts w:ascii="Arial" w:cs="Arial" w:eastAsia="Arial" w:hAnsi="Arial"/>
          <w:sz w:val="22"/>
          <w:szCs w:val="22"/>
          <w:b w:val="1"/>
          <w:bCs w:val="1"/>
          <w:color w:val="auto"/>
        </w:rPr>
        <w:t>UNDER THE</w:t>
      </w:r>
    </w:p>
    <w:p>
      <w:pPr>
        <w:jc w:val="center"/>
        <w:spacing w:after="0" w:line="205" w:lineRule="auto"/>
        <w:rPr>
          <w:sz w:val="20"/>
          <w:szCs w:val="20"/>
          <w:color w:val="auto"/>
        </w:rPr>
      </w:pPr>
      <w:r>
        <w:rPr>
          <w:rFonts w:ascii="Arial" w:cs="Arial" w:eastAsia="Arial" w:hAnsi="Arial"/>
          <w:sz w:val="22"/>
          <w:szCs w:val="22"/>
          <w:b w:val="1"/>
          <w:bCs w:val="1"/>
          <w:color w:val="auto"/>
        </w:rPr>
        <w:t>GUIDEWIRE SOFTWARE,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2020 STOCK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Guidewire Software, Inc.</w:t>
      </w:r>
    </w:p>
    <w:p>
      <w:pPr>
        <w:spacing w:after="0" w:line="204" w:lineRule="auto"/>
        <w:rPr>
          <w:sz w:val="20"/>
          <w:szCs w:val="20"/>
          <w:color w:val="auto"/>
        </w:rPr>
      </w:pPr>
      <w:r>
        <w:rPr>
          <w:rFonts w:ascii="Arial" w:cs="Arial" w:eastAsia="Arial" w:hAnsi="Arial"/>
          <w:sz w:val="22"/>
          <w:szCs w:val="22"/>
          <w:color w:val="auto"/>
        </w:rPr>
        <w:t>Attention: [____________________]</w:t>
      </w:r>
    </w:p>
    <w:p>
      <w:pPr>
        <w:spacing w:after="0" w:line="205" w:lineRule="auto"/>
        <w:rPr>
          <w:sz w:val="20"/>
          <w:szCs w:val="20"/>
          <w:color w:val="auto"/>
        </w:rPr>
      </w:pPr>
      <w:r>
        <w:rPr>
          <w:rFonts w:ascii="Arial" w:cs="Arial" w:eastAsia="Arial" w:hAnsi="Arial"/>
          <w:sz w:val="22"/>
          <w:szCs w:val="22"/>
          <w:color w:val="auto"/>
        </w:rPr>
        <w:t>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69" w:lineRule="exact"/>
        <w:rPr>
          <w:sz w:val="20"/>
          <w:szCs w:val="20"/>
          <w:color w:val="auto"/>
        </w:rPr>
      </w:pPr>
    </w:p>
    <w:p>
      <w:pPr>
        <w:ind w:right="180" w:firstLine="648"/>
        <w:spacing w:after="0" w:line="242" w:lineRule="auto"/>
        <w:rPr>
          <w:sz w:val="20"/>
          <w:szCs w:val="20"/>
          <w:color w:val="auto"/>
        </w:rPr>
      </w:pPr>
      <w:r>
        <w:rPr>
          <w:rFonts w:ascii="Arial" w:cs="Arial" w:eastAsia="Arial" w:hAnsi="Arial"/>
          <w:sz w:val="19"/>
          <w:szCs w:val="19"/>
          <w:color w:val="auto"/>
        </w:rPr>
        <w:t>Pursuant to the terms of the [Stock Option Agreement under the Guidewire Software, Inc. Amended and Restated 2020 Stock Plan (the “Plan”)][Non-Qualified Stock Option Agreement for Non-Employees under the Guidewire Software, Inc. Amended and Restated 2020 Stock Plan (the “Plan”)] between the undersigned and Guidewire Software, Inc. (the “Company”), dated [Insert grant date] ______, (the “Agreement”), I, [Insert Name] ________________, hereby [Circle One] partially/fully</w:t>
      </w:r>
    </w:p>
    <w:p>
      <w:pPr>
        <w:spacing w:after="0" w:line="238" w:lineRule="auto"/>
        <w:rPr>
          <w:sz w:val="20"/>
          <w:szCs w:val="20"/>
          <w:color w:val="auto"/>
        </w:rPr>
      </w:pPr>
      <w:r>
        <w:rPr>
          <w:rFonts w:ascii="Arial" w:cs="Arial" w:eastAsia="Arial" w:hAnsi="Arial"/>
          <w:sz w:val="19"/>
          <w:szCs w:val="19"/>
          <w:color w:val="auto"/>
        </w:rPr>
        <w:t>exercise such option by including herein payment in the amount of $______ representing the purchase price for [Fill in number of</w:t>
      </w:r>
    </w:p>
    <w:p>
      <w:pPr>
        <w:spacing w:after="0"/>
        <w:rPr>
          <w:sz w:val="20"/>
          <w:szCs w:val="20"/>
          <w:color w:val="auto"/>
        </w:rPr>
      </w:pPr>
      <w:r>
        <w:rPr>
          <w:rFonts w:ascii="Arial" w:cs="Arial" w:eastAsia="Arial" w:hAnsi="Arial"/>
          <w:sz w:val="22"/>
          <w:szCs w:val="22"/>
          <w:color w:val="auto"/>
        </w:rPr>
        <w:t>Shares] _______ shares. I have chosen the following form(s) of payment:</w:t>
      </w:r>
    </w:p>
    <w:p>
      <w:pPr>
        <w:spacing w:after="0" w:line="142" w:lineRule="exact"/>
        <w:rPr>
          <w:sz w:val="20"/>
          <w:szCs w:val="20"/>
          <w:color w:val="auto"/>
        </w:rPr>
      </w:pPr>
    </w:p>
    <w:p>
      <w:pPr>
        <w:ind w:left="1300"/>
        <w:spacing w:after="0"/>
        <w:tabs>
          <w:tab w:leader="none" w:pos="1700" w:val="left"/>
          <w:tab w:leader="none" w:pos="2080" w:val="left"/>
        </w:tabs>
        <w:rPr>
          <w:sz w:val="20"/>
          <w:szCs w:val="20"/>
          <w:color w:val="auto"/>
        </w:rPr>
      </w:pPr>
      <w:r>
        <w:rPr>
          <w:rFonts w:ascii="Arial" w:cs="Arial" w:eastAsia="Arial" w:hAnsi="Arial"/>
          <w:sz w:val="22"/>
          <w:szCs w:val="22"/>
          <w:color w:val="auto"/>
        </w:rPr>
        <w:t>[ ]</w:t>
        <w:tab/>
        <w:t>1.</w:t>
      </w:r>
      <w:r>
        <w:rPr>
          <w:sz w:val="20"/>
          <w:szCs w:val="20"/>
          <w:color w:val="auto"/>
        </w:rPr>
        <w:tab/>
      </w:r>
      <w:r>
        <w:rPr>
          <w:rFonts w:ascii="Arial" w:cs="Arial" w:eastAsia="Arial" w:hAnsi="Arial"/>
          <w:sz w:val="17"/>
          <w:szCs w:val="17"/>
          <w:color w:val="auto"/>
        </w:rPr>
        <w:t>Cash</w:t>
      </w:r>
    </w:p>
    <w:p>
      <w:pPr>
        <w:ind w:left="1300"/>
        <w:spacing w:after="0" w:line="237" w:lineRule="auto"/>
        <w:tabs>
          <w:tab w:leader="none" w:pos="1700" w:val="left"/>
          <w:tab w:leader="none" w:pos="2080" w:val="left"/>
        </w:tabs>
        <w:rPr>
          <w:sz w:val="20"/>
          <w:szCs w:val="20"/>
          <w:color w:val="auto"/>
        </w:rPr>
      </w:pPr>
      <w:r>
        <w:rPr>
          <w:rFonts w:ascii="Arial" w:cs="Arial" w:eastAsia="Arial" w:hAnsi="Arial"/>
          <w:sz w:val="22"/>
          <w:szCs w:val="22"/>
          <w:color w:val="auto"/>
        </w:rPr>
        <w:t>[ ]</w:t>
        <w:tab/>
        <w:t>2.</w:t>
      </w:r>
      <w:r>
        <w:rPr>
          <w:sz w:val="20"/>
          <w:szCs w:val="20"/>
          <w:color w:val="auto"/>
        </w:rPr>
        <w:tab/>
      </w:r>
      <w:r>
        <w:rPr>
          <w:rFonts w:ascii="Arial" w:cs="Arial" w:eastAsia="Arial" w:hAnsi="Arial"/>
          <w:sz w:val="19"/>
          <w:szCs w:val="19"/>
          <w:color w:val="auto"/>
        </w:rPr>
        <w:t>Certified or bank check payable to Guidewire Software, Inc.</w:t>
      </w:r>
    </w:p>
    <w:p>
      <w:pPr>
        <w:ind w:left="1440" w:hanging="136"/>
        <w:spacing w:after="0" w:line="205" w:lineRule="auto"/>
        <w:tabs>
          <w:tab w:leader="none" w:pos="14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3.  Other (as referenced in the Agreement and described in the Plan (please describe))</w:t>
      </w:r>
    </w:p>
    <w:p>
      <w:pPr>
        <w:ind w:left="260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w:t>
      </w:r>
    </w:p>
    <w:p>
      <w:pPr>
        <w:spacing w:after="0" w:line="161" w:lineRule="exact"/>
        <w:rPr>
          <w:sz w:val="20"/>
          <w:szCs w:val="20"/>
          <w:color w:val="auto"/>
        </w:rPr>
      </w:pPr>
    </w:p>
    <w:p>
      <w:pPr>
        <w:ind w:right="720" w:firstLine="648"/>
        <w:spacing w:after="0" w:line="232" w:lineRule="auto"/>
        <w:rPr>
          <w:sz w:val="20"/>
          <w:szCs w:val="20"/>
          <w:color w:val="auto"/>
        </w:rPr>
      </w:pPr>
      <w:r>
        <w:rPr>
          <w:rFonts w:ascii="Arial" w:cs="Arial" w:eastAsia="Arial" w:hAnsi="Arial"/>
          <w:sz w:val="22"/>
          <w:szCs w:val="22"/>
          <w:color w:val="auto"/>
        </w:rPr>
        <w:t>In connection with my exercise of the option as set forth above, I hereby represent and warrant to the Company as follows:</w:t>
      </w:r>
    </w:p>
    <w:p>
      <w:pPr>
        <w:spacing w:after="0" w:line="159" w:lineRule="exact"/>
        <w:rPr>
          <w:sz w:val="20"/>
          <w:szCs w:val="20"/>
          <w:color w:val="auto"/>
        </w:rPr>
      </w:pPr>
    </w:p>
    <w:p>
      <w:pPr>
        <w:ind w:left="660" w:right="520" w:firstLine="1292"/>
        <w:spacing w:after="0" w:line="234" w:lineRule="auto"/>
        <w:tabs>
          <w:tab w:leader="none" w:pos="259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57" w:lineRule="exact"/>
        <w:rPr>
          <w:rFonts w:ascii="Arial" w:cs="Arial" w:eastAsia="Arial" w:hAnsi="Arial"/>
          <w:sz w:val="21"/>
          <w:szCs w:val="21"/>
          <w:color w:val="auto"/>
        </w:rPr>
      </w:pPr>
    </w:p>
    <w:p>
      <w:pPr>
        <w:ind w:left="660" w:right="120" w:firstLine="1292"/>
        <w:spacing w:after="0" w:line="298" w:lineRule="auto"/>
        <w:tabs>
          <w:tab w:leader="none" w:pos="259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05" w:lineRule="exact"/>
        <w:rPr>
          <w:rFonts w:ascii="Arial" w:cs="Arial" w:eastAsia="Arial" w:hAnsi="Arial"/>
          <w:sz w:val="19"/>
          <w:szCs w:val="19"/>
          <w:color w:val="auto"/>
        </w:rPr>
      </w:pPr>
    </w:p>
    <w:p>
      <w:pPr>
        <w:ind w:left="660" w:right="120" w:firstLine="1292"/>
        <w:spacing w:after="0" w:line="232" w:lineRule="auto"/>
        <w:tabs>
          <w:tab w:leader="none" w:pos="260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 have read and understand the Plan and the Agreement and acknowledge and agree that the shares are subject to all of the relevant terms of the Plan and the Agreement.</w:t>
      </w:r>
    </w:p>
    <w:p>
      <w:pPr>
        <w:sectPr>
          <w:pgSz w:w="11900" w:h="16838" w:orient="portrait"/>
          <w:cols w:equalWidth="0" w:num="1">
            <w:col w:w="11240"/>
          </w:cols>
          <w:pgMar w:left="320" w:top="1440" w:right="339" w:bottom="1440" w:gutter="0" w:footer="0" w:header="0"/>
        </w:sectPr>
      </w:pPr>
    </w:p>
    <w:bookmarkStart w:id="163" w:name="page164"/>
    <w:bookmarkEnd w:id="163"/>
    <w:p>
      <w:pPr>
        <w:ind w:left="3100"/>
        <w:spacing w:after="0"/>
        <w:rPr>
          <w:sz w:val="20"/>
          <w:szCs w:val="20"/>
          <w:color w:val="auto"/>
        </w:rPr>
      </w:pPr>
      <w:r>
        <w:rPr>
          <w:rFonts w:ascii="Arial" w:cs="Arial" w:eastAsia="Arial" w:hAnsi="Arial"/>
          <w:sz w:val="19"/>
          <w:szCs w:val="19"/>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-154940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255905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530225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804545</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-17780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164" w:name="page165"/>
    <w:bookmarkEnd w:id="164"/>
    <w:p>
      <w:pPr>
        <w:ind w:left="2980"/>
        <w:spacing w:after="0"/>
        <w:rPr>
          <w:sz w:val="20"/>
          <w:szCs w:val="20"/>
          <w:color w:val="auto"/>
        </w:rPr>
      </w:pPr>
      <w:r>
        <w:rPr>
          <w:rFonts w:ascii="Arial" w:cs="Arial" w:eastAsia="Arial" w:hAnsi="Arial"/>
          <w:sz w:val="25"/>
          <w:szCs w:val="25"/>
          <w:b w:val="1"/>
          <w:bCs w:val="1"/>
          <w:color w:val="auto"/>
        </w:rPr>
        <w:t>RESTRICTED STOCK AWARD AGREEMENT</w:t>
      </w:r>
    </w:p>
    <w:p>
      <w:pPr>
        <w:ind w:left="3020"/>
        <w:spacing w:after="0" w:line="202" w:lineRule="auto"/>
        <w:rPr>
          <w:sz w:val="20"/>
          <w:szCs w:val="20"/>
          <w:color w:val="auto"/>
        </w:rPr>
      </w:pPr>
      <w:r>
        <w:rPr>
          <w:rFonts w:ascii="Arial" w:cs="Arial" w:eastAsia="Arial" w:hAnsi="Arial"/>
          <w:sz w:val="25"/>
          <w:szCs w:val="25"/>
          <w:b w:val="1"/>
          <w:bCs w:val="1"/>
          <w:color w:val="auto"/>
        </w:rPr>
        <w:t>UNDER THE GUIDEWIRE SOFTWARE, INC.</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AMENDED AND RESTATED 2020 STOCK PLAN</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-17780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75"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Pursuant to the Guidewire Software, Inc. Amended and Restated 2020 Stock Plan (the “Plan”) as amended through the date hereof, Guidewire Software, Inc. (the “Company”) hereby grants a Restricted Stock Award (an “Award”) to the Grantee named above. Upon acceptance of this Award, the Grantee shall receive the number of shares of Common Stock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2"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Award</w:t>
      </w:r>
      <w:r>
        <w:rPr>
          <w:rFonts w:ascii="Arial" w:cs="Arial" w:eastAsia="Arial" w:hAnsi="Arial"/>
          <w:sz w:val="19"/>
          <w:szCs w:val="19"/>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179" w:lineRule="exact"/>
        <w:rPr>
          <w:sz w:val="20"/>
          <w:szCs w:val="20"/>
          <w:color w:val="auto"/>
        </w:rPr>
      </w:pPr>
    </w:p>
    <w:p>
      <w:pPr>
        <w:ind w:right="200" w:firstLine="1304"/>
        <w:spacing w:after="0" w:line="223" w:lineRule="auto"/>
        <w:tabs>
          <w:tab w:leader="none" w:pos="194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58" w:lineRule="exact"/>
        <w:rPr>
          <w:rFonts w:ascii="Arial" w:cs="Arial" w:eastAsia="Arial" w:hAnsi="Arial"/>
          <w:sz w:val="22"/>
          <w:szCs w:val="22"/>
          <w:color w:val="auto"/>
        </w:rPr>
      </w:pPr>
    </w:p>
    <w:p>
      <w:pPr>
        <w:ind w:right="420" w:firstLine="1304"/>
        <w:spacing w:after="0" w:line="232" w:lineRule="auto"/>
        <w:tabs>
          <w:tab w:leader="none" w:pos="193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58" w:lineRule="exact"/>
        <w:rPr>
          <w:rFonts w:ascii="Arial" w:cs="Arial" w:eastAsia="Arial" w:hAnsi="Arial"/>
          <w:sz w:val="22"/>
          <w:szCs w:val="22"/>
          <w:color w:val="auto"/>
        </w:rPr>
      </w:pPr>
    </w:p>
    <w:p>
      <w:pPr>
        <w:jc w:val="both"/>
        <w:ind w:right="120" w:firstLine="1304"/>
        <w:spacing w:after="0" w:line="223" w:lineRule="auto"/>
        <w:tabs>
          <w:tab w:leader="none" w:pos="194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the Grantee’s employment with the Company or a Subsidiary is voluntarily or involuntarily terminated for any reason (including death) prior to vesting of shares of Restricted Stock granted herein, all shares of Restricted Stock shall immediately and automatically be forfeited and returned to the Company.</w:t>
      </w:r>
    </w:p>
    <w:p>
      <w:pPr>
        <w:spacing w:after="0" w:line="151" w:lineRule="exact"/>
        <w:rPr>
          <w:sz w:val="20"/>
          <w:szCs w:val="20"/>
          <w:color w:val="auto"/>
        </w:rPr>
      </w:pPr>
    </w:p>
    <w:p>
      <w:pPr>
        <w:ind w:right="40" w:firstLine="648"/>
        <w:spacing w:after="0" w:line="215"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Vesting of Restricted Stock</w:t>
      </w:r>
      <w:r>
        <w:rPr>
          <w:rFonts w:ascii="Arial" w:cs="Arial" w:eastAsia="Arial" w:hAnsi="Arial"/>
          <w:sz w:val="21"/>
          <w:szCs w:val="21"/>
          <w:color w:val="auto"/>
        </w:rPr>
        <w:t>. [Subject to any Company leave of absence policy in effect, t]</w:t>
      </w:r>
      <w:r>
        <w:rPr>
          <w:rFonts w:ascii="Arial" w:cs="Arial" w:eastAsia="Arial" w:hAnsi="Arial"/>
          <w:sz w:val="27"/>
          <w:szCs w:val="27"/>
          <w:color w:val="auto"/>
          <w:vertAlign w:val="superscript"/>
        </w:rPr>
        <w:t>47</w:t>
      </w:r>
      <w:r>
        <w:rPr>
          <w:rFonts w:ascii="Arial" w:cs="Arial" w:eastAsia="Arial" w:hAnsi="Arial"/>
          <w:sz w:val="21"/>
          <w:szCs w:val="21"/>
          <w:color w:val="auto"/>
        </w:rPr>
        <w:t xml:space="preserve"> [T]he restrictions and conditions in Paragraph 2 of this Agreement shall lapse on the Vesting Date or Dates specified in the following schedule so long as the Grantee continues to be employed with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714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6" w:lineRule="exact"/>
        <w:rPr>
          <w:sz w:val="20"/>
          <w:szCs w:val="20"/>
          <w:color w:val="auto"/>
        </w:rPr>
      </w:pPr>
    </w:p>
    <w:p>
      <w:pPr>
        <w:ind w:left="560" w:hanging="163"/>
        <w:spacing w:after="0"/>
        <w:tabs>
          <w:tab w:leader="none" w:pos="560" w:val="left"/>
        </w:tabs>
        <w:numPr>
          <w:ilvl w:val="0"/>
          <w:numId w:val="122"/>
        </w:numPr>
        <w:rPr>
          <w:rFonts w:ascii="Arial" w:cs="Arial" w:eastAsia="Arial" w:hAnsi="Arial"/>
          <w:sz w:val="22"/>
          <w:szCs w:val="22"/>
          <w:color w:val="auto"/>
          <w:vertAlign w:val="superscript"/>
        </w:rPr>
      </w:pPr>
      <w:r>
        <w:rPr>
          <w:rFonts w:ascii="Arial" w:cs="Arial" w:eastAsia="Arial" w:hAnsi="Arial"/>
          <w:sz w:val="17"/>
          <w:szCs w:val="17"/>
          <w:color w:val="auto"/>
        </w:rPr>
        <w:t>Include if LOA policy is in effect.</w:t>
      </w:r>
    </w:p>
    <w:p>
      <w:pPr>
        <w:sectPr>
          <w:pgSz w:w="11900" w:h="16838" w:orient="portrait"/>
          <w:cols w:equalWidth="0" w:num="1">
            <w:col w:w="11200"/>
          </w:cols>
          <w:pgMar w:left="320" w:top="1383" w:right="379" w:bottom="1440" w:gutter="0" w:footer="0" w:header="0"/>
        </w:sectPr>
      </w:pPr>
    </w:p>
    <w:bookmarkStart w:id="165" w:name="page166"/>
    <w:bookmarkEnd w:id="165"/>
    <w:p>
      <w:pPr>
        <w:jc w:val="center"/>
        <w:ind w:right="4580"/>
        <w:spacing w:after="0"/>
        <w:rPr>
          <w:sz w:val="20"/>
          <w:szCs w:val="20"/>
          <w:color w:val="auto"/>
        </w:rPr>
      </w:pPr>
      <w:r>
        <w:rPr>
          <w:rFonts w:ascii="Arial" w:cs="Arial" w:eastAsia="Arial" w:hAnsi="Arial"/>
          <w:sz w:val="22"/>
          <w:szCs w:val="22"/>
          <w:color w:val="auto"/>
        </w:rPr>
        <w:t>Incremental Number</w:t>
      </w:r>
    </w:p>
    <w:p>
      <w:pPr>
        <w:jc w:val="center"/>
        <w:ind w:right="4580"/>
        <w:spacing w:after="0" w:line="195" w:lineRule="auto"/>
        <w:rPr>
          <w:sz w:val="20"/>
          <w:szCs w:val="20"/>
          <w:color w:val="auto"/>
        </w:rPr>
      </w:pPr>
      <w:r>
        <w:rPr>
          <w:rFonts w:ascii="Arial" w:cs="Arial" w:eastAsia="Arial" w:hAnsi="Arial"/>
          <w:sz w:val="22"/>
          <w:szCs w:val="22"/>
          <w:color w:val="auto"/>
        </w:rPr>
        <w:t>of Shares Vested</w:t>
      </w:r>
    </w:p>
    <w:tbl>
      <w:tblPr>
        <w:tblLayout w:type="fixed"/>
        <w:tblInd w:w="226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2620" w:type="dxa"/>
            <w:vAlign w:val="bottom"/>
            <w:gridSpan w:val="3"/>
          </w:tcPr>
          <w:p>
            <w:pPr>
              <w:jc w:val="center"/>
              <w:ind w:left="1212"/>
              <w:spacing w:after="0" w:line="195" w:lineRule="exact"/>
              <w:rPr>
                <w:sz w:val="20"/>
                <w:szCs w:val="20"/>
                <w:color w:val="auto"/>
              </w:rPr>
            </w:pPr>
            <w:r>
              <w:rPr>
                <w:rFonts w:ascii="Arial" w:cs="Arial" w:eastAsia="Arial" w:hAnsi="Arial"/>
                <w:sz w:val="22"/>
                <w:szCs w:val="22"/>
                <w:color w:val="auto"/>
                <w:w w:val="87"/>
              </w:rPr>
              <w:t>Vesting Date</w:t>
            </w:r>
          </w:p>
        </w:tc>
      </w:tr>
      <w:tr>
        <w:trPr>
          <w:trHeight w:val="20"/>
        </w:trPr>
        <w:tc>
          <w:tcPr>
            <w:tcW w:w="34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6"/>
        </w:trPr>
        <w:tc>
          <w:tcPr>
            <w:tcW w:w="3440" w:type="dxa"/>
            <w:vAlign w:val="bottom"/>
            <w:gridSpan w:val="3"/>
          </w:tcPr>
          <w:p>
            <w:pPr>
              <w:jc w:val="right"/>
              <w:ind w:right="1340"/>
              <w:spacing w:after="0"/>
              <w:rPr>
                <w:sz w:val="20"/>
                <w:szCs w:val="20"/>
                <w:color w:val="auto"/>
              </w:rPr>
            </w:pPr>
            <w:r>
              <w:rPr>
                <w:rFonts w:ascii="Arial" w:cs="Arial" w:eastAsia="Arial" w:hAnsi="Arial"/>
                <w:sz w:val="22"/>
                <w:szCs w:val="22"/>
                <w:color w:val="auto"/>
                <w:w w:val="88"/>
              </w:rPr>
              <w:t>_____________ (___%)</w:t>
            </w:r>
          </w:p>
        </w:tc>
        <w:tc>
          <w:tcPr>
            <w:tcW w:w="2620" w:type="dxa"/>
            <w:vAlign w:val="bottom"/>
            <w:gridSpan w:val="3"/>
          </w:tcPr>
          <w:p>
            <w:pPr>
              <w:jc w:val="center"/>
              <w:ind w:left="1212"/>
              <w:spacing w:after="0"/>
              <w:rPr>
                <w:sz w:val="20"/>
                <w:szCs w:val="20"/>
                <w:color w:val="auto"/>
              </w:rPr>
            </w:pPr>
            <w:r>
              <w:rPr>
                <w:rFonts w:ascii="Arial" w:cs="Arial" w:eastAsia="Arial" w:hAnsi="Arial"/>
                <w:sz w:val="22"/>
                <w:szCs w:val="22"/>
                <w:color w:val="auto"/>
                <w:w w:val="88"/>
              </w:rPr>
              <w:t>____________</w:t>
            </w:r>
          </w:p>
        </w:tc>
      </w:tr>
      <w:tr>
        <w:trPr>
          <w:trHeight w:val="270"/>
        </w:trPr>
        <w:tc>
          <w:tcPr>
            <w:tcW w:w="3440" w:type="dxa"/>
            <w:vAlign w:val="bottom"/>
            <w:gridSpan w:val="3"/>
          </w:tcPr>
          <w:p>
            <w:pPr>
              <w:jc w:val="right"/>
              <w:ind w:right="1340"/>
              <w:spacing w:after="0"/>
              <w:rPr>
                <w:sz w:val="20"/>
                <w:szCs w:val="20"/>
                <w:color w:val="auto"/>
              </w:rPr>
            </w:pPr>
            <w:r>
              <w:rPr>
                <w:rFonts w:ascii="Arial" w:cs="Arial" w:eastAsia="Arial" w:hAnsi="Arial"/>
                <w:sz w:val="22"/>
                <w:szCs w:val="22"/>
                <w:color w:val="auto"/>
                <w:w w:val="88"/>
              </w:rPr>
              <w:t>_____________ (___%)</w:t>
            </w:r>
          </w:p>
        </w:tc>
        <w:tc>
          <w:tcPr>
            <w:tcW w:w="2620" w:type="dxa"/>
            <w:vAlign w:val="bottom"/>
            <w:gridSpan w:val="3"/>
          </w:tcPr>
          <w:p>
            <w:pPr>
              <w:jc w:val="center"/>
              <w:ind w:left="1212"/>
              <w:spacing w:after="0"/>
              <w:rPr>
                <w:sz w:val="20"/>
                <w:szCs w:val="20"/>
                <w:color w:val="auto"/>
              </w:rPr>
            </w:pPr>
            <w:r>
              <w:rPr>
                <w:rFonts w:ascii="Arial" w:cs="Arial" w:eastAsia="Arial" w:hAnsi="Arial"/>
                <w:sz w:val="22"/>
                <w:szCs w:val="22"/>
                <w:color w:val="auto"/>
                <w:w w:val="88"/>
              </w:rPr>
              <w:t>____________</w:t>
            </w:r>
          </w:p>
        </w:tc>
      </w:tr>
      <w:tr>
        <w:trPr>
          <w:trHeight w:val="270"/>
        </w:trPr>
        <w:tc>
          <w:tcPr>
            <w:tcW w:w="3440" w:type="dxa"/>
            <w:vAlign w:val="bottom"/>
            <w:gridSpan w:val="3"/>
          </w:tcPr>
          <w:p>
            <w:pPr>
              <w:jc w:val="right"/>
              <w:ind w:right="1340"/>
              <w:spacing w:after="0"/>
              <w:rPr>
                <w:sz w:val="20"/>
                <w:szCs w:val="20"/>
                <w:color w:val="auto"/>
              </w:rPr>
            </w:pPr>
            <w:r>
              <w:rPr>
                <w:rFonts w:ascii="Arial" w:cs="Arial" w:eastAsia="Arial" w:hAnsi="Arial"/>
                <w:sz w:val="22"/>
                <w:szCs w:val="22"/>
                <w:color w:val="auto"/>
                <w:w w:val="88"/>
              </w:rPr>
              <w:t>_____________ (___%)</w:t>
            </w:r>
          </w:p>
        </w:tc>
        <w:tc>
          <w:tcPr>
            <w:tcW w:w="2620" w:type="dxa"/>
            <w:vAlign w:val="bottom"/>
            <w:gridSpan w:val="3"/>
          </w:tcPr>
          <w:p>
            <w:pPr>
              <w:jc w:val="center"/>
              <w:ind w:left="1212"/>
              <w:spacing w:after="0"/>
              <w:rPr>
                <w:sz w:val="20"/>
                <w:szCs w:val="20"/>
                <w:color w:val="auto"/>
              </w:rPr>
            </w:pPr>
            <w:r>
              <w:rPr>
                <w:rFonts w:ascii="Arial" w:cs="Arial" w:eastAsia="Arial" w:hAnsi="Arial"/>
                <w:sz w:val="22"/>
                <w:szCs w:val="22"/>
                <w:color w:val="auto"/>
                <w:w w:val="88"/>
              </w:rPr>
              <w:t>____________</w:t>
            </w:r>
          </w:p>
        </w:tc>
      </w:tr>
      <w:tr>
        <w:trPr>
          <w:trHeight w:val="270"/>
        </w:trPr>
        <w:tc>
          <w:tcPr>
            <w:tcW w:w="3440" w:type="dxa"/>
            <w:vAlign w:val="bottom"/>
            <w:gridSpan w:val="3"/>
          </w:tcPr>
          <w:p>
            <w:pPr>
              <w:jc w:val="right"/>
              <w:ind w:right="1340"/>
              <w:spacing w:after="0"/>
              <w:rPr>
                <w:sz w:val="20"/>
                <w:szCs w:val="20"/>
                <w:color w:val="auto"/>
              </w:rPr>
            </w:pPr>
            <w:r>
              <w:rPr>
                <w:rFonts w:ascii="Arial" w:cs="Arial" w:eastAsia="Arial" w:hAnsi="Arial"/>
                <w:sz w:val="22"/>
                <w:szCs w:val="22"/>
                <w:color w:val="auto"/>
                <w:w w:val="88"/>
              </w:rPr>
              <w:t>_____________ (___%)</w:t>
            </w:r>
          </w:p>
        </w:tc>
        <w:tc>
          <w:tcPr>
            <w:tcW w:w="2620" w:type="dxa"/>
            <w:vAlign w:val="bottom"/>
            <w:gridSpan w:val="3"/>
          </w:tcPr>
          <w:p>
            <w:pPr>
              <w:jc w:val="center"/>
              <w:ind w:left="1212"/>
              <w:spacing w:after="0"/>
              <w:rPr>
                <w:sz w:val="20"/>
                <w:szCs w:val="20"/>
                <w:color w:val="auto"/>
              </w:rPr>
            </w:pPr>
            <w:r>
              <w:rPr>
                <w:rFonts w:ascii="Arial" w:cs="Arial" w:eastAsia="Arial" w:hAnsi="Arial"/>
                <w:sz w:val="22"/>
                <w:szCs w:val="22"/>
                <w:color w:val="auto"/>
                <w:w w:val="88"/>
              </w:rPr>
              <w:t>____________</w:t>
            </w:r>
          </w:p>
        </w:tc>
      </w:tr>
      <w:tr>
        <w:trPr>
          <w:trHeight w:val="274"/>
        </w:trPr>
        <w:tc>
          <w:tcPr>
            <w:tcW w:w="3440" w:type="dxa"/>
            <w:vAlign w:val="bottom"/>
            <w:gridSpan w:val="3"/>
          </w:tcPr>
          <w:p>
            <w:pPr>
              <w:jc w:val="right"/>
              <w:ind w:right="1340"/>
              <w:spacing w:after="0"/>
              <w:rPr>
                <w:sz w:val="20"/>
                <w:szCs w:val="20"/>
                <w:color w:val="auto"/>
              </w:rPr>
            </w:pPr>
            <w:r>
              <w:rPr>
                <w:rFonts w:ascii="Arial" w:cs="Arial" w:eastAsia="Arial" w:hAnsi="Arial"/>
                <w:sz w:val="22"/>
                <w:szCs w:val="22"/>
                <w:color w:val="auto"/>
                <w:w w:val="88"/>
              </w:rPr>
              <w:t>_____________ (___%)</w:t>
            </w:r>
          </w:p>
        </w:tc>
        <w:tc>
          <w:tcPr>
            <w:tcW w:w="2620" w:type="dxa"/>
            <w:vAlign w:val="bottom"/>
            <w:gridSpan w:val="3"/>
          </w:tcPr>
          <w:p>
            <w:pPr>
              <w:jc w:val="center"/>
              <w:ind w:left="1212"/>
              <w:spacing w:after="0"/>
              <w:rPr>
                <w:sz w:val="20"/>
                <w:szCs w:val="20"/>
                <w:color w:val="auto"/>
              </w:rPr>
            </w:pPr>
            <w:r>
              <w:rPr>
                <w:rFonts w:ascii="Arial" w:cs="Arial" w:eastAsia="Arial" w:hAnsi="Arial"/>
                <w:sz w:val="22"/>
                <w:szCs w:val="22"/>
                <w:color w:val="auto"/>
                <w:w w:val="88"/>
              </w:rPr>
              <w:t>____________</w:t>
            </w:r>
          </w:p>
        </w:tc>
      </w:tr>
    </w:tbl>
    <w:p>
      <w:pPr>
        <w:spacing w:after="0" w:line="27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9"/>
          <w:szCs w:val="19"/>
          <w:color w:val="auto"/>
        </w:rPr>
        <w:t>Notwithstanding anything in this Agreement to the contrary, in the case of a Sale Event, the shares of Restricted Stock shall be treated as provided in Section 3(c) of the Plan[ provided; however that the shares of Restricted Stock shall be subject to any executive agreement by and between the Grantee and the Company, as applicable (the “Executive Agreement”)]</w:t>
      </w:r>
      <w:r>
        <w:rPr>
          <w:rFonts w:ascii="Arial" w:cs="Arial" w:eastAsia="Arial" w:hAnsi="Arial"/>
          <w:sz w:val="25"/>
          <w:szCs w:val="25"/>
          <w:color w:val="auto"/>
          <w:vertAlign w:val="superscript"/>
        </w:rPr>
        <w:t>48</w:t>
      </w:r>
      <w:r>
        <w:rPr>
          <w:rFonts w:ascii="Arial" w:cs="Arial" w:eastAsia="Arial" w:hAnsi="Arial"/>
          <w:sz w:val="19"/>
          <w:szCs w:val="19"/>
          <w:color w:val="auto"/>
        </w:rPr>
        <w:t>.</w:t>
      </w:r>
    </w:p>
    <w:p>
      <w:pPr>
        <w:spacing w:after="0" w:line="46" w:lineRule="exact"/>
        <w:rPr>
          <w:sz w:val="20"/>
          <w:szCs w:val="20"/>
          <w:color w:val="auto"/>
        </w:rPr>
      </w:pPr>
    </w:p>
    <w:p>
      <w:pPr>
        <w:ind w:right="180" w:firstLine="648"/>
        <w:spacing w:after="0" w:line="223" w:lineRule="auto"/>
        <w:rPr>
          <w:sz w:val="20"/>
          <w:szCs w:val="20"/>
          <w:color w:val="auto"/>
        </w:rPr>
      </w:pPr>
      <w:r>
        <w:rPr>
          <w:rFonts w:ascii="Arial" w:cs="Arial" w:eastAsia="Arial" w:hAnsi="Arial"/>
          <w:sz w:val="22"/>
          <w:szCs w:val="22"/>
          <w:color w:val="auto"/>
        </w:rPr>
        <w:t>Subsequent to such Vesting Date or Dates, the shares of Stock on which all restrictions and conditions have lapsed shall no longer be deemed Restricted Stock. The Administrator may at any time accelerate the vesting schedule specified in this Paragraph 3 in circumstances involving the Grantee’s death or disability.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179" w:lineRule="exact"/>
        <w:rPr>
          <w:sz w:val="20"/>
          <w:szCs w:val="20"/>
          <w:color w:val="auto"/>
        </w:rPr>
      </w:pPr>
    </w:p>
    <w:p>
      <w:pPr>
        <w:ind w:right="120" w:firstLine="648"/>
        <w:spacing w:after="0" w:line="21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sz w:val="20"/>
          <w:szCs w:val="20"/>
          <w:color w:val="auto"/>
        </w:rPr>
      </w:pPr>
    </w:p>
    <w:p>
      <w:pPr>
        <w:ind w:right="40" w:firstLine="648"/>
        <w:spacing w:after="0" w:line="247"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Transferability</w:t>
      </w:r>
      <w:r>
        <w:rPr>
          <w:rFonts w:ascii="Arial" w:cs="Arial" w:eastAsia="Arial" w:hAnsi="Arial"/>
          <w:sz w:val="21"/>
          <w:szCs w:val="21"/>
          <w:color w:val="auto"/>
        </w:rPr>
        <w:t>. This Agreement is personal to the Grantee, is non-assignable and is not transferable in any manner, by operation of law or otherwise, other than by will or the laws of descent and distribution.</w:t>
      </w:r>
    </w:p>
    <w:p>
      <w:pPr>
        <w:spacing w:after="0" w:line="15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Tax Withholding</w:t>
      </w:r>
      <w:r>
        <w:rPr>
          <w:rFonts w:ascii="Arial" w:cs="Arial" w:eastAsia="Arial" w:hAnsi="Arial"/>
          <w:sz w:val="19"/>
          <w:szCs w:val="19"/>
          <w:color w:val="auto"/>
        </w:rPr>
        <w:t>. 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including, without limitation, the grant or vesting of the Restricted Stock, the subsequent sale of the shares of Stock, and the receipt of any dividends or dividend equivalents; and (b) do not commit to and are under no obligation to structure the terms of the grant or any aspect of the Restricted Stock to reduce or eliminate the Grantee’s liability for Tax-Related Items or achieve any particular tax result. The Grantee shall not make any claim against the Company or its Board, officers or employees related to Tax-Related Items arising from the Restricted Stock or the Grantee’s other compensation. Furthermore, if the Grantee has become subject to tax in more than one jurisdiction between the Grant Date and the date of any relevant taxable or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714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0" w:hanging="163"/>
        <w:spacing w:after="0"/>
        <w:tabs>
          <w:tab w:leader="none" w:pos="560" w:val="left"/>
        </w:tabs>
        <w:numPr>
          <w:ilvl w:val="0"/>
          <w:numId w:val="123"/>
        </w:numPr>
        <w:rPr>
          <w:rFonts w:ascii="Arial" w:cs="Arial" w:eastAsia="Arial" w:hAnsi="Arial"/>
          <w:sz w:val="22"/>
          <w:szCs w:val="22"/>
          <w:color w:val="auto"/>
          <w:vertAlign w:val="superscript"/>
        </w:rPr>
      </w:pPr>
      <w:r>
        <w:rPr>
          <w:rFonts w:ascii="Arial" w:cs="Arial" w:eastAsia="Arial" w:hAnsi="Arial"/>
          <w:sz w:val="17"/>
          <w:szCs w:val="17"/>
          <w:color w:val="auto"/>
        </w:rPr>
        <w:t>For executives with executive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36" w:right="399" w:bottom="1440" w:gutter="0" w:footer="0" w:header="0"/>
        </w:sectPr>
      </w:pPr>
    </w:p>
    <w:bookmarkStart w:id="166" w:name="page167"/>
    <w:bookmarkEnd w:id="166"/>
    <w:p>
      <w:pPr>
        <w:ind w:right="200"/>
        <w:spacing w:after="0" w:line="232" w:lineRule="auto"/>
        <w:rPr>
          <w:sz w:val="20"/>
          <w:szCs w:val="20"/>
          <w:color w:val="auto"/>
        </w:rPr>
      </w:pPr>
      <w:r>
        <w:rPr>
          <w:rFonts w:ascii="Arial" w:cs="Arial" w:eastAsia="Arial" w:hAnsi="Arial"/>
          <w:sz w:val="22"/>
          <w:szCs w:val="22"/>
          <w:color w:val="auto"/>
        </w:rPr>
        <w:t>event, as applicable, the Grantee acknowledges that the Company and/or the Employer (or former employer, as applicable) may be required to withhold or account for Tax-Related Items in more than one jurisdiction.</w:t>
      </w:r>
    </w:p>
    <w:p>
      <w:pPr>
        <w:spacing w:after="0" w:line="159" w:lineRule="exact"/>
        <w:rPr>
          <w:sz w:val="20"/>
          <w:szCs w:val="20"/>
          <w:color w:val="auto"/>
        </w:rPr>
      </w:pPr>
    </w:p>
    <w:p>
      <w:pPr>
        <w:jc w:val="both"/>
        <w:ind w:firstLine="519"/>
        <w:spacing w:after="0" w:line="218"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61" w:lineRule="exact"/>
        <w:rPr>
          <w:sz w:val="20"/>
          <w:szCs w:val="20"/>
          <w:color w:val="auto"/>
        </w:rPr>
      </w:pPr>
    </w:p>
    <w:p>
      <w:pPr>
        <w:ind w:left="1760" w:hanging="456"/>
        <w:spacing w:after="0"/>
        <w:tabs>
          <w:tab w:leader="none" w:pos="17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Employer; or</w:t>
      </w:r>
    </w:p>
    <w:p>
      <w:pPr>
        <w:spacing w:after="0" w:line="161" w:lineRule="exact"/>
        <w:rPr>
          <w:rFonts w:ascii="Arial" w:cs="Arial" w:eastAsia="Arial" w:hAnsi="Arial"/>
          <w:sz w:val="19"/>
          <w:szCs w:val="19"/>
          <w:color w:val="auto"/>
        </w:rPr>
      </w:pPr>
    </w:p>
    <w:p>
      <w:pPr>
        <w:ind w:firstLine="1304"/>
        <w:spacing w:after="0" w:line="232" w:lineRule="auto"/>
        <w:tabs>
          <w:tab w:leader="none" w:pos="189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withholding from proceeds of the sale of shares of Stock, either through a voluntary sale or through a mandatory sale arranged by the Company (on the Grantee’s behalf pursuant to this authorization).</w:t>
      </w:r>
    </w:p>
    <w:p>
      <w:pPr>
        <w:spacing w:after="0" w:line="159" w:lineRule="exact"/>
        <w:rPr>
          <w:sz w:val="20"/>
          <w:szCs w:val="20"/>
          <w:color w:val="auto"/>
        </w:rPr>
      </w:pPr>
    </w:p>
    <w:p>
      <w:pPr>
        <w:jc w:val="both"/>
        <w:ind w:firstLine="649"/>
        <w:spacing w:after="0" w:line="226" w:lineRule="auto"/>
        <w:rPr>
          <w:sz w:val="20"/>
          <w:szCs w:val="20"/>
          <w:color w:val="auto"/>
        </w:rPr>
      </w:pPr>
      <w:r>
        <w:rPr>
          <w:rFonts w:ascii="Arial" w:cs="Arial" w:eastAsia="Arial" w:hAnsi="Arial"/>
          <w:sz w:val="21"/>
          <w:szCs w:val="21"/>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of Stock, the Grantee is deemed, for tax purposes, to have been issued the full number of shares of Restricted Stock, notwithstanding that a number of the shares is held back solely for the purpose of paying the Tax-Related Items due as a result of any aspect of the Grantee’s participation in the Plan.</w:t>
      </w:r>
    </w:p>
    <w:p>
      <w:pPr>
        <w:spacing w:after="0" w:line="159" w:lineRule="exact"/>
        <w:rPr>
          <w:sz w:val="20"/>
          <w:szCs w:val="20"/>
          <w:color w:val="auto"/>
        </w:rPr>
      </w:pPr>
    </w:p>
    <w:p>
      <w:pPr>
        <w:jc w:val="both"/>
        <w:ind w:left="80" w:firstLine="1215"/>
        <w:spacing w:after="0" w:line="257" w:lineRule="auto"/>
        <w:rPr>
          <w:sz w:val="20"/>
          <w:szCs w:val="20"/>
          <w:color w:val="auto"/>
        </w:rPr>
      </w:pPr>
      <w:r>
        <w:rPr>
          <w:rFonts w:ascii="Arial" w:cs="Arial" w:eastAsia="Arial" w:hAnsi="Arial"/>
          <w:sz w:val="19"/>
          <w:szCs w:val="19"/>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spacing w:after="0" w:line="144" w:lineRule="exact"/>
        <w:rPr>
          <w:sz w:val="20"/>
          <w:szCs w:val="20"/>
          <w:color w:val="auto"/>
        </w:rPr>
      </w:pPr>
    </w:p>
    <w:p>
      <w:pPr>
        <w:ind w:right="60" w:firstLine="648"/>
        <w:spacing w:after="0" w:line="24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Election Under Section 83(b)</w:t>
      </w:r>
      <w:r>
        <w:rPr>
          <w:rFonts w:ascii="Arial" w:cs="Arial" w:eastAsia="Arial" w:hAnsi="Arial"/>
          <w:sz w:val="19"/>
          <w:szCs w:val="19"/>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52" w:lineRule="exact"/>
        <w:rPr>
          <w:sz w:val="20"/>
          <w:szCs w:val="20"/>
          <w:color w:val="auto"/>
        </w:rPr>
      </w:pPr>
    </w:p>
    <w:p>
      <w:pPr>
        <w:ind w:right="240" w:firstLine="648"/>
        <w:spacing w:after="0" w:line="21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No Obligation to Continue Employment or Other Service Relationship</w:t>
      </w:r>
      <w:r>
        <w:rPr>
          <w:rFonts w:ascii="Arial" w:cs="Arial" w:eastAsia="Arial" w:hAnsi="Arial"/>
          <w:sz w:val="22"/>
          <w:szCs w:val="22"/>
          <w:color w:val="auto"/>
        </w:rPr>
        <w:t>. Neither the Company nor any Subsidiary is obligated by or as a result of the Plan or this Agreement to continue the Grantee in an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spacing w:after="0" w:line="158" w:lineRule="exact"/>
        <w:rPr>
          <w:sz w:val="20"/>
          <w:szCs w:val="20"/>
          <w:color w:val="auto"/>
        </w:rPr>
      </w:pPr>
    </w:p>
    <w:p>
      <w:pPr>
        <w:jc w:val="both"/>
        <w:ind w:right="140" w:firstLine="648"/>
        <w:spacing w:after="0" w:line="22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Executive Agreement] constitute[s] the entire agreement[s] between the parties with respect to this Award and supersede[s] all prior agreements and discussions between the parties concerning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67" w:name="page168"/>
    <w:bookmarkEnd w:id="167"/>
    <w:p>
      <w:pPr>
        <w:ind w:right="60" w:firstLine="648"/>
        <w:spacing w:after="0" w:line="244"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5"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Paragraph .</w:t>
      </w:r>
    </w:p>
    <w:p>
      <w:pPr>
        <w:spacing w:after="0" w:line="153"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Guidewire Software, Inc.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377" w:lineRule="exact"/>
        <w:rPr>
          <w:sz w:val="20"/>
          <w:szCs w:val="20"/>
          <w:color w:val="auto"/>
        </w:rPr>
      </w:pPr>
    </w:p>
    <w:p>
      <w:pPr>
        <w:ind w:right="480"/>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-5715</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255905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530225</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804545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01" w:right="35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w w:val="90"/>
              </w:rPr>
              <w:t>Date:March 6, 2023</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MIKE ROSENBAUM</w:t>
            </w:r>
          </w:p>
        </w:tc>
      </w:tr>
      <w:tr>
        <w:trPr>
          <w:trHeight w:val="222"/>
        </w:trPr>
        <w:tc>
          <w:tcPr>
            <w:tcW w:w="3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Mike Rosenbaum</w:t>
            </w:r>
          </w:p>
        </w:tc>
      </w:tr>
      <w:tr>
        <w:trPr>
          <w:trHeight w:val="229"/>
        </w:trPr>
        <w:tc>
          <w:tcPr>
            <w:tcW w:w="39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230"/>
        </w:trPr>
        <w:tc>
          <w:tcPr>
            <w:tcW w:w="3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Jeff Cooper, certify that:</w:t>
      </w:r>
    </w:p>
    <w:p>
      <w:pPr>
        <w:spacing w:after="0" w:line="171"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1300" w:right="220" w:hanging="320"/>
        <w:spacing w:after="0" w:line="342" w:lineRule="auto"/>
        <w:tabs>
          <w:tab w:leader="none" w:pos="1291"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3" w:lineRule="auto"/>
        <w:tabs>
          <w:tab w:leader="none" w:pos="128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  March 6, 2023</w:t>
            </w:r>
          </w:p>
        </w:tc>
        <w:tc>
          <w:tcPr>
            <w:tcW w:w="2660" w:type="dxa"/>
            <w:vAlign w:val="bottom"/>
          </w:tcPr>
          <w:p>
            <w:pPr>
              <w:ind w:left="222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JEFF COOPER</w:t>
            </w:r>
          </w:p>
        </w:tc>
      </w:tr>
      <w:tr>
        <w:trPr>
          <w:trHeight w:val="222"/>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Jeff Cooper</w:t>
            </w:r>
          </w:p>
        </w:tc>
      </w:tr>
      <w:tr>
        <w:trPr>
          <w:trHeight w:val="230"/>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9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80" w:firstLine="445"/>
        <w:spacing w:after="0" w:line="292" w:lineRule="auto"/>
        <w:rPr>
          <w:sz w:val="20"/>
          <w:szCs w:val="20"/>
          <w:color w:val="auto"/>
        </w:rPr>
      </w:pPr>
      <w:r>
        <w:rPr>
          <w:rFonts w:ascii="Arial" w:cs="Arial" w:eastAsia="Arial" w:hAnsi="Arial"/>
          <w:sz w:val="16"/>
          <w:szCs w:val="16"/>
          <w:color w:val="auto"/>
        </w:rPr>
        <w:t>In connection with the Quarterly Report on Form 10-Q of Guidewire Software, Inc. for the quarterly period ended January 31, 2023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 w:lineRule="exact"/>
        <w:rPr>
          <w:sz w:val="20"/>
          <w:szCs w:val="20"/>
          <w:color w:val="auto"/>
        </w:rPr>
      </w:pPr>
    </w:p>
    <w:p>
      <w:pPr>
        <w:ind w:left="60"/>
        <w:spacing w:after="0"/>
        <w:tabs>
          <w:tab w:leader="none" w:pos="820" w:val="left"/>
          <w:tab w:leader="none" w:pos="582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Mike Rosenbaum</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January 31, 2023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 w:lineRule="exact"/>
        <w:rPr>
          <w:sz w:val="20"/>
          <w:szCs w:val="20"/>
          <w:color w:val="auto"/>
        </w:rPr>
      </w:pPr>
    </w:p>
    <w:p>
      <w:pPr>
        <w:ind w:left="800" w:right="3280" w:hanging="6587"/>
        <w:spacing w:after="0" w:line="274" w:lineRule="auto"/>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2023 By: /s/ JEFF COOPER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wp:posOffset>
            </wp:positionV>
            <wp:extent cx="30518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1)"/>
      <w:numFmt w:val="decimal"/>
      <w:start w:val="1"/>
    </w:lvl>
  </w:abstractNum>
  <w:abstractNum w:abstractNumId="5">
    <w:nsid w:val="5DB70AE5"/>
    <w:multiLevelType w:val="hybridMultilevel"/>
    <w:lvl w:ilvl="0">
      <w:lvlJc w:val="left"/>
      <w:lvlText w:val="(%1)"/>
      <w:numFmt w:val="decimal"/>
      <w:start w:val="1"/>
    </w:lvl>
  </w:abstractNum>
  <w:abstractNum w:abstractNumId="6">
    <w:nsid w:val="100F8FCA"/>
    <w:multiLevelType w:val="hybridMultilevel"/>
    <w:lvl w:ilvl="0">
      <w:lvlJc w:val="left"/>
      <w:lvlText w:val="%1."/>
      <w:numFmt w:val="decimal"/>
      <w:start w:val="7"/>
    </w:lvl>
  </w:abstractNum>
  <w:abstractNum w:abstractNumId="7">
    <w:nsid w:val="6590700B"/>
    <w:multiLevelType w:val="hybridMultilevel"/>
    <w:lvl w:ilvl="0">
      <w:lvlJc w:val="left"/>
      <w:lvlText w:val="(%1)"/>
      <w:numFmt w:val="decimal"/>
      <w:start w:val="1"/>
    </w:lvl>
  </w:abstractNum>
  <w:abstractNum w:abstractNumId="8">
    <w:nsid w:val="15014ACB"/>
    <w:multiLevelType w:val="hybridMultilevel"/>
    <w:lvl w:ilvl="0">
      <w:lvlJc w:val="left"/>
      <w:lvlText w:val="(%1)"/>
      <w:numFmt w:val="decimal"/>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1)"/>
      <w:numFmt w:val="decimal"/>
      <w:start w:val="20"/>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1)"/>
      <w:numFmt w:val="lowerLetter"/>
      <w:start w:val="1"/>
    </w:lvl>
    <w:lvl w:ilvl="1">
      <w:lvlJc w:val="left"/>
      <w:lvlText w:val="(%2)"/>
      <w:numFmt w:val="lowerRoman"/>
      <w:start w:val="1"/>
    </w:lvl>
  </w:abstractNum>
  <w:abstractNum w:abstractNumId="19">
    <w:nsid w:val="7BD3EE7B"/>
    <w:multiLevelType w:val="hybridMultilevel"/>
    <w:lvl w:ilvl="0">
      <w:lvlJc w:val="left"/>
      <w:lvlText w:val="(%1)"/>
      <w:numFmt w:val="lowerRoman"/>
      <w:start w:val="7"/>
    </w:lvl>
  </w:abstractNum>
  <w:abstractNum w:abstractNumId="20">
    <w:nsid w:val="51D9C564"/>
    <w:multiLevelType w:val="hybridMultilevel"/>
    <w:lvl w:ilvl="0">
      <w:lvlJc w:val="left"/>
      <w:lvlText w:val="%1"/>
      <w:numFmt w:val="lowerRoman"/>
      <w:start w:val="1"/>
    </w:lvl>
    <w:lvl w:ilvl="1">
      <w:lvlJc w:val="left"/>
      <w:lvlText w:val="(%2)"/>
      <w:numFmt w:val="lowerLetter"/>
      <w:start w:val="3"/>
    </w:lvl>
  </w:abstractNum>
  <w:abstractNum w:abstractNumId="21">
    <w:nsid w:val="613EFDC5"/>
    <w:multiLevelType w:val="hybridMultilevel"/>
    <w:lvl w:ilvl="0">
      <w:lvlJc w:val="left"/>
      <w:lvlText w:val="(%1)"/>
      <w:numFmt w:val="lowerRoman"/>
      <w:start w:val="4"/>
    </w:lvl>
    <w:lvl w:ilvl="1">
      <w:lvlJc w:val="left"/>
      <w:lvlText w:val="%2"/>
      <w:numFmt w:val="lowerLetter"/>
      <w:start w:val="1"/>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1)"/>
      <w:numFmt w:val="lowerLetter"/>
      <w:start w:val="4"/>
    </w:lvl>
  </w:abstractNum>
  <w:abstractNum w:abstractNumId="24">
    <w:nsid w:val="42963E5A"/>
    <w:multiLevelType w:val="hybridMultilevel"/>
    <w:lvl w:ilvl="0">
      <w:lvlJc w:val="left"/>
      <w:lvlText w:val="(%1)"/>
      <w:numFmt w:val="lowerLetter"/>
      <w:start w:val="1"/>
    </w:lvl>
  </w:abstractNum>
  <w:abstractNum w:abstractNumId="25">
    <w:nsid w:val="A0382C5"/>
    <w:multiLevelType w:val="hybridMultilevel"/>
    <w:lvl w:ilvl="0">
      <w:lvlJc w:val="left"/>
      <w:lvlText w:val="(%1)"/>
      <w:numFmt w:val="lowerLetter"/>
      <w:start w:val="2"/>
    </w:lvl>
    <w:lvl w:ilvl="1">
      <w:lvlJc w:val="left"/>
      <w:lvlText w:val="(%2)"/>
      <w:numFmt w:val="lowerRoman"/>
      <w:start w:val="1"/>
    </w:lvl>
  </w:abstractNum>
  <w:abstractNum w:abstractNumId="26">
    <w:nsid w:val="8F2B15E"/>
    <w:multiLevelType w:val="hybridMultilevel"/>
    <w:lvl w:ilvl="0">
      <w:lvlJc w:val="left"/>
      <w:lvlText w:val="(%1)"/>
      <w:numFmt w:val="lowerLetter"/>
      <w:start w:val="6"/>
    </w:lvl>
  </w:abstractNum>
  <w:abstractNum w:abstractNumId="27">
    <w:nsid w:val="1A32234B"/>
    <w:multiLevelType w:val="hybridMultilevel"/>
    <w:lvl w:ilvl="0">
      <w:lvlJc w:val="left"/>
      <w:lvlText w:val="(%1)"/>
      <w:numFmt w:val="lowerLetter"/>
      <w:start w:val="1"/>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lowerLetter"/>
      <w:start w:val="2"/>
    </w:lvl>
  </w:abstractNum>
  <w:abstractNum w:abstractNumId="30">
    <w:nsid w:val="4962813B"/>
    <w:multiLevelType w:val="hybridMultilevel"/>
    <w:lvl w:ilvl="0">
      <w:lvlJc w:val="left"/>
      <w:lvlText w:val="(%1)"/>
      <w:numFmt w:val="lowerLetter"/>
      <w:start w:val="1"/>
    </w:lvl>
  </w:abstractNum>
  <w:abstractNum w:abstractNumId="31">
    <w:nsid w:val="60B6DF70"/>
    <w:multiLevelType w:val="hybridMultilevel"/>
    <w:lvl w:ilvl="0">
      <w:lvlJc w:val="left"/>
      <w:lvlText w:val="(%1)"/>
      <w:numFmt w:val="lowerLetter"/>
      <w:start w:val="3"/>
    </w:lvl>
  </w:abstractNum>
  <w:abstractNum w:abstractNumId="32">
    <w:nsid w:val="6A5EE64"/>
    <w:multiLevelType w:val="hybridMultilevel"/>
    <w:lvl w:ilvl="0">
      <w:lvlJc w:val="left"/>
      <w:lvlText w:val="(%1)"/>
      <w:numFmt w:val="lowerLetter"/>
      <w:start w:val="1"/>
    </w:lvl>
  </w:abstractNum>
  <w:abstractNum w:abstractNumId="33">
    <w:nsid w:val="14330624"/>
    <w:multiLevelType w:val="hybridMultilevel"/>
    <w:lvl w:ilvl="0">
      <w:lvlJc w:val="left"/>
      <w:lvlText w:val="(%1)"/>
      <w:numFmt w:val="lowerLetter"/>
      <w:start w:val="2"/>
    </w:lvl>
  </w:abstractNum>
  <w:abstractNum w:abstractNumId="34">
    <w:nsid w:val="7FFFCA11"/>
    <w:multiLevelType w:val="hybridMultilevel"/>
    <w:lvl w:ilvl="0">
      <w:lvlJc w:val="left"/>
      <w:lvlText w:val="(%1)"/>
      <w:numFmt w:val="lowerLetter"/>
      <w:start w:val="1"/>
    </w:lvl>
  </w:abstractNum>
  <w:abstractNum w:abstractNumId="35">
    <w:nsid w:val="1A27709E"/>
    <w:multiLevelType w:val="hybridMultilevel"/>
    <w:lvl w:ilvl="0">
      <w:lvlJc w:val="left"/>
      <w:lvlText w:val="(%1)"/>
      <w:numFmt w:val="lowerLetter"/>
      <w:start w:val="1"/>
    </w:lvl>
  </w:abstractNum>
  <w:abstractNum w:abstractNumId="36">
    <w:nsid w:val="71EA1109"/>
    <w:multiLevelType w:val="hybridMultilevel"/>
    <w:lvl w:ilvl="0">
      <w:lvlJc w:val="left"/>
      <w:lvlText w:val="(%1)"/>
      <w:numFmt w:val="lowerLetter"/>
      <w:start w:val="1"/>
    </w:lvl>
    <w:lvl w:ilvl="1">
      <w:lvlJc w:val="left"/>
      <w:lvlText w:val="(%2)"/>
      <w:numFmt w:val="lowerLetter"/>
      <w:start w:val="9"/>
    </w:lvl>
  </w:abstractNum>
  <w:abstractNum w:abstractNumId="37">
    <w:nsid w:val="100F59DC"/>
    <w:multiLevelType w:val="hybridMultilevel"/>
    <w:lvl w:ilvl="0">
      <w:lvlJc w:val="left"/>
      <w:lvlText w:val="(%1)"/>
      <w:numFmt w:val="lowerRoman"/>
      <w:start w:val="2"/>
    </w:lvl>
  </w:abstractNum>
  <w:abstractNum w:abstractNumId="38">
    <w:nsid w:val="7FB7E0AA"/>
    <w:multiLevelType w:val="hybridMultilevel"/>
    <w:lvl w:ilvl="0">
      <w:lvlJc w:val="left"/>
      <w:lvlText w:val="(%1)"/>
      <w:numFmt w:val="lowerLetter"/>
      <w:start w:val="1"/>
    </w:lvl>
  </w:abstractNum>
  <w:abstractNum w:abstractNumId="39">
    <w:nsid w:val="6EB5BD4"/>
    <w:multiLevelType w:val="hybridMultilevel"/>
    <w:lvl w:ilvl="0">
      <w:lvlJc w:val="left"/>
      <w:lvlText w:val="(%1)"/>
      <w:numFmt w:val="lowerLetter"/>
      <w:start w:val="3"/>
    </w:lvl>
  </w:abstractNum>
  <w:abstractNum w:abstractNumId="40">
    <w:nsid w:val="6F6DD9AC"/>
    <w:multiLevelType w:val="hybridMultilevel"/>
    <w:lvl w:ilvl="0">
      <w:lvlJc w:val="left"/>
      <w:lvlText w:val="1"/>
      <w:numFmt w:val="bullet"/>
      <w:start w:val="1"/>
    </w:lvl>
  </w:abstractNum>
  <w:abstractNum w:abstractNumId="41">
    <w:nsid w:val="94211F2"/>
    <w:multiLevelType w:val="hybridMultilevel"/>
    <w:lvl w:ilvl="0">
      <w:lvlJc w:val="left"/>
      <w:lvlText w:val="2"/>
      <w:numFmt w:val="bullet"/>
      <w:start w:val="1"/>
    </w:lvl>
  </w:abstractNum>
  <w:abstractNum w:abstractNumId="42">
    <w:nsid w:val="885E1B"/>
    <w:multiLevelType w:val="hybridMultilevel"/>
    <w:lvl w:ilvl="0">
      <w:lvlJc w:val="left"/>
      <w:lvlText w:val="(%1)"/>
      <w:numFmt w:val="lowerLetter"/>
      <w:start w:val="1"/>
    </w:lvl>
  </w:abstractNum>
  <w:abstractNum w:abstractNumId="43">
    <w:nsid w:val="76272110"/>
    <w:multiLevelType w:val="hybridMultilevel"/>
    <w:lvl w:ilvl="0">
      <w:lvlJc w:val="left"/>
      <w:lvlText w:val="(%1)"/>
      <w:numFmt w:val="lowerLetter"/>
      <w:start w:val="3"/>
    </w:lvl>
  </w:abstractNum>
  <w:abstractNum w:abstractNumId="44">
    <w:nsid w:val="4C04A8AF"/>
    <w:multiLevelType w:val="hybridMultilevel"/>
    <w:lvl w:ilvl="0">
      <w:lvlJc w:val="left"/>
      <w:lvlText w:val="(%1)"/>
      <w:numFmt w:val="lowerRoman"/>
      <w:start w:val="3"/>
    </w:lvl>
  </w:abstractNum>
  <w:abstractNum w:abstractNumId="45">
    <w:nsid w:val="1716703B"/>
    <w:multiLevelType w:val="hybridMultilevel"/>
    <w:lvl w:ilvl="0">
      <w:lvlJc w:val="left"/>
      <w:lvlText w:val="3"/>
      <w:numFmt w:val="bullet"/>
      <w:start w:val="1"/>
    </w:lvl>
  </w:abstractNum>
  <w:abstractNum w:abstractNumId="46">
    <w:nsid w:val="14E17E33"/>
    <w:multiLevelType w:val="hybridMultilevel"/>
    <w:lvl w:ilvl="0">
      <w:lvlJc w:val="left"/>
      <w:lvlText w:val="4"/>
      <w:numFmt w:val="bullet"/>
      <w:start w:val="1"/>
    </w:lvl>
  </w:abstractNum>
  <w:abstractNum w:abstractNumId="47">
    <w:nsid w:val="3222E7CD"/>
    <w:multiLevelType w:val="hybridMultilevel"/>
    <w:lvl w:ilvl="0">
      <w:lvlJc w:val="left"/>
      <w:lvlText w:val="(%1)"/>
      <w:numFmt w:val="decimal"/>
      <w:start w:val="1"/>
    </w:lvl>
  </w:abstractNum>
  <w:abstractNum w:abstractNumId="48">
    <w:nsid w:val="74DE0EE3"/>
    <w:multiLevelType w:val="hybridMultilevel"/>
    <w:lvl w:ilvl="0">
      <w:lvlJc w:val="left"/>
      <w:lvlText w:val="(%1)"/>
      <w:numFmt w:val="lowerRoman"/>
      <w:start w:val="1"/>
    </w:lvl>
  </w:abstractNum>
  <w:abstractNum w:abstractNumId="49">
    <w:nsid w:val="68EBC550"/>
    <w:multiLevelType w:val="hybridMultilevel"/>
    <w:lvl w:ilvl="0">
      <w:lvlJc w:val="left"/>
      <w:lvlText w:val="(%1)"/>
      <w:numFmt w:val="lowerRoman"/>
      <w:start w:val="2"/>
    </w:lvl>
  </w:abstractNum>
  <w:abstractNum w:abstractNumId="50">
    <w:nsid w:val="2DF6D648"/>
    <w:multiLevelType w:val="hybridMultilevel"/>
    <w:lvl w:ilvl="0">
      <w:lvlJc w:val="left"/>
      <w:lvlText w:val="(%1)"/>
      <w:numFmt w:val="lowerRoman"/>
      <w:start w:val="12"/>
    </w:lvl>
    <w:lvl w:ilvl="1">
      <w:lvlJc w:val="left"/>
      <w:lvlText w:val="(%2)"/>
      <w:numFmt w:val="decimal"/>
      <w:start w:val="1"/>
    </w:lvl>
  </w:abstractNum>
  <w:abstractNum w:abstractNumId="51">
    <w:nsid w:val="46B7D447"/>
    <w:multiLevelType w:val="hybridMultilevel"/>
    <w:lvl w:ilvl="0">
      <w:lvlJc w:val="left"/>
      <w:lvlText w:val="(%1)"/>
      <w:numFmt w:val="lowerLetter"/>
      <w:start w:val="1"/>
    </w:lvl>
  </w:abstractNum>
  <w:abstractNum w:abstractNumId="52">
    <w:nsid w:val="4A2AC315"/>
    <w:multiLevelType w:val="hybridMultilevel"/>
    <w:lvl w:ilvl="0">
      <w:lvlJc w:val="left"/>
      <w:lvlText w:val="(%1)"/>
      <w:numFmt w:val="lowerLetter"/>
      <w:start w:val="8"/>
    </w:lvl>
  </w:abstractNum>
  <w:abstractNum w:abstractNumId="53">
    <w:nsid w:val="39EE015C"/>
    <w:multiLevelType w:val="hybridMultilevel"/>
    <w:lvl w:ilvl="0">
      <w:lvlJc w:val="left"/>
      <w:lvlText w:val="%1"/>
      <w:numFmt w:val="lowerLetter"/>
      <w:start w:val="1"/>
    </w:lvl>
    <w:lvl w:ilvl="1">
      <w:lvlJc w:val="left"/>
      <w:lvlText w:val="(%2)"/>
      <w:numFmt w:val="lowerLetter"/>
      <w:start w:val="1"/>
    </w:lvl>
  </w:abstractNum>
  <w:abstractNum w:abstractNumId="54">
    <w:nsid w:val="57FC4FBB"/>
    <w:multiLevelType w:val="hybridMultilevel"/>
    <w:lvl w:ilvl="0">
      <w:lvlJc w:val="left"/>
      <w:lvlText w:val="(%1)"/>
      <w:numFmt w:val="lowerLetter"/>
      <w:start w:val="2"/>
    </w:lvl>
    <w:lvl w:ilvl="1">
      <w:lvlJc w:val="left"/>
      <w:lvlText w:val="%2"/>
      <w:numFmt w:val="lowerLetter"/>
      <w:start w:val="1"/>
    </w:lvl>
  </w:abstractNum>
  <w:abstractNum w:abstractNumId="55">
    <w:nsid w:val="CC1016F"/>
    <w:multiLevelType w:val="hybridMultilevel"/>
    <w:lvl w:ilvl="0">
      <w:lvlJc w:val="left"/>
      <w:lvlText w:val="(%1)"/>
      <w:numFmt w:val="lowerLetter"/>
      <w:start w:val="6"/>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0">
    <w:nsid w:val="49DA307D"/>
    <w:multiLevelType w:val="hybridMultilevel"/>
    <w:lvl w:ilvl="0">
      <w:lvlJc w:val="left"/>
      <w:lvlText w:val="(%1)"/>
      <w:numFmt w:val="decimal"/>
      <w:start w:val="1"/>
    </w:lvl>
  </w:abstractNum>
  <w:abstractNum w:abstractNumId="61">
    <w:nsid w:val="7055A5F5"/>
    <w:multiLevelType w:val="hybridMultilevel"/>
    <w:lvl w:ilvl="0">
      <w:lvlJc w:val="left"/>
      <w:lvlText w:val="(%1)"/>
      <w:numFmt w:val="decimal"/>
      <w:start w:val="1"/>
    </w:lvl>
  </w:abstractNum>
  <w:abstractNum w:abstractNumId="62">
    <w:nsid w:val="5FB8370B"/>
    <w:multiLevelType w:val="hybridMultilevel"/>
    <w:lvl w:ilvl="0">
      <w:lvlJc w:val="left"/>
      <w:lvlText w:val="5"/>
      <w:numFmt w:val="bullet"/>
      <w:start w:val="1"/>
    </w:lvl>
  </w:abstractNum>
  <w:abstractNum w:abstractNumId="63">
    <w:nsid w:val="50801EE1"/>
    <w:multiLevelType w:val="hybridMultilevel"/>
    <w:lvl w:ilvl="0">
      <w:lvlJc w:val="left"/>
      <w:lvlText w:val="6"/>
      <w:numFmt w:val="bullet"/>
      <w:start w:val="1"/>
    </w:lvl>
  </w:abstractNum>
  <w:abstractNum w:abstractNumId="64">
    <w:nsid w:val="488AC1A"/>
    <w:multiLevelType w:val="hybridMultilevel"/>
    <w:lvl w:ilvl="0">
      <w:lvlJc w:val="left"/>
      <w:lvlText w:val="7"/>
      <w:numFmt w:val="bullet"/>
      <w:start w:val="1"/>
    </w:lvl>
  </w:abstractNum>
  <w:abstractNum w:abstractNumId="65">
    <w:nsid w:val="5FB8011C"/>
    <w:multiLevelType w:val="hybridMultilevel"/>
    <w:lvl w:ilvl="0">
      <w:lvlJc w:val="left"/>
      <w:lvlText w:val="8"/>
      <w:numFmt w:val="bullet"/>
      <w:start w:val="1"/>
    </w:lvl>
  </w:abstractNum>
  <w:abstractNum w:abstractNumId="66">
    <w:nsid w:val="6AA78F7F"/>
    <w:multiLevelType w:val="hybridMultilevel"/>
    <w:lvl w:ilvl="0">
      <w:lvlJc w:val="left"/>
      <w:lvlText w:val="9"/>
      <w:numFmt w:val="bullet"/>
      <w:start w:val="1"/>
    </w:lvl>
  </w:abstractNum>
  <w:abstractNum w:abstractNumId="67">
    <w:nsid w:val="7672BD23"/>
    <w:multiLevelType w:val="hybridMultilevel"/>
    <w:lvl w:ilvl="0">
      <w:lvlJc w:val="left"/>
      <w:lvlText w:val="%1"/>
      <w:numFmt w:val="decimal"/>
      <w:start w:val="10"/>
    </w:lvl>
  </w:abstractNum>
  <w:abstractNum w:abstractNumId="68">
    <w:nsid w:val="6FC75AF8"/>
    <w:multiLevelType w:val="hybridMultilevel"/>
    <w:lvl w:ilvl="0">
      <w:lvlJc w:val="left"/>
      <w:lvlText w:val="%1"/>
      <w:numFmt w:val="decimal"/>
      <w:start w:val="14"/>
    </w:lvl>
  </w:abstractNum>
  <w:abstractNum w:abstractNumId="69">
    <w:nsid w:val="6A5F7029"/>
    <w:multiLevelType w:val="hybridMultilevel"/>
    <w:lvl w:ilvl="0">
      <w:lvlJc w:val="left"/>
      <w:lvlText w:val="%1"/>
      <w:numFmt w:val="decimal"/>
      <w:start w:val="33"/>
    </w:lvl>
  </w:abstractNum>
  <w:abstractNum w:abstractNumId="70">
    <w:nsid w:val="7D5E18F8"/>
    <w:multiLevelType w:val="hybridMultilevel"/>
    <w:lvl w:ilvl="0">
      <w:lvlJc w:val="left"/>
      <w:lvlText w:val="%1"/>
      <w:numFmt w:val="decimal"/>
      <w:start w:val="33"/>
    </w:lvl>
  </w:abstractNum>
  <w:abstractNum w:abstractNumId="71">
    <w:nsid w:val="5F3534A4"/>
    <w:multiLevelType w:val="hybridMultilevel"/>
    <w:lvl w:ilvl="0">
      <w:lvlJc w:val="left"/>
      <w:lvlText w:val="%1"/>
      <w:numFmt w:val="decimal"/>
      <w:start w:val="33"/>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1"/>
      <w:numFmt w:val="decimal"/>
      <w:start w:val="15"/>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1"/>
      <w:numFmt w:val="decimal"/>
      <w:start w:val="16"/>
    </w:lvl>
  </w:abstractNum>
  <w:abstractNum w:abstractNumId="76">
    <w:nsid w:val="14FCE74E"/>
    <w:multiLevelType w:val="hybridMultilevel"/>
    <w:lvl w:ilvl="0">
      <w:lvlJc w:val="left"/>
      <w:lvlText w:val="(%1)"/>
      <w:numFmt w:val="lowerLetter"/>
      <w:start w:val="2"/>
    </w:lvl>
  </w:abstractNum>
  <w:abstractNum w:abstractNumId="77">
    <w:nsid w:val="6A3DD3E8"/>
    <w:multiLevelType w:val="hybridMultilevel"/>
    <w:lvl w:ilvl="0">
      <w:lvlJc w:val="left"/>
      <w:lvlText w:val="%1"/>
      <w:numFmt w:val="decimal"/>
      <w:start w:val="17"/>
    </w:lvl>
  </w:abstractNum>
  <w:abstractNum w:abstractNumId="78">
    <w:nsid w:val="71C91298"/>
    <w:multiLevelType w:val="hybridMultilevel"/>
    <w:lvl w:ilvl="0">
      <w:lvlJc w:val="left"/>
      <w:lvlText w:val="(%1)"/>
      <w:numFmt w:val="lowerLetter"/>
      <w:start w:val="1"/>
    </w:lvl>
  </w:abstractNum>
  <w:abstractNum w:abstractNumId="79">
    <w:nsid w:val="9DAF632"/>
    <w:multiLevelType w:val="hybridMultilevel"/>
    <w:lvl w:ilvl="0">
      <w:lvlJc w:val="left"/>
      <w:lvlText w:val="%1"/>
      <w:numFmt w:val="decimal"/>
      <w:start w:val="20"/>
    </w:lvl>
  </w:abstractNum>
  <w:abstractNum w:abstractNumId="80">
    <w:nsid w:val="53299938"/>
    <w:multiLevelType w:val="hybridMultilevel"/>
    <w:lvl w:ilvl="0">
      <w:lvlJc w:val="left"/>
      <w:lvlText w:val="(%1)"/>
      <w:numFmt w:val="lowerLetter"/>
      <w:start w:val="2"/>
    </w:lvl>
  </w:abstractNum>
  <w:abstractNum w:abstractNumId="81">
    <w:nsid w:val="1FBFE8E0"/>
    <w:multiLevelType w:val="hybridMultilevel"/>
    <w:lvl w:ilvl="0">
      <w:lvlJc w:val="left"/>
      <w:lvlText w:val="%1"/>
      <w:numFmt w:val="lowerLetter"/>
      <w:start w:val="1"/>
    </w:lvl>
    <w:lvl w:ilvl="1">
      <w:lvlJc w:val="left"/>
      <w:lvlText w:val="(%2)"/>
      <w:numFmt w:val="lowerLetter"/>
      <w:start w:val="1"/>
    </w:lvl>
  </w:abstractNum>
  <w:abstractNum w:abstractNumId="82">
    <w:nsid w:val="5092CA79"/>
    <w:multiLevelType w:val="hybridMultilevel"/>
    <w:lvl w:ilvl="0">
      <w:lvlJc w:val="left"/>
      <w:lvlText w:val="(%1)"/>
      <w:numFmt w:val="lowerLetter"/>
      <w:start w:val="9"/>
    </w:lvl>
    <w:lvl w:ilvl="1">
      <w:lvlJc w:val="left"/>
      <w:lvlText w:val="%2"/>
      <w:numFmt w:val="lowerLetter"/>
      <w:start w:val="1"/>
    </w:lvl>
  </w:abstractNum>
  <w:abstractNum w:abstractNumId="83">
    <w:nsid w:val="1D545C4D"/>
    <w:multiLevelType w:val="hybridMultilevel"/>
    <w:lvl w:ilvl="0">
      <w:lvlJc w:val="left"/>
      <w:lvlText w:val="(%1)"/>
      <w:numFmt w:val="lowerLetter"/>
      <w:start w:val="4"/>
    </w:lvl>
  </w:abstractNum>
  <w:abstractNum w:abstractNumId="84">
    <w:nsid w:val="59ADEA3D"/>
    <w:multiLevelType w:val="hybridMultilevel"/>
    <w:lvl w:ilvl="0">
      <w:lvlJc w:val="left"/>
      <w:lvlText w:val="(%1)"/>
      <w:numFmt w:val="lowerLetter"/>
      <w:start w:val="2"/>
    </w:lvl>
  </w:abstractNum>
  <w:abstractNum w:abstractNumId="85">
    <w:nsid w:val="288F1A34"/>
    <w:multiLevelType w:val="hybridMultilevel"/>
    <w:lvl w:ilvl="0">
      <w:lvlJc w:val="left"/>
      <w:lvlText w:val="%1"/>
      <w:numFmt w:val="decimal"/>
      <w:start w:val="23"/>
    </w:lvl>
  </w:abstractNum>
  <w:abstractNum w:abstractNumId="86">
    <w:nsid w:val="2A155DBC"/>
    <w:multiLevelType w:val="hybridMultilevel"/>
    <w:lvl w:ilvl="0">
      <w:lvlJc w:val="left"/>
      <w:lvlText w:val="%1"/>
      <w:numFmt w:val="decimal"/>
      <w:start w:val="25"/>
    </w:lvl>
  </w:abstractNum>
  <w:abstractNum w:abstractNumId="87">
    <w:nsid w:val="1D9F6E5F"/>
    <w:multiLevelType w:val="hybridMultilevel"/>
    <w:lvl w:ilvl="0">
      <w:lvlJc w:val="left"/>
      <w:lvlText w:val="(%1)"/>
      <w:numFmt w:val="lowerLetter"/>
      <w:start w:val="1"/>
    </w:lvl>
  </w:abstractNum>
  <w:abstractNum w:abstractNumId="88">
    <w:nsid w:val="97E1B4E"/>
    <w:multiLevelType w:val="hybridMultilevel"/>
    <w:lvl w:ilvl="0">
      <w:lvlJc w:val="left"/>
      <w:lvlText w:val="%1"/>
      <w:numFmt w:val="decimal"/>
      <w:start w:val="26"/>
    </w:lvl>
  </w:abstractNum>
  <w:abstractNum w:abstractNumId="89">
    <w:nsid w:val="51088277"/>
    <w:multiLevelType w:val="hybridMultilevel"/>
    <w:lvl w:ilvl="0">
      <w:lvlJc w:val="left"/>
      <w:lvlText w:val="(%1)"/>
      <w:numFmt w:val="lowerLetter"/>
      <w:start w:val="2"/>
    </w:lvl>
  </w:abstractNum>
  <w:abstractNum w:abstractNumId="90">
    <w:nsid w:val="1CA0C5FA"/>
    <w:multiLevelType w:val="hybridMultilevel"/>
    <w:lvl w:ilvl="0">
      <w:lvlJc w:val="left"/>
      <w:lvlText w:val="%1"/>
      <w:numFmt w:val="decimal"/>
      <w:start w:val="1"/>
    </w:lvl>
    <w:lvl w:ilvl="1">
      <w:lvlJc w:val="left"/>
      <w:lvlText w:val="(%2)"/>
      <w:numFmt w:val="lowerLetter"/>
      <w:start w:val="1"/>
    </w:lvl>
  </w:abstractNum>
  <w:abstractNum w:abstractNumId="91">
    <w:nsid w:val="53584BCB"/>
    <w:multiLevelType w:val="hybridMultilevel"/>
    <w:lvl w:ilvl="0">
      <w:lvlJc w:val="left"/>
      <w:lvlText w:val="(%1)"/>
      <w:numFmt w:val="decimal"/>
      <w:start w:val="12"/>
    </w:lvl>
    <w:lvl w:ilvl="1">
      <w:lvlJc w:val="left"/>
      <w:lvlText w:val="(%2)"/>
      <w:numFmt w:val="lowerLetter"/>
      <w:start w:val="3"/>
    </w:lvl>
  </w:abstractNum>
  <w:abstractNum w:abstractNumId="92">
    <w:nsid w:val="415E286C"/>
    <w:multiLevelType w:val="hybridMultilevel"/>
    <w:lvl w:ilvl="0">
      <w:lvlJc w:val="left"/>
      <w:lvlText w:val="(%1)"/>
      <w:numFmt w:val="lowerLetter"/>
      <w:start w:val="4"/>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Roman"/>
      <w:start w:val="1"/>
    </w:lvl>
  </w:abstractNum>
  <w:abstractNum w:abstractNumId="95">
    <w:nsid w:val="45E6D486"/>
    <w:multiLevelType w:val="hybridMultilevel"/>
    <w:lvl w:ilvl="0">
      <w:lvlJc w:val="left"/>
      <w:lvlText w:val="(%1)"/>
      <w:numFmt w:val="lowerRoman"/>
      <w:start w:val="2"/>
    </w:lvl>
  </w:abstractNum>
  <w:abstractNum w:abstractNumId="96">
    <w:nsid w:val="5C10FE21"/>
    <w:multiLevelType w:val="hybridMultilevel"/>
    <w:lvl w:ilvl="0">
      <w:lvlJc w:val="left"/>
      <w:lvlText w:val="(%1)"/>
      <w:numFmt w:val="lowerRoman"/>
      <w:start w:val="13"/>
    </w:lvl>
    <w:lvl w:ilvl="1">
      <w:lvlJc w:val="left"/>
      <w:lvlText w:val="(%2)"/>
      <w:numFmt w:val="decimal"/>
      <w:start w:val="1"/>
    </w:lvl>
  </w:abstractNum>
  <w:abstractNum w:abstractNumId="97">
    <w:nsid w:val="E7FFA2B"/>
    <w:multiLevelType w:val="hybridMultilevel"/>
    <w:lvl w:ilvl="0">
      <w:lvlJc w:val="left"/>
      <w:lvlText w:val="(%1)"/>
      <w:numFmt w:val="lowerLetter"/>
      <w:start w:val="1"/>
    </w:lvl>
  </w:abstractNum>
  <w:abstractNum w:abstractNumId="98">
    <w:nsid w:val="3C5991AA"/>
    <w:multiLevelType w:val="hybridMultilevel"/>
    <w:lvl w:ilvl="0">
      <w:lvlJc w:val="left"/>
      <w:lvlText w:val="(%1)"/>
      <w:numFmt w:val="lowerLetter"/>
      <w:start w:val="8"/>
    </w:lvl>
  </w:abstractNum>
  <w:abstractNum w:abstractNumId="99">
    <w:nsid w:val="4BD8591A"/>
    <w:multiLevelType w:val="hybridMultilevel"/>
    <w:lvl w:ilvl="0">
      <w:lvlJc w:val="left"/>
      <w:lvlText w:val="%1"/>
      <w:numFmt w:val="lowerLetter"/>
      <w:start w:val="1"/>
    </w:lvl>
    <w:lvl w:ilvl="1">
      <w:lvlJc w:val="left"/>
      <w:lvlText w:val="(%2)"/>
      <w:numFmt w:val="lowerLetter"/>
      <w:start w:val="1"/>
    </w:lvl>
  </w:abstractNum>
  <w:abstractNum w:abstractNumId="100">
    <w:nsid w:val="78DF6A55"/>
    <w:multiLevelType w:val="hybridMultilevel"/>
    <w:lvl w:ilvl="0">
      <w:lvlJc w:val="left"/>
      <w:lvlText w:val="(%1)"/>
      <w:numFmt w:val="lowerLetter"/>
      <w:start w:val="2"/>
    </w:lvl>
    <w:lvl w:ilvl="1">
      <w:lvlJc w:val="left"/>
      <w:lvlText w:val="%2"/>
      <w:numFmt w:val="lowerLetter"/>
      <w:start w:val="1"/>
    </w:lvl>
  </w:abstractNum>
  <w:abstractNum w:abstractNumId="101">
    <w:nsid w:val="39B7AAA2"/>
    <w:multiLevelType w:val="hybridMultilevel"/>
    <w:lvl w:ilvl="0">
      <w:lvlJc w:val="left"/>
      <w:lvlText w:val="(%1)"/>
      <w:numFmt w:val="lowerLetter"/>
      <w:start w:val="6"/>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1."/>
      <w:numFmt w:val="decimal"/>
      <w:start w:val="1"/>
    </w:lvl>
  </w:abstractNum>
  <w:abstractNum w:abstractNumId="104">
    <w:nsid w:val="379E21B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5">
    <w:nsid w:val="69E373"/>
    <w:multiLevelType w:val="hybridMultilevel"/>
    <w:lvl w:ilvl="0">
      <w:lvlJc w:val="left"/>
      <w:lvlText w:val="%1"/>
      <w:numFmt w:val="decimal"/>
      <w:start w:val="1"/>
    </w:lvl>
    <w:lvl w:ilvl="1">
      <w:lvlJc w:val="left"/>
      <w:lvlText w:val="(%2)"/>
      <w:numFmt w:val="decimal"/>
      <w:start w:val="1"/>
    </w:lvl>
  </w:abstractNum>
  <w:abstractNum w:abstractNumId="106">
    <w:nsid w:val="2C27173B"/>
    <w:multiLevelType w:val="hybridMultilevel"/>
    <w:lvl w:ilvl="0">
      <w:lvlJc w:val="left"/>
      <w:lvlText w:val="%1."/>
      <w:numFmt w:val="decimal"/>
      <w:start w:val="1"/>
    </w:lvl>
    <w:lvl w:ilvl="1">
      <w:lvlJc w:val="left"/>
      <w:lvlText w:val="%2"/>
      <w:numFmt w:val="decimal"/>
      <w:start w:val="1"/>
    </w:lvl>
  </w:abstractNum>
  <w:abstractNum w:abstractNumId="107">
    <w:nsid w:val="4C9B0904"/>
    <w:multiLevelType w:val="hybridMultilevel"/>
    <w:lvl w:ilvl="0">
      <w:lvlJc w:val="left"/>
      <w:lvlText w:val="%1."/>
      <w:numFmt w:val="decimal"/>
      <w:start w:val="1"/>
    </w:lvl>
  </w:abstractNum>
  <w:abstractNum w:abstractNumId="108">
    <w:nsid w:val="6AA7B75C"/>
    <w:multiLevelType w:val="hybridMultilevel"/>
    <w:lvl w:ilvl="0">
      <w:lvlJc w:val="left"/>
      <w:lvlText w:val="(%1)"/>
      <w:numFmt w:val="decimal"/>
      <w:start w:val="1"/>
    </w:lvl>
  </w:abstractNum>
  <w:abstractNum w:abstractNumId="109">
    <w:nsid w:val="1DF029D3"/>
    <w:multiLevelType w:val="hybridMultilevel"/>
    <w:lvl w:ilvl="0">
      <w:lvlJc w:val="left"/>
      <w:lvlText w:val="%1"/>
      <w:numFmt w:val="decimal"/>
      <w:start w:val="27"/>
    </w:lvl>
  </w:abstractNum>
  <w:abstractNum w:abstractNumId="110">
    <w:nsid w:val="5675FF36"/>
    <w:multiLevelType w:val="hybridMultilevel"/>
    <w:lvl w:ilvl="0">
      <w:lvlJc w:val="left"/>
      <w:lvlText w:val="(%1)"/>
      <w:numFmt w:val="lowerLetter"/>
      <w:start w:val="1"/>
    </w:lvl>
  </w:abstractNum>
  <w:abstractNum w:abstractNumId="111">
    <w:nsid w:val="3DD15094"/>
    <w:multiLevelType w:val="hybridMultilevel"/>
    <w:lvl w:ilvl="0">
      <w:lvlJc w:val="left"/>
      <w:lvlText w:val="%1"/>
      <w:numFmt w:val="decimal"/>
      <w:start w:val="30"/>
    </w:lvl>
  </w:abstractNum>
  <w:abstractNum w:abstractNumId="112">
    <w:nsid w:val="3DB012B3"/>
    <w:multiLevelType w:val="hybridMultilevel"/>
    <w:lvl w:ilvl="0">
      <w:lvlJc w:val="left"/>
      <w:lvlText w:val="(%1)"/>
      <w:numFmt w:val="lowerLetter"/>
      <w:start w:val="2"/>
    </w:lvl>
  </w:abstractNum>
  <w:abstractNum w:abstractNumId="113">
    <w:nsid w:val="2708C9AF"/>
    <w:multiLevelType w:val="hybridMultilevel"/>
    <w:lvl w:ilvl="0">
      <w:lvlJc w:val="left"/>
      <w:lvlText w:val="(%1)"/>
      <w:numFmt w:val="lowerLetter"/>
      <w:start w:val="1"/>
    </w:lvl>
  </w:abstractNum>
  <w:abstractNum w:abstractNumId="114">
    <w:nsid w:val="5B25ACE2"/>
    <w:multiLevelType w:val="hybridMultilevel"/>
    <w:lvl w:ilvl="0">
      <w:lvlJc w:val="left"/>
      <w:lvlText w:val="%1"/>
      <w:numFmt w:val="decimal"/>
      <w:start w:val="33"/>
    </w:lvl>
  </w:abstractNum>
  <w:abstractNum w:abstractNumId="115">
    <w:nsid w:val="175DFCF0"/>
    <w:multiLevelType w:val="hybridMultilevel"/>
    <w:lvl w:ilvl="0">
      <w:lvlJc w:val="left"/>
      <w:lvlText w:val="(%1)"/>
      <w:numFmt w:val="lowerLetter"/>
      <w:start w:val="3"/>
    </w:lvl>
  </w:abstractNum>
  <w:abstractNum w:abstractNumId="116">
    <w:nsid w:val="4F97E3E4"/>
    <w:multiLevelType w:val="hybridMultilevel"/>
    <w:lvl w:ilvl="0">
      <w:lvlJc w:val="left"/>
      <w:lvlText w:val="%1"/>
      <w:numFmt w:val="decimal"/>
      <w:start w:val="37"/>
    </w:lvl>
  </w:abstractNum>
  <w:abstractNum w:abstractNumId="117">
    <w:nsid w:val="53B0A9E"/>
    <w:multiLevelType w:val="hybridMultilevel"/>
    <w:lvl w:ilvl="0">
      <w:lvlJc w:val="left"/>
      <w:lvlText w:val="%1"/>
      <w:numFmt w:val="decimal"/>
      <w:start w:val="43"/>
    </w:lvl>
  </w:abstractNum>
  <w:abstractNum w:abstractNumId="118">
    <w:nsid w:val="34FD6B4F"/>
    <w:multiLevelType w:val="hybridMultilevel"/>
    <w:lvl w:ilvl="0">
      <w:lvlJc w:val="left"/>
      <w:lvlText w:val="["/>
      <w:numFmt w:val="bullet"/>
      <w:start w:val="1"/>
    </w:lvl>
  </w:abstractNum>
  <w:abstractNum w:abstractNumId="119">
    <w:nsid w:val="5915FF32"/>
    <w:multiLevelType w:val="hybridMultilevel"/>
    <w:lvl w:ilvl="0">
      <w:lvlJc w:val="left"/>
      <w:lvlText w:val="(%1)"/>
      <w:numFmt w:val="lowerRoman"/>
      <w:start w:val="1"/>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decimal"/>
      <w:start w:val="47"/>
    </w:lvl>
  </w:abstractNum>
  <w:abstractNum w:abstractNumId="122">
    <w:nsid w:val="2C6E4AFD"/>
    <w:multiLevelType w:val="hybridMultilevel"/>
    <w:lvl w:ilvl="0">
      <w:lvlJc w:val="left"/>
      <w:lvlText w:val="%1"/>
      <w:numFmt w:val="decimal"/>
      <w:start w:val="48"/>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1."/>
      <w:numFmt w:val="decimal"/>
      <w:start w:val="1"/>
    </w:lvl>
    <w:lvl w:ilvl="1">
      <w:lvlJc w:val="left"/>
      <w:lvlText w:val="%2)"/>
      <w:numFmt w:val="lowerLetter"/>
      <w:start w:val="1"/>
    </w:lvl>
  </w:abstractNum>
  <w:abstractNum w:abstractNumId="125">
    <w:nsid w:val="5046B5A9"/>
    <w:multiLevelType w:val="hybridMultilevel"/>
    <w:lvl w:ilvl="0">
      <w:lvlJc w:val="left"/>
      <w:lvlText w:val="%1"/>
      <w:numFmt w:val="decimal"/>
      <w:start w:val="1"/>
    </w:lvl>
    <w:lvl w:ilvl="1">
      <w:lvlJc w:val="left"/>
      <w:lvlText w:val="%2)"/>
      <w:numFmt w:val="lowerLetter"/>
      <w:start w:val="1"/>
    </w:lvl>
  </w:abstractNum>
  <w:abstractNum w:abstractNumId="126">
    <w:nsid w:val="5D888A08"/>
    <w:multiLevelType w:val="hybridMultilevel"/>
    <w:lvl w:ilvl="0">
      <w:lvlJc w:val="left"/>
      <w:lvlText w:val="%1."/>
      <w:numFmt w:val="decimal"/>
      <w:start w:val="5"/>
    </w:lvl>
    <w:lvl w:ilvl="1">
      <w:lvlJc w:val="left"/>
      <w:lvlText w:val="%2)"/>
      <w:numFmt w:val="lowerLetter"/>
      <w:start w:val="1"/>
    </w:lvl>
  </w:abstractNum>
  <w:abstractNum w:abstractNumId="127">
    <w:nsid w:val="2A082C70"/>
    <w:multiLevelType w:val="hybridMultilevel"/>
    <w:lvl w:ilvl="0">
      <w:lvlJc w:val="left"/>
      <w:lvlText w:val="%1."/>
      <w:numFmt w:val="decimal"/>
      <w:start w:val="1"/>
    </w:lvl>
    <w:lvl w:ilvl="1">
      <w:lvlJc w:val="left"/>
      <w:lvlText w:val="%2)"/>
      <w:numFmt w:val="lowerLetter"/>
      <w:start w:val="1"/>
    </w:lvl>
  </w:abstractNum>
  <w:abstractNum w:abstractNumId="128">
    <w:nsid w:val="5EC6AFD4"/>
    <w:multiLevelType w:val="hybridMultilevel"/>
    <w:lvl w:ilvl="0">
      <w:lvlJc w:val="left"/>
      <w:lvlText w:val="%1"/>
      <w:numFmt w:val="decimal"/>
      <w:start w:val="1"/>
    </w:lvl>
    <w:lvl w:ilvl="1">
      <w:lvlJc w:val="left"/>
      <w:lvlText w:val="%2)"/>
      <w:numFmt w:val="lowerLetter"/>
      <w:start w:val="1"/>
    </w:lvl>
  </w:abstractNum>
  <w:abstractNum w:abstractNumId="129">
    <w:nsid w:val="19E21BB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84" Type="http://schemas.openxmlformats.org/officeDocument/2006/relationships/hyperlink" Target="https://www.sec.gov/Archives/edgar/data/1528396/000152839622000021/gwre-1312022x10xqex31resta.htm" TargetMode="External"/><Relationship Id="rId85" Type="http://schemas.openxmlformats.org/officeDocument/2006/relationships/hyperlink" Target="https://www.sec.gov/Archives/edgar/data/0001528396/000152839620000045/amendedandrestatedbyla.htm" TargetMode="External"/><Relationship Id="rId86"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2023-03-07T05:19:24Z</dcterms:created>
  <dcterms:modified xsi:type="dcterms:W3CDTF">2023-03-07T05:19:24Z</dcterms:modified>
</cp:coreProperties>
</file>