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2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 SECURITIES AND EXCHANGE COMMISSION</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5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8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2" w:lineRule="exact"/>
        <w:rPr>
          <w:rFonts w:ascii="MS PGothic" w:cs="MS PGothic" w:eastAsia="MS PGothic" w:hAnsi="MS PGothic"/>
          <w:sz w:val="22"/>
          <w:szCs w:val="22"/>
          <w:color w:val="auto"/>
        </w:rPr>
      </w:pPr>
    </w:p>
    <w:p>
      <w:pPr>
        <w:ind w:left="3860"/>
        <w:spacing w:after="0"/>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For the quarterly period ended April 30, 2024</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2" w:lineRule="exact"/>
        <w:rPr>
          <w:sz w:val="24"/>
          <w:szCs w:val="24"/>
          <w:color w:val="auto"/>
        </w:rPr>
      </w:pPr>
    </w:p>
    <w:p>
      <w:pPr>
        <w:ind w:left="400" w:hanging="392"/>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83" w:lineRule="exact"/>
        <w:rPr>
          <w:sz w:val="24"/>
          <w:szCs w:val="24"/>
          <w:color w:val="auto"/>
        </w:rPr>
      </w:pPr>
    </w:p>
    <w:p>
      <w:pPr>
        <w:ind w:left="3780"/>
        <w:spacing w:after="0"/>
        <w:tabs>
          <w:tab w:leader="none" w:pos="6660" w:val="left"/>
          <w:tab w:leader="none" w:pos="74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r>
        <w:rPr>
          <w:sz w:val="20"/>
          <w:szCs w:val="20"/>
          <w:color w:val="auto"/>
        </w:rPr>
        <w:tab/>
      </w:r>
      <w:r>
        <w:rPr>
          <w:rFonts w:ascii="Times New Roman" w:cs="Times New Roman" w:eastAsia="Times New Roman" w:hAnsi="Times New Roman"/>
          <w:sz w:val="16"/>
          <w:szCs w:val="16"/>
          <w:b w:val="1"/>
          <w:bCs w:val="1"/>
          <w:color w:val="auto"/>
        </w:rPr>
        <w:t>.</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001-35394</w:t>
      </w:r>
    </w:p>
    <w:p>
      <w:pPr>
        <w:spacing w:after="0" w:line="3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Guidewire Software,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7"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52" w:lineRule="exact"/>
        <w:rPr>
          <w:sz w:val="24"/>
          <w:szCs w:val="24"/>
          <w:color w:val="auto"/>
        </w:rPr>
      </w:pPr>
    </w:p>
    <w:tbl>
      <w:tblPr>
        <w:tblLayout w:type="fixed"/>
        <w:tblInd w:w="1620" w:type="dxa"/>
        <w:tblCellMar>
          <w:top w:w="0" w:type="dxa"/>
          <w:left w:w="0" w:type="dxa"/>
          <w:bottom w:w="0" w:type="dxa"/>
          <w:right w:w="0" w:type="dxa"/>
        </w:tblCellMar>
      </w:tblPr>
      <w:tr>
        <w:trPr>
          <w:trHeight w:val="207"/>
        </w:trPr>
        <w:tc>
          <w:tcPr>
            <w:tcW w:w="4400" w:type="dxa"/>
            <w:vAlign w:val="bottom"/>
          </w:tcPr>
          <w:p>
            <w:pPr>
              <w:jc w:val="center"/>
              <w:ind w:right="1622"/>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820" w:type="dxa"/>
            <w:vAlign w:val="bottom"/>
          </w:tcPr>
          <w:p>
            <w:pPr>
              <w:jc w:val="right"/>
              <w:ind w:right="83"/>
              <w:spacing w:after="0"/>
              <w:rPr>
                <w:sz w:val="20"/>
                <w:szCs w:val="20"/>
                <w:color w:val="auto"/>
              </w:rPr>
            </w:pPr>
            <w:r>
              <w:rPr>
                <w:rFonts w:ascii="Times New Roman" w:cs="Times New Roman" w:eastAsia="Times New Roman" w:hAnsi="Times New Roman"/>
                <w:sz w:val="16"/>
                <w:szCs w:val="16"/>
                <w:b w:val="1"/>
                <w:bCs w:val="1"/>
                <w:color w:val="auto"/>
              </w:rPr>
              <w:t>36-4468504</w:t>
            </w:r>
          </w:p>
        </w:tc>
      </w:tr>
      <w:tr>
        <w:trPr>
          <w:trHeight w:val="149"/>
        </w:trPr>
        <w:tc>
          <w:tcPr>
            <w:tcW w:w="4400" w:type="dxa"/>
            <w:vAlign w:val="bottom"/>
          </w:tcPr>
          <w:p>
            <w:pPr>
              <w:jc w:val="center"/>
              <w:ind w:right="164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820" w:type="dxa"/>
            <w:vAlign w:val="bottom"/>
          </w:tcPr>
          <w:p>
            <w:pPr>
              <w:jc w:val="center"/>
              <w:ind w:left="1623"/>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400" w:type="dxa"/>
            <w:vAlign w:val="bottom"/>
          </w:tcPr>
          <w:p>
            <w:pPr>
              <w:jc w:val="center"/>
              <w:ind w:right="162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820" w:type="dxa"/>
            <w:vAlign w:val="bottom"/>
          </w:tcPr>
          <w:p>
            <w:pPr>
              <w:jc w:val="center"/>
              <w:ind w:left="162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6"/>
        </w:trPr>
        <w:tc>
          <w:tcPr>
            <w:tcW w:w="4400" w:type="dxa"/>
            <w:vAlign w:val="bottom"/>
          </w:tcPr>
          <w:p>
            <w:pPr>
              <w:jc w:val="center"/>
              <w:ind w:right="1642"/>
              <w:spacing w:after="0"/>
              <w:rPr>
                <w:sz w:val="20"/>
                <w:szCs w:val="20"/>
                <w:color w:val="auto"/>
              </w:rPr>
            </w:pPr>
            <w:r>
              <w:rPr>
                <w:rFonts w:ascii="Times New Roman" w:cs="Times New Roman" w:eastAsia="Times New Roman" w:hAnsi="Times New Roman"/>
                <w:sz w:val="16"/>
                <w:szCs w:val="16"/>
                <w:b w:val="1"/>
                <w:bCs w:val="1"/>
                <w:color w:val="auto"/>
              </w:rPr>
              <w:t>970 Park Pl, Suite 200</w:t>
            </w:r>
          </w:p>
        </w:tc>
        <w:tc>
          <w:tcPr>
            <w:tcW w:w="2820" w:type="dxa"/>
            <w:vAlign w:val="bottom"/>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94403</w:t>
            </w:r>
          </w:p>
        </w:tc>
      </w:tr>
      <w:tr>
        <w:trPr>
          <w:trHeight w:val="212"/>
        </w:trPr>
        <w:tc>
          <w:tcPr>
            <w:tcW w:w="4400" w:type="dxa"/>
            <w:vAlign w:val="bottom"/>
          </w:tcPr>
          <w:p>
            <w:pPr>
              <w:jc w:val="center"/>
              <w:ind w:right="1622"/>
              <w:spacing w:after="0"/>
              <w:rPr>
                <w:sz w:val="20"/>
                <w:szCs w:val="20"/>
                <w:color w:val="auto"/>
              </w:rPr>
            </w:pPr>
            <w:r>
              <w:rPr>
                <w:rFonts w:ascii="Times New Roman" w:cs="Times New Roman" w:eastAsia="Times New Roman" w:hAnsi="Times New Roman"/>
                <w:sz w:val="16"/>
                <w:szCs w:val="16"/>
                <w:b w:val="1"/>
                <w:bCs w:val="1"/>
                <w:color w:val="auto"/>
              </w:rPr>
              <w:t>San Mateo, California</w:t>
            </w:r>
          </w:p>
        </w:tc>
        <w:tc>
          <w:tcPr>
            <w:tcW w:w="2820" w:type="dxa"/>
            <w:vAlign w:val="bottom"/>
          </w:tcPr>
          <w:p>
            <w:pPr>
              <w:spacing w:after="0"/>
              <w:rPr>
                <w:sz w:val="18"/>
                <w:szCs w:val="18"/>
                <w:color w:val="auto"/>
              </w:rPr>
            </w:pPr>
          </w:p>
        </w:tc>
      </w:tr>
      <w:tr>
        <w:trPr>
          <w:trHeight w:val="214"/>
        </w:trPr>
        <w:tc>
          <w:tcPr>
            <w:tcW w:w="4400" w:type="dxa"/>
            <w:vAlign w:val="bottom"/>
          </w:tcPr>
          <w:p>
            <w:pPr>
              <w:jc w:val="center"/>
              <w:ind w:right="1642"/>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2820" w:type="dxa"/>
            <w:vAlign w:val="bottom"/>
          </w:tcPr>
          <w:p>
            <w:pPr>
              <w:jc w:val="center"/>
              <w:ind w:left="1623"/>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200" w:lineRule="exact"/>
        <w:rPr>
          <w:sz w:val="24"/>
          <w:szCs w:val="24"/>
          <w:color w:val="auto"/>
        </w:rPr>
      </w:pPr>
    </w:p>
    <w:p>
      <w:pPr>
        <w:spacing w:after="0" w:line="2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(650) 357-9100</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6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850" w:type="dxa"/>
        <w:tblCellMar>
          <w:top w:w="0" w:type="dxa"/>
          <w:left w:w="0" w:type="dxa"/>
          <w:bottom w:w="0" w:type="dxa"/>
          <w:right w:w="0" w:type="dxa"/>
        </w:tblCellMar>
      </w:tblPr>
      <w:tr>
        <w:trPr>
          <w:trHeight w:val="243"/>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3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GWRE</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9"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4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453390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955040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99"/>
          </w:cols>
          <w:pgMar w:left="660" w:top="283" w:right="1440" w:bottom="1440" w:gutter="0" w:footer="0" w:header="0"/>
        </w:sectPr>
      </w:pPr>
    </w:p>
    <w:bookmarkStart w:id="2" w:name="page3"/>
    <w:bookmarkEnd w:id="2"/>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14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140" w:type="dxa"/>
            <w:vAlign w:val="bottom"/>
            <w:vMerge w:val="restart"/>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line="20" w:lineRule="exact"/>
              <w:rPr>
                <w:sz w:val="1"/>
                <w:szCs w:val="1"/>
                <w:color w:val="auto"/>
              </w:rPr>
            </w:pPr>
          </w:p>
        </w:tc>
        <w:tc>
          <w:tcPr>
            <w:tcW w:w="440" w:type="dxa"/>
            <w:vAlign w:val="bottom"/>
            <w:vMerge w:val="restart"/>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line="20" w:lineRule="exact"/>
              <w:rPr>
                <w:sz w:val="1"/>
                <w:szCs w:val="1"/>
                <w:color w:val="auto"/>
              </w:rPr>
            </w:pPr>
          </w:p>
        </w:tc>
      </w:tr>
      <w:tr>
        <w:trPr>
          <w:trHeight w:val="826"/>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40" w:type="dxa"/>
            <w:vAlign w:val="bottom"/>
            <w:vMerge w:val="continue"/>
          </w:tcPr>
          <w:p>
            <w:pPr>
              <w:spacing w:after="0"/>
              <w:rPr>
                <w:sz w:val="24"/>
                <w:szCs w:val="24"/>
                <w:color w:val="auto"/>
              </w:rPr>
            </w:pPr>
          </w:p>
        </w:tc>
        <w:tc>
          <w:tcPr>
            <w:tcW w:w="49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540"/>
        </w:trPr>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98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firstLine="40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4" w:lineRule="exact"/>
        <w:rPr>
          <w:sz w:val="20"/>
          <w:szCs w:val="20"/>
          <w:color w:val="auto"/>
        </w:rPr>
      </w:pPr>
    </w:p>
    <w:p>
      <w:pPr>
        <w:ind w:left="460"/>
        <w:spacing w:after="0" w:line="207" w:lineRule="exact"/>
        <w:tabs>
          <w:tab w:leader="none" w:pos="93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3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May 31, 2024, the registrant had 82,663,305 shares of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270"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9"/>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120" w:type="dxa"/>
            <w:vAlign w:val="bottom"/>
            <w:gridSpan w:val="9"/>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Guidewire Software, Inc.</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540" w:type="dxa"/>
            <w:vAlign w:val="bottom"/>
            <w:gridSpan w:val="8"/>
          </w:tcPr>
          <w:p>
            <w:pPr>
              <w:jc w:val="center"/>
              <w:ind w:right="47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0" w:type="dxa"/>
            <w:vAlign w:val="bottom"/>
          </w:tcPr>
          <w:p>
            <w:pPr>
              <w:spacing w:after="0"/>
              <w:rPr>
                <w:sz w:val="24"/>
                <w:szCs w:val="24"/>
                <w:color w:val="auto"/>
              </w:rPr>
            </w:pPr>
          </w:p>
        </w:tc>
        <w:tc>
          <w:tcPr>
            <w:tcW w:w="1042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Part I – Financial Information</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April 30, 2024 and July 31, 2023</w:t>
            </w: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Nine Months Ended April 30, 2024 and 2023</w:t>
            </w:r>
          </w:p>
        </w:tc>
        <w:tc>
          <w:tcPr>
            <w:tcW w:w="1280" w:type="dxa"/>
            <w:vAlign w:val="bottom"/>
            <w:gridSpan w:val="3"/>
          </w:tcPr>
          <w:p>
            <w:pPr>
              <w:spacing w:after="0"/>
              <w:rPr>
                <w:sz w:val="22"/>
                <w:szCs w:val="22"/>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(Loss) for the Three and Nine Months Ended April 30, 2024</w:t>
            </w:r>
          </w:p>
        </w:tc>
        <w:tc>
          <w:tcPr>
            <w:tcW w:w="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5"/>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0" w:type="dxa"/>
            <w:vAlign w:val="bottom"/>
            <w:tcBorders>
              <w:top w:val="single" w:sz="8" w:color="0000FF"/>
            </w:tcBorders>
            <w:gridSpan w:val="16"/>
          </w:tcPr>
          <w:p>
            <w:pPr>
              <w:spacing w:after="0" w:line="142" w:lineRule="exact"/>
              <w:rPr>
                <w:sz w:val="20"/>
                <w:szCs w:val="20"/>
                <w:color w:val="auto"/>
              </w:rPr>
            </w:pPr>
            <w:r>
              <w:rPr>
                <w:rFonts w:ascii="Times New Roman" w:cs="Times New Roman" w:eastAsia="Times New Roman" w:hAnsi="Times New Roman"/>
                <w:sz w:val="16"/>
                <w:szCs w:val="16"/>
                <w:color w:val="0000FF"/>
              </w:rPr>
              <w:t>and 2023</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April 30, 2024</w:t>
            </w:r>
          </w:p>
        </w:tc>
        <w:tc>
          <w:tcPr>
            <w:tcW w:w="5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Borders>
              <w:top w:val="single" w:sz="8" w:color="0000FF"/>
            </w:tcBorders>
            <w:gridSpan w:val="3"/>
          </w:tcPr>
          <w:p>
            <w:pPr>
              <w:spacing w:after="0" w:line="142" w:lineRule="exact"/>
              <w:rPr>
                <w:sz w:val="20"/>
                <w:szCs w:val="20"/>
                <w:color w:val="auto"/>
              </w:rPr>
            </w:pPr>
            <w:r>
              <w:rPr>
                <w:rFonts w:ascii="Times New Roman" w:cs="Times New Roman" w:eastAsia="Times New Roman" w:hAnsi="Times New Roman"/>
                <w:sz w:val="16"/>
                <w:szCs w:val="16"/>
                <w:color w:val="0000FF"/>
              </w:rPr>
              <w:t>and 2023</w:t>
            </w:r>
          </w:p>
        </w:tc>
        <w:tc>
          <w:tcPr>
            <w:tcW w:w="8320" w:type="dxa"/>
            <w:vAlign w:val="bottom"/>
            <w:tcBorders>
              <w:top w:val="single" w:sz="8" w:color="0000FF"/>
            </w:tcBorders>
            <w:gridSpan w:val="14"/>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right w:val="single" w:sz="8" w:color="0000FF"/>
            </w:tcBorders>
            <w:gridSpan w:val="2"/>
            <w:shd w:val="clear" w:color="auto" w:fill="0000FF"/>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22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216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200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54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April 30, 2024 and 2023</w:t>
            </w:r>
          </w:p>
        </w:tc>
        <w:tc>
          <w:tcPr>
            <w:tcW w:w="2000" w:type="dxa"/>
            <w:vAlign w:val="bottom"/>
            <w:gridSpan w:val="4"/>
          </w:tcPr>
          <w:p>
            <w:pPr>
              <w:spacing w:after="0"/>
              <w:rPr>
                <w:sz w:val="23"/>
                <w:szCs w:val="23"/>
                <w:color w:val="auto"/>
              </w:rPr>
            </w:pPr>
          </w:p>
        </w:tc>
        <w:tc>
          <w:tcPr>
            <w:tcW w:w="5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2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16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540" w:type="dxa"/>
            <w:vAlign w:val="bottom"/>
            <w:gridSpan w:val="4"/>
          </w:tcPr>
          <w:p>
            <w:pPr>
              <w:spacing w:after="0"/>
              <w:rPr>
                <w:sz w:val="22"/>
                <w:szCs w:val="22"/>
                <w:color w:val="auto"/>
              </w:rPr>
            </w:pPr>
          </w:p>
        </w:tc>
        <w:tc>
          <w:tcPr>
            <w:tcW w:w="2000" w:type="dxa"/>
            <w:vAlign w:val="bottom"/>
            <w:gridSpan w:val="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10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gridSpan w:val="5"/>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41</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240" w:type="dxa"/>
            <w:vAlign w:val="bottom"/>
            <w:gridSpan w:val="7"/>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42</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7780" w:type="dxa"/>
            <w:vAlign w:val="bottom"/>
            <w:gridSpan w:val="10"/>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21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8260" w:type="dxa"/>
            <w:vAlign w:val="bottom"/>
            <w:gridSpan w:val="14"/>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200" w:type="dxa"/>
            <w:vAlign w:val="bottom"/>
            <w:gridSpan w:val="12"/>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43</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20" w:type="dxa"/>
            <w:vAlign w:val="bottom"/>
            <w:gridSpan w:val="13"/>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8220" w:type="dxa"/>
            <w:vAlign w:val="bottom"/>
            <w:gridSpan w:val="13"/>
          </w:tcPr>
          <w:p>
            <w:pPr>
              <w:spacing w:after="0"/>
              <w:rPr>
                <w:sz w:val="22"/>
                <w:szCs w:val="22"/>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68</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20" w:type="dxa"/>
            <w:vAlign w:val="bottom"/>
          </w:tcPr>
          <w:p>
            <w:pPr>
              <w:spacing w:after="0"/>
              <w:rPr>
                <w:sz w:val="22"/>
                <w:szCs w:val="22"/>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0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21"/>
        </w:trPr>
        <w:tc>
          <w:tcPr>
            <w:tcW w:w="320" w:type="dxa"/>
            <w:vAlign w:val="bottom"/>
            <w:tcBorders>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FORWARD-LOOKING STATEMENTS</w:t>
      </w:r>
    </w:p>
    <w:p>
      <w:pPr>
        <w:spacing w:after="0" w:line="2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The section titled “Management’s Discussion and Analysis of Financial Condition and Results of Operations” as well as other parts of this Quarterly Report on Form 10-Q and certain information incorporated herein by reference contain forward-looking statements within the meaning of the Securities Act of 1933, as amended (the “Securities Act”), and the Securities Exchange Act of 1934, as amended (the “Exchange Act”), that are subject to risks and uncertainties. The forward-looking statements may include statements concerning, among other things, our business strategy (including anticipated trends and developments in, and management plans for, our business, growth, and the markets in which we operate), financial results, results of operations, revenue, gross margins, operating expenses, services, products, projected costs and capital expenditures, research and development programs, sales and marketing initiatives, competition, and the impact of general economic, business, and market conditions. In some cases, you can identify these statements by forward-looking words, such as “will,” “may,” “might,” “should,” “could,” “estimate,” “expect,” “suggest,” “believe,” “anticipate,” “intend,” “plan,” and “continue,” the negative or plural of these words and other comparable terminology. Actual events or results may differ materially from those expressed or implied by these statements due to various factors, including but not limited to the matters discussed below, in the section titled “Part II – Other Information – Item 1A. Risk Factors,” and elsewhere in this Quarterly Report on Form 10-Q. Many of the forward-looking statements are located in “Management’s Discussion and Analysis of Financial Condition and Results of Operations.”</w:t>
      </w:r>
    </w:p>
    <w:p>
      <w:pPr>
        <w:spacing w:after="0" w:line="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Forward-looking statements are not guarantees of future performance and involve risks and uncertainties. The forward-looking statements contained in this Quarterly Report on Form 10-Q are based on information available to us as of the filing date of this Quarterly Report on Form 10-Q and our current expectations about future events, which are inherently subject to change and involve risks and uncertainties. You should not place undue reliance on these forward-looking statements.</w:t>
      </w:r>
    </w:p>
    <w:p>
      <w:pPr>
        <w:spacing w:after="0" w:line="126"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We do not undertake any obligation to update any forward-looking statements in this Quarterly Report on Form 10-Q or in any of our other communications, except as required by law. All such forward-looking statements should be read as of the time the statements were made and with the recognition that these forward-looking statements may not be complete or accurate at a later date.</w:t>
      </w:r>
    </w:p>
    <w:p>
      <w:pPr>
        <w:spacing w:after="0" w:line="31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_____________</w:t>
      </w:r>
    </w:p>
    <w:p>
      <w:pPr>
        <w:spacing w:after="0" w:line="200" w:lineRule="exact"/>
        <w:rPr>
          <w:sz w:val="20"/>
          <w:szCs w:val="20"/>
          <w:color w:val="auto"/>
        </w:rPr>
      </w:pPr>
    </w:p>
    <w:p>
      <w:pPr>
        <w:spacing w:after="0" w:line="3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the context requires otherwise, we are referring to Guidewire Software, Inc., together with its subsidiaries, when we use the terms “Guidewire,” the “Company,” “we,” “our,” or “us.” When using the term “products,” we are generally referring to both our subscription services and term license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 (unaudited)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8"/>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6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60" w:type="dxa"/>
            <w:vAlign w:val="bottom"/>
            <w:gridSpan w:val="2"/>
          </w:tcPr>
          <w:p>
            <w:pPr>
              <w:jc w:val="center"/>
              <w:ind w:left="12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6"/>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16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420" w:type="dxa"/>
            <w:vAlign w:val="bottom"/>
          </w:tcPr>
          <w:p>
            <w:pPr>
              <w:spacing w:after="0"/>
              <w:rPr>
                <w:sz w:val="24"/>
                <w:szCs w:val="24"/>
                <w:color w:val="auto"/>
              </w:rPr>
            </w:pPr>
          </w:p>
        </w:tc>
        <w:tc>
          <w:tcPr>
            <w:tcW w:w="16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42"/>
        </w:trPr>
        <w:tc>
          <w:tcPr>
            <w:tcW w:w="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60" w:type="dxa"/>
            <w:vAlign w:val="bottom"/>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359,600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401,813</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422,691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396,872</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 of allowances of $63 and $218, respectively</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151,034</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87,752</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69,345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62,132</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1,081,511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1,099,603</w:t>
            </w: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128,782</w:t>
            </w:r>
          </w:p>
        </w:tc>
        <w:tc>
          <w:tcPr>
            <w:tcW w:w="0" w:type="dxa"/>
            <w:vAlign w:val="bottom"/>
          </w:tcPr>
          <w:p>
            <w:pPr>
              <w:spacing w:after="0"/>
              <w:rPr>
                <w:sz w:val="1"/>
                <w:szCs w:val="1"/>
                <w:color w:val="auto"/>
              </w:rPr>
            </w:pP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54,499</w:t>
            </w: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52,373</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w:t>
            </w: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372,214</w:t>
            </w:r>
          </w:p>
        </w:tc>
        <w:tc>
          <w:tcPr>
            <w:tcW w:w="0" w:type="dxa"/>
            <w:vAlign w:val="bottom"/>
          </w:tcPr>
          <w:p>
            <w:pPr>
              <w:spacing w:after="0"/>
              <w:rPr>
                <w:sz w:val="1"/>
                <w:szCs w:val="1"/>
                <w:color w:val="auto"/>
              </w:rPr>
            </w:pPr>
          </w:p>
        </w:tc>
      </w:tr>
      <w:tr>
        <w:trPr>
          <w:trHeight w:val="229"/>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255,547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226,875</w:t>
            </w:r>
          </w:p>
        </w:tc>
        <w:tc>
          <w:tcPr>
            <w:tcW w:w="0" w:type="dxa"/>
            <w:vAlign w:val="bottom"/>
          </w:tcPr>
          <w:p>
            <w:pPr>
              <w:spacing w:after="0"/>
              <w:rPr>
                <w:sz w:val="1"/>
                <w:szCs w:val="1"/>
                <w:color w:val="auto"/>
              </w:rPr>
            </w:pPr>
          </w:p>
        </w:tc>
      </w:tr>
      <w:tr>
        <w:trPr>
          <w:trHeight w:val="229"/>
        </w:trPr>
        <w:tc>
          <w:tcPr>
            <w:tcW w:w="70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59,910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67,957</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2,040,025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2,027,888</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000" w:type="dxa"/>
            <w:vAlign w:val="bottom"/>
            <w:gridSpan w:val="3"/>
            <w:vMerge w:val="continue"/>
          </w:tcPr>
          <w:p>
            <w:pPr>
              <w:spacing w:after="0"/>
              <w:rPr>
                <w:sz w:val="15"/>
                <w:szCs w:val="15"/>
                <w:color w:val="auto"/>
              </w:rPr>
            </w:pPr>
          </w:p>
        </w:tc>
        <w:tc>
          <w:tcPr>
            <w:tcW w:w="1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w:t>
            </w:r>
          </w:p>
        </w:tc>
        <w:tc>
          <w:tcPr>
            <w:tcW w:w="8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34,627</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103,980</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181,689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206,923</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27,731</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704,807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373,261</w:t>
            </w:r>
          </w:p>
        </w:tc>
        <w:tc>
          <w:tcPr>
            <w:tcW w:w="0" w:type="dxa"/>
            <w:vAlign w:val="bottom"/>
          </w:tcPr>
          <w:p>
            <w:pPr>
              <w:spacing w:after="0"/>
              <w:rPr>
                <w:sz w:val="1"/>
                <w:szCs w:val="1"/>
                <w:color w:val="auto"/>
              </w:rPr>
            </w:pPr>
          </w:p>
        </w:tc>
      </w:tr>
      <w:tr>
        <w:trPr>
          <w:trHeight w:val="230"/>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42,972</w:t>
            </w: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1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397,171</w:t>
            </w:r>
          </w:p>
        </w:tc>
        <w:tc>
          <w:tcPr>
            <w:tcW w:w="0" w:type="dxa"/>
            <w:vAlign w:val="bottom"/>
          </w:tcPr>
          <w:p>
            <w:pPr>
              <w:spacing w:after="0"/>
              <w:rPr>
                <w:sz w:val="1"/>
                <w:szCs w:val="1"/>
                <w:color w:val="auto"/>
              </w:rPr>
            </w:pPr>
          </w:p>
        </w:tc>
      </w:tr>
      <w:tr>
        <w:trPr>
          <w:trHeight w:val="229"/>
        </w:trPr>
        <w:tc>
          <w:tcPr>
            <w:tcW w:w="7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6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754,659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828,422</w:t>
            </w:r>
          </w:p>
        </w:tc>
        <w:tc>
          <w:tcPr>
            <w:tcW w:w="0" w:type="dxa"/>
            <w:vAlign w:val="bottom"/>
          </w:tcPr>
          <w:p>
            <w:pPr>
              <w:spacing w:after="0"/>
              <w:rPr>
                <w:sz w:val="1"/>
                <w:szCs w:val="1"/>
                <w:color w:val="auto"/>
              </w:rPr>
            </w:pPr>
          </w:p>
        </w:tc>
      </w:tr>
      <w:tr>
        <w:trPr>
          <w:trHeight w:val="230"/>
        </w:trPr>
        <w:tc>
          <w:tcPr>
            <w:tcW w:w="70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1,940,691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1,831,267</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(13,859)</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(640,812)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(617,950)</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66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1,285,366</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1,199,466</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2,040,025</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2,027,888</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4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6"/>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040" w:type="dxa"/>
            <w:vAlign w:val="bottom"/>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40" w:type="dxa"/>
            <w:vAlign w:val="bottom"/>
            <w:gridSpan w:val="7"/>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040" w:type="dxa"/>
            <w:vAlign w:val="bottom"/>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(unaudited, in thousands except shares and per share amounts)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24"/>
                <w:szCs w:val="24"/>
                <w:color w:val="auto"/>
              </w:rPr>
            </w:pPr>
          </w:p>
        </w:tc>
        <w:tc>
          <w:tcPr>
            <w:tcW w:w="23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137,970</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397,239</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312,321</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164,669</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130,425</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158,393</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207,490</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688,982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635,383</w:t>
            </w:r>
          </w:p>
        </w:tc>
        <w:tc>
          <w:tcPr>
            <w:tcW w:w="0" w:type="dxa"/>
            <w:vAlign w:val="bottom"/>
          </w:tcPr>
          <w:p>
            <w:pPr>
              <w:spacing w:after="0"/>
              <w:rPr>
                <w:sz w:val="1"/>
                <w:szCs w:val="1"/>
                <w:color w:val="auto"/>
              </w:rPr>
            </w:pPr>
          </w:p>
        </w:tc>
      </w:tr>
      <w:tr>
        <w:trPr>
          <w:trHeight w:val="20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178,993</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108,572</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292,057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340,850</w:t>
            </w:r>
          </w:p>
        </w:tc>
        <w:tc>
          <w:tcPr>
            <w:tcW w:w="0" w:type="dxa"/>
            <w:vAlign w:val="bottom"/>
          </w:tcPr>
          <w:p>
            <w:pPr>
              <w:spacing w:after="0"/>
              <w:rPr>
                <w:sz w:val="1"/>
                <w:szCs w:val="1"/>
                <w:color w:val="auto"/>
              </w:rPr>
            </w:pPr>
          </w:p>
        </w:tc>
      </w:tr>
      <w:tr>
        <w:trPr>
          <w:trHeight w:val="209"/>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248,066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155,425</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159,708</w:t>
            </w: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98,918</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396,925</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294,533</w:t>
            </w:r>
          </w:p>
        </w:tc>
        <w:tc>
          <w:tcPr>
            <w:tcW w:w="0" w:type="dxa"/>
            <w:vAlign w:val="bottom"/>
          </w:tcPr>
          <w:p>
            <w:pPr>
              <w:spacing w:after="0"/>
              <w:rPr>
                <w:sz w:val="1"/>
                <w:szCs w:val="1"/>
                <w:color w:val="auto"/>
              </w:rPr>
            </w:pPr>
          </w:p>
        </w:tc>
      </w:tr>
      <w:tr>
        <w:trPr>
          <w:trHeight w:val="20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182,927</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138,113</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129,078</w:t>
            </w: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459,812</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450,118</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(155,585)</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(56,228)</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(149,851)</w:t>
            </w: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(124,075)</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4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income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340" w:type="dxa"/>
            <w:vAlign w:val="bottom"/>
            <w:tcBorders>
              <w:bottom w:val="single" w:sz="8" w:color="CCEEFF"/>
            </w:tcBorders>
            <w:shd w:val="clear" w:color="auto" w:fill="CCEEFF"/>
          </w:tcPr>
          <w:p>
            <w:pPr>
              <w:spacing w:after="0"/>
              <w:rPr>
                <w:sz w:val="21"/>
                <w:szCs w:val="21"/>
                <w:color w:val="auto"/>
              </w:rPr>
            </w:pPr>
          </w:p>
        </w:tc>
        <w:tc>
          <w:tcPr>
            <w:tcW w:w="5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82,500,109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81,832,244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82,105,357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82,407,950</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646"/>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040" w:type="dxa"/>
            <w:vAlign w:val="bottom"/>
            <w:gridSpan w:val="7"/>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GUIDEWIRE SOFTWARE, INC. AND SUBSIDIARIES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380" w:type="dxa"/>
            <w:vAlign w:val="bottom"/>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 (LOSS)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720" w:type="dxa"/>
            <w:vAlign w:val="bottom"/>
            <w:gridSpan w:val="4"/>
          </w:tcPr>
          <w:p>
            <w:pPr>
              <w:jc w:val="center"/>
              <w:ind w:left="2230"/>
              <w:spacing w:after="0"/>
              <w:rPr>
                <w:sz w:val="20"/>
                <w:szCs w:val="20"/>
                <w:color w:val="auto"/>
              </w:rPr>
            </w:pPr>
            <w:r>
              <w:rPr>
                <w:rFonts w:ascii="Times New Roman" w:cs="Times New Roman" w:eastAsia="Times New Roman" w:hAnsi="Times New Roman"/>
                <w:sz w:val="18"/>
                <w:szCs w:val="18"/>
                <w:b w:val="1"/>
                <w:bCs w:val="1"/>
                <w:color w:val="auto"/>
                <w:w w:val="99"/>
              </w:rPr>
              <w:t>(unaudited, in thousands)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(124,075)</w:t>
            </w: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29"/>
        </w:trPr>
        <w:tc>
          <w:tcPr>
            <w:tcW w:w="340" w:type="dxa"/>
            <w:vAlign w:val="bottom"/>
          </w:tcPr>
          <w:p>
            <w:pPr>
              <w:spacing w:after="0"/>
              <w:rPr>
                <w:sz w:val="19"/>
                <w:szCs w:val="19"/>
                <w:color w:val="auto"/>
              </w:rPr>
            </w:pPr>
          </w:p>
        </w:tc>
        <w:tc>
          <w:tcPr>
            <w:tcW w:w="5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4,516</w:t>
            </w:r>
          </w:p>
        </w:tc>
      </w:tr>
      <w:tr>
        <w:trPr>
          <w:trHeight w:val="176"/>
        </w:trPr>
        <w:tc>
          <w:tcPr>
            <w:tcW w:w="340" w:type="dxa"/>
            <w:vAlign w:val="bottom"/>
            <w:shd w:val="clear" w:color="auto" w:fill="CCEEFF"/>
          </w:tcPr>
          <w:p>
            <w:pPr>
              <w:spacing w:after="0"/>
              <w:rPr>
                <w:sz w:val="15"/>
                <w:szCs w:val="15"/>
                <w:color w:val="auto"/>
              </w:rPr>
            </w:pPr>
          </w:p>
        </w:tc>
        <w:tc>
          <w:tcPr>
            <w:tcW w:w="5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benefit (expense) on unrealized gain (loss) on available-for-sale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340" w:type="dxa"/>
            <w:vAlign w:val="bottom"/>
            <w:shd w:val="clear" w:color="auto" w:fill="CCEEFF"/>
          </w:tcPr>
          <w:p>
            <w:pPr>
              <w:spacing w:after="0"/>
              <w:rPr>
                <w:sz w:val="21"/>
                <w:szCs w:val="21"/>
                <w:color w:val="auto"/>
              </w:rPr>
            </w:pPr>
          </w:p>
        </w:tc>
        <w:tc>
          <w:tcPr>
            <w:tcW w:w="5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w:t>
            </w:r>
          </w:p>
        </w:tc>
      </w:tr>
      <w:tr>
        <w:trPr>
          <w:trHeight w:val="176"/>
        </w:trPr>
        <w:tc>
          <w:tcPr>
            <w:tcW w:w="340" w:type="dxa"/>
            <w:vAlign w:val="bottom"/>
          </w:tcPr>
          <w:p>
            <w:pPr>
              <w:spacing w:after="0"/>
              <w:rPr>
                <w:sz w:val="15"/>
                <w:szCs w:val="15"/>
                <w:color w:val="auto"/>
              </w:rPr>
            </w:pPr>
          </w:p>
        </w:tc>
        <w:tc>
          <w:tcPr>
            <w:tcW w:w="56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realized gain (loss) included in net income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340" w:type="dxa"/>
            <w:vAlign w:val="bottom"/>
            <w:tcBorders>
              <w:bottom w:val="single" w:sz="8" w:color="CCEEFF"/>
            </w:tcBorders>
          </w:tcPr>
          <w:p>
            <w:pPr>
              <w:spacing w:after="0"/>
              <w:rPr>
                <w:sz w:val="21"/>
                <w:szCs w:val="21"/>
                <w:color w:val="auto"/>
              </w:rPr>
            </w:pPr>
          </w:p>
        </w:tc>
        <w:tc>
          <w:tcPr>
            <w:tcW w:w="5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(loss)</w:t>
            </w: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8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23"/>
        </w:trPr>
        <w:tc>
          <w:tcPr>
            <w:tcW w:w="340" w:type="dxa"/>
            <w:vAlign w:val="bottom"/>
            <w:shd w:val="clear" w:color="auto" w:fill="CCEEFF"/>
          </w:tcPr>
          <w:p>
            <w:pPr>
              <w:spacing w:after="0"/>
              <w:rPr>
                <w:sz w:val="19"/>
                <w:szCs w:val="19"/>
                <w:color w:val="auto"/>
              </w:rPr>
            </w:pPr>
          </w:p>
        </w:tc>
        <w:tc>
          <w:tcPr>
            <w:tcW w:w="56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w:t>
            </w:r>
          </w:p>
        </w:tc>
      </w:tr>
      <w:tr>
        <w:trPr>
          <w:trHeight w:val="223"/>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(44,583)</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(119,306)</w:t>
            </w:r>
          </w:p>
        </w:tc>
      </w:tr>
      <w:tr>
        <w:trPr>
          <w:trHeight w:val="21"/>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6"/>
          <w:szCs w:val="16"/>
          <w:b w:val="1"/>
          <w:bCs w:val="1"/>
          <w:color w:val="auto"/>
        </w:rPr>
        <w:t>GU</w:t>
      </w:r>
      <w:r>
        <w:rPr>
          <w:rFonts w:ascii="Times New Roman" w:cs="Times New Roman" w:eastAsia="Times New Roman" w:hAnsi="Times New Roman"/>
          <w:sz w:val="17"/>
          <w:szCs w:val="17"/>
          <w:b w:val="1"/>
          <w:bCs w:val="1"/>
          <w:color w:val="auto"/>
        </w:rPr>
        <w:t>IDEWIRE SOFTWARE, INC. AND SUBSIDIARIES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7"/>
          <w:szCs w:val="17"/>
          <w:b w:val="1"/>
          <w:bCs w:val="1"/>
          <w:color w:val="auto"/>
        </w:rPr>
        <w:t>CONDENSED CONSOLIDATED STATEMENTS OF CHANGES IN STOCKHOLDERS’ EQUITY (unaudited, in thousands except share amounts)</w:t>
      </w:r>
    </w:p>
    <w:tbl>
      <w:tblPr>
        <w:tblLayout w:type="fixed"/>
        <w:tblInd w:w="0" w:type="dxa"/>
        <w:tblCellMar>
          <w:top w:w="0" w:type="dxa"/>
          <w:left w:w="0" w:type="dxa"/>
          <w:bottom w:w="0" w:type="dxa"/>
          <w:right w:w="0" w:type="dxa"/>
        </w:tblCellMar>
      </w:tblPr>
      <w:tr>
        <w:trPr>
          <w:trHeight w:val="149"/>
        </w:trPr>
        <w:tc>
          <w:tcPr>
            <w:tcW w:w="4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2"/>
                <w:szCs w:val="12"/>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3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2023</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81,440,669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1,831,267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(13,859)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(617,950)</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1,199,466</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(27,071)</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9"/>
        </w:trPr>
        <w:tc>
          <w:tcPr>
            <w:tcW w:w="43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Issuance of common stock upon vesting of restricted stock units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489,783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("RSUs")</w:t>
            </w: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36,199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36,199</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(3,507)</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851</w:t>
            </w:r>
          </w:p>
        </w:tc>
        <w:tc>
          <w:tcPr>
            <w:tcW w:w="0" w:type="dxa"/>
            <w:vAlign w:val="bottom"/>
          </w:tcPr>
          <w:p>
            <w:pPr>
              <w:spacing w:after="0"/>
              <w:rPr>
                <w:sz w:val="1"/>
                <w:szCs w:val="1"/>
                <w:color w:val="auto"/>
              </w:rPr>
            </w:pPr>
          </w:p>
        </w:tc>
      </w:tr>
      <w:tr>
        <w:trPr>
          <w:trHeight w:val="139"/>
        </w:trPr>
        <w:tc>
          <w:tcPr>
            <w:tcW w:w="43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0" w:type="dxa"/>
            <w:vAlign w:val="bottom"/>
          </w:tcPr>
          <w:p>
            <w:pPr>
              <w:spacing w:after="0"/>
              <w:rPr>
                <w:sz w:val="1"/>
                <w:szCs w:val="1"/>
                <w:color w:val="auto"/>
              </w:rPr>
            </w:pPr>
          </w:p>
        </w:tc>
      </w:tr>
      <w:tr>
        <w:trPr>
          <w:trHeight w:val="193"/>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 securities, included in net income (loss)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31,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81,930,494</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1,867,467</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(16,805)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(645,021)</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1,205,649</w:t>
            </w:r>
          </w:p>
        </w:tc>
        <w:tc>
          <w:tcPr>
            <w:tcW w:w="0" w:type="dxa"/>
            <w:vAlign w:val="bottom"/>
          </w:tcPr>
          <w:p>
            <w:pPr>
              <w:spacing w:after="0"/>
              <w:rPr>
                <w:sz w:val="1"/>
                <w:szCs w:val="1"/>
                <w:color w:val="auto"/>
              </w:rPr>
            </w:pPr>
          </w:p>
        </w:tc>
      </w:tr>
      <w:tr>
        <w:trPr>
          <w:trHeight w:val="223"/>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ind w:right="7"/>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ind w:right="7"/>
              <w:spacing w:after="0"/>
              <w:rPr>
                <w:sz w:val="20"/>
                <w:szCs w:val="20"/>
                <w:color w:val="auto"/>
              </w:rPr>
            </w:pPr>
            <w:r>
              <w:rPr>
                <w:rFonts w:ascii="Times New Roman" w:cs="Times New Roman" w:eastAsia="Times New Roman" w:hAnsi="Times New Roman"/>
                <w:sz w:val="18"/>
                <w:szCs w:val="18"/>
                <w:i w:val="1"/>
                <w:i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9,687</w:t>
            </w:r>
          </w:p>
        </w:tc>
        <w:tc>
          <w:tcPr>
            <w:tcW w:w="0" w:type="dxa"/>
            <w:vAlign w:val="bottom"/>
          </w:tcPr>
          <w:p>
            <w:pPr>
              <w:spacing w:after="0"/>
              <w:rPr>
                <w:sz w:val="1"/>
                <w:szCs w:val="1"/>
                <w:color w:val="auto"/>
              </w:rPr>
            </w:pPr>
          </w:p>
        </w:tc>
      </w:tr>
      <w:tr>
        <w:trPr>
          <w:trHeight w:val="20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391,289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36,403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36,403</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2,362</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2,200</w:t>
            </w:r>
          </w:p>
        </w:tc>
        <w:tc>
          <w:tcPr>
            <w:tcW w:w="0" w:type="dxa"/>
            <w:vAlign w:val="bottom"/>
          </w:tcPr>
          <w:p>
            <w:pPr>
              <w:spacing w:after="0"/>
              <w:rPr>
                <w:sz w:val="1"/>
                <w:szCs w:val="1"/>
                <w:color w:val="auto"/>
              </w:rPr>
            </w:pPr>
          </w:p>
        </w:tc>
      </w:tr>
      <w:tr>
        <w:trPr>
          <w:trHeight w:val="139"/>
        </w:trPr>
        <w:tc>
          <w:tcPr>
            <w:tcW w:w="43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193"/>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 securities, included in net income (loss)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2024</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82,322,110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1,903,873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(12,434)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(635,334)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1,256,113</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360" w:type="dxa"/>
            <w:vAlign w:val="bottom"/>
            <w:tcBorders>
              <w:top w:val="single" w:sz="8" w:color="CCEEFF"/>
            </w:tcBorders>
            <w:vMerge w:val="continue"/>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(5,478)</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340,215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36,809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36,809</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0" w:type="dxa"/>
            <w:vAlign w:val="bottom"/>
          </w:tcPr>
          <w:p>
            <w:pPr>
              <w:spacing w:after="0"/>
              <w:rPr>
                <w:sz w:val="1"/>
                <w:szCs w:val="1"/>
                <w:color w:val="auto"/>
              </w:rPr>
            </w:pPr>
          </w:p>
        </w:tc>
      </w:tr>
      <w:tr>
        <w:trPr>
          <w:trHeight w:val="146"/>
        </w:trPr>
        <w:tc>
          <w:tcPr>
            <w:tcW w:w="43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 securities, included in net income (loss)</w:t>
            </w: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30, 2024</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82,663,071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14"/>
                <w:szCs w:val="14"/>
                <w:b w:val="1"/>
                <w:bCs w:val="1"/>
                <w:color w:val="auto"/>
              </w:rPr>
              <w:t>1,940,691</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(14,521)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(640,812)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1,285,366</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 earnings</w:t>
            </w:r>
          </w:p>
        </w:tc>
        <w:tc>
          <w:tcPr>
            <w:tcW w:w="140" w:type="dxa"/>
            <w:vAlign w:val="bottom"/>
          </w:tcPr>
          <w:p>
            <w:pPr>
              <w:spacing w:after="0"/>
              <w:rPr>
                <w:sz w:val="13"/>
                <w:szCs w:val="13"/>
                <w:color w:val="auto"/>
              </w:rPr>
            </w:pPr>
          </w:p>
        </w:tc>
        <w:tc>
          <w:tcPr>
            <w:tcW w:w="106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360" w:type="dxa"/>
            <w:vAlign w:val="bottom"/>
          </w:tcPr>
          <w:p>
            <w:pPr>
              <w:spacing w:after="0"/>
              <w:rPr>
                <w:sz w:val="12"/>
                <w:szCs w:val="12"/>
                <w:color w:val="auto"/>
              </w:rPr>
            </w:pPr>
          </w:p>
        </w:tc>
        <w:tc>
          <w:tcPr>
            <w:tcW w:w="1840" w:type="dxa"/>
            <w:vAlign w:val="bottom"/>
            <w:gridSpan w:val="5"/>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43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gridSpan w:val="2"/>
            <w:vMerge w:val="restart"/>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 w:type="dxa"/>
            <w:vAlign w:val="bottom"/>
          </w:tcPr>
          <w:p>
            <w:pPr>
              <w:spacing w:after="0"/>
              <w:rPr>
                <w:sz w:val="9"/>
                <w:szCs w:val="9"/>
                <w:color w:val="auto"/>
              </w:rPr>
            </w:pPr>
          </w:p>
        </w:tc>
        <w:tc>
          <w:tcPr>
            <w:tcW w:w="1180" w:type="dxa"/>
            <w:vAlign w:val="bottom"/>
            <w:gridSpan w:val="2"/>
            <w:vMerge w:val="restart"/>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9"/>
                <w:szCs w:val="9"/>
                <w:color w:val="auto"/>
              </w:rPr>
            </w:pPr>
          </w:p>
        </w:tc>
        <w:tc>
          <w:tcPr>
            <w:tcW w:w="1140" w:type="dxa"/>
            <w:vAlign w:val="bottom"/>
            <w:gridSpan w:val="2"/>
            <w:vMerge w:val="restart"/>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9"/>
                <w:szCs w:val="9"/>
                <w:color w:val="auto"/>
              </w:rPr>
            </w:pPr>
          </w:p>
        </w:tc>
        <w:tc>
          <w:tcPr>
            <w:tcW w:w="1060" w:type="dxa"/>
            <w:vAlign w:val="bottom"/>
            <w:vMerge w:val="restart"/>
          </w:tcPr>
          <w:p>
            <w:pPr>
              <w:jc w:val="center"/>
              <w:ind w:right="68"/>
              <w:spacing w:after="0" w:line="12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6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06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July 31, 2022</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84,084,209</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1,755,476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(19,845)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(283,982)</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1,451,657</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(69,318)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(69,318)</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373,380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35,249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35,249</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(2,581,478)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(160,000)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w:t>
            </w:r>
          </w:p>
        </w:tc>
        <w:tc>
          <w:tcPr>
            <w:tcW w:w="0" w:type="dxa"/>
            <w:vAlign w:val="bottom"/>
          </w:tcPr>
          <w:p>
            <w:pPr>
              <w:spacing w:after="0"/>
              <w:rPr>
                <w:sz w:val="1"/>
                <w:szCs w:val="1"/>
                <w:color w:val="auto"/>
              </w:rPr>
            </w:pPr>
          </w:p>
        </w:tc>
      </w:tr>
      <w:tr>
        <w:trPr>
          <w:trHeight w:val="139"/>
        </w:trPr>
        <w:tc>
          <w:tcPr>
            <w:tcW w:w="43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0" w:type="dxa"/>
            <w:vAlign w:val="bottom"/>
          </w:tcPr>
          <w:p>
            <w:pPr>
              <w:spacing w:after="0"/>
              <w:rPr>
                <w:sz w:val="1"/>
                <w:szCs w:val="1"/>
                <w:color w:val="auto"/>
              </w:rPr>
            </w:pPr>
          </w:p>
        </w:tc>
      </w:tr>
      <w:tr>
        <w:trPr>
          <w:trHeight w:val="193"/>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 securities, included in net income (loss)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Adoption of Accounting Standards Update ("ASU") 2020-06</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39,694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(28,309)</w:t>
            </w:r>
          </w:p>
        </w:tc>
        <w:tc>
          <w:tcPr>
            <w:tcW w:w="0" w:type="dxa"/>
            <w:vAlign w:val="bottom"/>
          </w:tcPr>
          <w:p>
            <w:pPr>
              <w:spacing w:after="0"/>
              <w:rPr>
                <w:sz w:val="1"/>
                <w:szCs w:val="1"/>
                <w:color w:val="auto"/>
              </w:rPr>
            </w:pPr>
          </w:p>
        </w:tc>
      </w:tr>
      <w:tr>
        <w:trPr>
          <w:trHeight w:val="19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October 31, 2022</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81,876,111</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1,682,722</w:t>
            </w:r>
          </w:p>
        </w:tc>
        <w:tc>
          <w:tcPr>
            <w:tcW w:w="8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(23,963)</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(473,606)</w:t>
            </w:r>
          </w:p>
        </w:tc>
        <w:tc>
          <w:tcPr>
            <w:tcW w:w="8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1,185,161</w:t>
            </w:r>
          </w:p>
        </w:tc>
        <w:tc>
          <w:tcPr>
            <w:tcW w:w="0" w:type="dxa"/>
            <w:vAlign w:val="bottom"/>
          </w:tcPr>
          <w:p>
            <w:pPr>
              <w:spacing w:after="0"/>
              <w:rPr>
                <w:sz w:val="1"/>
                <w:szCs w:val="1"/>
                <w:color w:val="auto"/>
              </w:rPr>
            </w:pPr>
          </w:p>
        </w:tc>
      </w:tr>
      <w:tr>
        <w:trPr>
          <w:trHeight w:val="202"/>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(9,189)</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(9,189)</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336,440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36,296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36,296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3,367</w:t>
            </w:r>
          </w:p>
        </w:tc>
        <w:tc>
          <w:tcPr>
            <w:tcW w:w="0" w:type="dxa"/>
            <w:vAlign w:val="bottom"/>
          </w:tcPr>
          <w:p>
            <w:pPr>
              <w:spacing w:after="0"/>
              <w:rPr>
                <w:sz w:val="1"/>
                <w:szCs w:val="1"/>
                <w:color w:val="auto"/>
              </w:rPr>
            </w:pPr>
          </w:p>
        </w:tc>
      </w:tr>
      <w:tr>
        <w:trPr>
          <w:trHeight w:val="146"/>
        </w:trPr>
        <w:tc>
          <w:tcPr>
            <w:tcW w:w="436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w:t>
            </w: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w:t>
            </w:r>
          </w:p>
        </w:tc>
        <w:tc>
          <w:tcPr>
            <w:tcW w:w="0" w:type="dxa"/>
            <w:vAlign w:val="bottom"/>
          </w:tcPr>
          <w:p>
            <w:pPr>
              <w:spacing w:after="0"/>
              <w:rPr>
                <w:sz w:val="1"/>
                <w:szCs w:val="1"/>
                <w:color w:val="auto"/>
              </w:rPr>
            </w:pPr>
          </w:p>
        </w:tc>
      </w:tr>
      <w:tr>
        <w:trPr>
          <w:trHeight w:val="193"/>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sale securities, included in net income (loss)</w:t>
            </w:r>
          </w:p>
        </w:tc>
        <w:tc>
          <w:tcPr>
            <w:tcW w:w="9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31, 2023</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82,212,768</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1,719,020</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(16,061)</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(482,795)</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1,220,172</w:t>
            </w:r>
          </w:p>
        </w:tc>
        <w:tc>
          <w:tcPr>
            <w:tcW w:w="0" w:type="dxa"/>
            <w:vAlign w:val="bottom"/>
          </w:tcPr>
          <w:p>
            <w:pPr>
              <w:spacing w:after="0"/>
              <w:rPr>
                <w:sz w:val="1"/>
                <w:szCs w:val="1"/>
                <w:color w:val="auto"/>
              </w:rPr>
            </w:pPr>
          </w:p>
        </w:tc>
      </w:tr>
      <w:tr>
        <w:trPr>
          <w:trHeight w:val="20"/>
        </w:trPr>
        <w:tc>
          <w:tcPr>
            <w:tcW w:w="43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income (loss)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(45,568)</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exercise of stock options</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6,365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Issuance of common stock upon vesting of RSUs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347,370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Stock-based compensation</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35,286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35,286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(855,192)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(55,993)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(15,993)</w:t>
            </w:r>
          </w:p>
        </w:tc>
        <w:tc>
          <w:tcPr>
            <w:tcW w:w="0" w:type="dxa"/>
            <w:vAlign w:val="bottom"/>
          </w:tcPr>
          <w:p>
            <w:pPr>
              <w:spacing w:after="0"/>
              <w:rPr>
                <w:sz w:val="1"/>
                <w:szCs w:val="1"/>
                <w:color w:val="auto"/>
              </w:rPr>
            </w:pPr>
          </w:p>
        </w:tc>
      </w:tr>
      <w:tr>
        <w:trPr>
          <w:trHeight w:val="195"/>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210"/>
        </w:trPr>
        <w:tc>
          <w:tcPr>
            <w:tcW w:w="4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Unrealized gain (loss) on available-for-sale securities, net of tax</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0" w:type="dxa"/>
            <w:vAlign w:val="bottom"/>
          </w:tcPr>
          <w:p>
            <w:pPr>
              <w:spacing w:after="0"/>
              <w:rPr>
                <w:sz w:val="1"/>
                <w:szCs w:val="1"/>
                <w:color w:val="auto"/>
              </w:rPr>
            </w:pPr>
          </w:p>
        </w:tc>
      </w:tr>
      <w:tr>
        <w:trPr>
          <w:trHeight w:val="139"/>
        </w:trPr>
        <w:tc>
          <w:tcPr>
            <w:tcW w:w="4360" w:type="dxa"/>
            <w:vAlign w:val="bottom"/>
          </w:tcPr>
          <w:p>
            <w:pPr>
              <w:ind w:left="220"/>
              <w:spacing w:after="0" w:line="139" w:lineRule="exact"/>
              <w:rPr>
                <w:sz w:val="20"/>
                <w:szCs w:val="20"/>
                <w:color w:val="auto"/>
              </w:rPr>
            </w:pPr>
            <w:r>
              <w:rPr>
                <w:rFonts w:ascii="Times New Roman" w:cs="Times New Roman" w:eastAsia="Times New Roman" w:hAnsi="Times New Roman"/>
                <w:sz w:val="14"/>
                <w:szCs w:val="14"/>
                <w:color w:val="auto"/>
              </w:rPr>
              <w:t>Reclassification adjustment for realized gain (loss) on available-for-</w:t>
            </w:r>
          </w:p>
        </w:tc>
        <w:tc>
          <w:tcPr>
            <w:tcW w:w="9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93"/>
        </w:trPr>
        <w:tc>
          <w:tcPr>
            <w:tcW w:w="4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sale securities, included in net income (loss)</w:t>
            </w:r>
          </w:p>
        </w:tc>
        <w:tc>
          <w:tcPr>
            <w:tcW w:w="9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4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April 30, 2023</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81,711,311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1,794,531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(584,356)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1,195,107</w:t>
            </w: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See accompanying Notes to Condensed Consolidated Financial Statements.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3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0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760" w:type="dxa"/>
            <w:vAlign w:val="bottom"/>
            <w:tcBorders>
              <w:bottom w:val="single" w:sz="8" w:color="auto"/>
            </w:tcBorders>
          </w:tcPr>
          <w:p>
            <w:pPr>
              <w:spacing w:after="0"/>
              <w:rPr>
                <w:sz w:val="18"/>
                <w:szCs w:val="18"/>
                <w:color w:val="auto"/>
              </w:rPr>
            </w:pPr>
          </w:p>
        </w:tc>
      </w:tr>
      <w:tr>
        <w:trPr>
          <w:trHeight w:val="209"/>
        </w:trPr>
        <w:tc>
          <w:tcPr>
            <w:tcW w:w="70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198"/>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income (loss)</w:t>
            </w: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(22,862)</w:t>
            </w:r>
          </w:p>
        </w:tc>
        <w:tc>
          <w:tcPr>
            <w:tcW w:w="80" w:type="dxa"/>
            <w:vAlign w:val="bottom"/>
          </w:tcPr>
          <w:p>
            <w:pPr>
              <w:spacing w:after="0"/>
              <w:rPr>
                <w:sz w:val="18"/>
                <w:szCs w:val="18"/>
                <w:color w:val="auto"/>
              </w:rPr>
            </w:pPr>
          </w:p>
        </w:tc>
        <w:tc>
          <w:tcPr>
            <w:tcW w:w="1320" w:type="dxa"/>
            <w:vAlign w:val="bottom"/>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(124,075)</w:t>
            </w:r>
          </w:p>
        </w:tc>
      </w:tr>
      <w:tr>
        <w:trPr>
          <w:trHeight w:val="219"/>
        </w:trPr>
        <w:tc>
          <w:tcPr>
            <w:tcW w:w="7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in) operating activities: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19,911</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Amortization of contract costs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12,869</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109,174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106,294</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Changes to allowance for credit losses and revenue reserves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Deferred income tax</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(29,294)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(31,034)</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Amortization of premium (accretion of discount) on available-for-sale securities, net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(9,492)</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(2,458)</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Gain on sale of strategic investment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Changes in fair value of strategic investments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Accelerated depreciation related to lease assignment</w:t>
            </w:r>
          </w:p>
        </w:tc>
        <w:tc>
          <w:tcPr>
            <w:tcW w:w="1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26,921</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Gain from lease assignment</w:t>
            </w:r>
          </w:p>
        </w:tc>
        <w:tc>
          <w:tcPr>
            <w:tcW w:w="13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(18,419)</w:t>
            </w:r>
          </w:p>
        </w:tc>
      </w:tr>
      <w:tr>
        <w:trPr>
          <w:trHeight w:val="219"/>
        </w:trPr>
        <w:tc>
          <w:tcPr>
            <w:tcW w:w="70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non-cash items affecting net income (loss)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3"/>
        </w:trPr>
        <w:tc>
          <w:tcPr>
            <w:tcW w:w="70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receivable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46,276</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14,756</w:t>
            </w:r>
          </w:p>
        </w:tc>
      </w:tr>
      <w:tr>
        <w:trPr>
          <w:trHeight w:val="213"/>
        </w:trPr>
        <w:tc>
          <w:tcPr>
            <w:tcW w:w="7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Unbilled accounts receivable</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(33,955)</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(57,278)</w:t>
            </w: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(12,718)</w:t>
            </w:r>
          </w:p>
        </w:tc>
      </w:tr>
      <w:tr>
        <w:trPr>
          <w:trHeight w:val="213"/>
        </w:trPr>
        <w:tc>
          <w:tcPr>
            <w:tcW w:w="7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Operating lease assets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(11,348)</w:t>
            </w: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Accounts payable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(10,538)</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(6,725)</w:t>
            </w:r>
          </w:p>
        </w:tc>
      </w:tr>
      <w:tr>
        <w:trPr>
          <w:trHeight w:val="213"/>
        </w:trPr>
        <w:tc>
          <w:tcPr>
            <w:tcW w:w="7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Accrued employee compensation</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(25,604)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(18,392)</w:t>
            </w: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Deferred revenue</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(28,012)</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(29,360)</w:t>
            </w:r>
          </w:p>
        </w:tc>
      </w:tr>
      <w:tr>
        <w:trPr>
          <w:trHeight w:val="213"/>
        </w:trPr>
        <w:tc>
          <w:tcPr>
            <w:tcW w:w="700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Lease liabilities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(5,136)</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w:t>
            </w:r>
          </w:p>
        </w:tc>
      </w:tr>
      <w:tr>
        <w:trPr>
          <w:trHeight w:val="219"/>
        </w:trPr>
        <w:tc>
          <w:tcPr>
            <w:tcW w:w="70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Other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w:t>
            </w:r>
          </w:p>
        </w:tc>
      </w:tr>
      <w:tr>
        <w:trPr>
          <w:trHeight w:val="207"/>
        </w:trPr>
        <w:tc>
          <w:tcPr>
            <w:tcW w:w="70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(134,842)</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available-for-sale securities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(453,441)</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(358,823)</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Maturities and sales of available-for-sale securities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416,299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382,219</w:t>
            </w: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w:t>
            </w:r>
          </w:p>
        </w:tc>
      </w:tr>
      <w:tr>
        <w:trPr>
          <w:trHeight w:val="213"/>
        </w:trPr>
        <w:tc>
          <w:tcPr>
            <w:tcW w:w="70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Acquisition of strategic investments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w:t>
            </w:r>
          </w:p>
        </w:tc>
      </w:tr>
      <w:tr>
        <w:trPr>
          <w:trHeight w:val="219"/>
        </w:trPr>
        <w:tc>
          <w:tcPr>
            <w:tcW w:w="7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Sale of strategic investment</w:t>
            </w: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6,508</w:t>
            </w:r>
          </w:p>
        </w:tc>
        <w:tc>
          <w:tcPr>
            <w:tcW w:w="8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70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(45,067)</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3,854</w:t>
            </w:r>
          </w:p>
        </w:tc>
      </w:tr>
      <w:tr>
        <w:trPr>
          <w:trHeight w:val="19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70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upon exercise of stock options</w:t>
            </w: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r>
      <w:tr>
        <w:trPr>
          <w:trHeight w:val="219"/>
        </w:trPr>
        <w:tc>
          <w:tcPr>
            <w:tcW w:w="7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and retirement of common stock</w:t>
            </w:r>
          </w:p>
        </w:tc>
        <w:tc>
          <w:tcPr>
            <w:tcW w:w="1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(213,993)</w:t>
            </w:r>
          </w:p>
        </w:tc>
      </w:tr>
      <w:tr>
        <w:trPr>
          <w:trHeight w:val="207"/>
        </w:trPr>
        <w:tc>
          <w:tcPr>
            <w:tcW w:w="7000" w:type="dxa"/>
            <w:vAlign w:val="bottom"/>
            <w:tcBorders>
              <w:bottom w:val="single" w:sz="8" w:color="CCEEFF"/>
            </w:tcBorders>
          </w:tcPr>
          <w:p>
            <w:pPr>
              <w:ind w:left="8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(213,766)</w:t>
            </w:r>
          </w:p>
        </w:tc>
      </w:tr>
      <w:tr>
        <w:trPr>
          <w:trHeight w:val="212"/>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cash equivalents, and restricted cash</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(2,915)</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r>
      <w:tr>
        <w:trPr>
          <w:trHeight w:val="207"/>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(45,997)</w:t>
            </w:r>
          </w:p>
        </w:tc>
        <w:tc>
          <w:tcPr>
            <w:tcW w:w="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(343,095)</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CASH—Beginning of period</w:t>
            </w: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406,790</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614,686</w:t>
            </w:r>
          </w:p>
        </w:tc>
      </w:tr>
      <w:tr>
        <w:trPr>
          <w:trHeight w:val="212"/>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CASH—End of period</w:t>
            </w: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360,793</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271,591</w:t>
            </w:r>
          </w:p>
        </w:tc>
      </w:tr>
      <w:tr>
        <w:trPr>
          <w:trHeight w:val="21"/>
        </w:trPr>
        <w:tc>
          <w:tcPr>
            <w:tcW w:w="70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9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paid for interest</w:t>
            </w:r>
          </w:p>
        </w:tc>
        <w:tc>
          <w:tcPr>
            <w:tcW w:w="19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9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paid for income taxes, net of tax refunds</w:t>
            </w:r>
          </w:p>
        </w:tc>
        <w:tc>
          <w:tcPr>
            <w:tcW w:w="1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6,173</w:t>
            </w:r>
          </w:p>
        </w:tc>
        <w:tc>
          <w:tcPr>
            <w:tcW w:w="9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4,417</w:t>
            </w:r>
          </w:p>
        </w:tc>
      </w:tr>
      <w:tr>
        <w:trPr>
          <w:trHeight w:val="213"/>
        </w:trPr>
        <w:tc>
          <w:tcPr>
            <w:tcW w:w="59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Accruals for purchase of property and equipment</w:t>
            </w:r>
          </w:p>
        </w:tc>
        <w:tc>
          <w:tcPr>
            <w:tcW w:w="19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9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2,748</w:t>
            </w:r>
          </w:p>
        </w:tc>
      </w:tr>
      <w:tr>
        <w:trPr>
          <w:trHeight w:val="219"/>
        </w:trPr>
        <w:tc>
          <w:tcPr>
            <w:tcW w:w="5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Accruals for capitalized software development costs</w:t>
            </w:r>
          </w:p>
        </w:tc>
        <w:tc>
          <w:tcPr>
            <w:tcW w:w="196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94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w:t>
            </w:r>
          </w:p>
        </w:tc>
      </w:tr>
      <w:tr>
        <w:trPr>
          <w:trHeight w:val="210"/>
        </w:trPr>
        <w:tc>
          <w:tcPr>
            <w:tcW w:w="59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Accrual for shares repurchased</w:t>
            </w:r>
          </w:p>
        </w:tc>
        <w:tc>
          <w:tcPr>
            <w:tcW w:w="196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69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r>
    </w:tbl>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GUIDEWIRE SOFTWARE, INC. AND SUBSIDIARIES</w:t>
      </w:r>
    </w:p>
    <w:p>
      <w:pPr>
        <w:spacing w:after="0" w:line="104"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The Company and Summary of Significant Accounting Policies and Estimates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Company</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Guidewire Software, Inc., a Delaware corporation, was incorporated on September 20, 2001. Guidewire Software, Inc., together with its subsidiaries (the “Company”), provides a technology platform and suite of products that combine core operations, digital engagement, analytics, and machine learning and artificial intelligence (“AI”) applications. The Company’s technology platform and suite of products support core insurance operations, including underwriting, policy administration, claim management, and billing; insights into data that can improve business decision making; and digital sales, service, and claims experiences for policyholders, agents, and other key stakeholders. The Company’s customers are primarily property and casualty insurance carriers. The term “products” generally refers to both subscription services and term license software offerings.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generally accepted accounting principles in the United States of America (“GAAP”). The condensed consolidated financial statements and notes include the Company and its wholly owned subsidiaries and reflect all adjustments (all of which are normal and recurring in nature) that, in the opinion of management, are necessary for a fair presentation of the interim periods presented. All intercompany balances and transactions have been eliminated in consolidation. Certain information and disclosures normally included in annual financial statements prepared in accordance with GAAP have been condensed or omitted under the rules and regulations of the SEC.</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condensed consolidated financial statements should be read in conjunction with the Company’s financial statements and related notes, together with management’s discussion and analysis of financial condition and results of operations, presented in the Company’s Annual Report on Form 10-K for the fiscal year ended July 31, 2023.</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preparing the condensed consolidated financial statements and related disclosures in conformity with GAAP and pursuant to the rules and regulations of the SEC, the Company must make estimates and judgments that affect the amounts reported in the condensed consolidated financial statements and accompanying notes. Actual results may differ materially from these estimates.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significant accounting policies from those that were disclosed in the Company’s consolidated financial statements included in its Annual Report on Form 10-K for the fiscal year ended July 31, 2023, except for those disclosed herein.</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Unearned acquisition consideration holdback subject to service conditions is held in escrow and considered restricted cash. As of April 30, 2024 and July 31, 2023, restricted cash in the amount of $1.2 million and $2.9 million, respectively, was included in prepaid expenses and other current assets. As of July 31, 2023, $2.1 million was included in other assets in the consolidated balance sheet.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cash, cash equivalents, investments, accounts receivable, and unbilled accounts receivable. The Company maintains its cash, cash equivalents, and investments with high-quality financial institutions. The Company is exposed to credit risk for cash held in financial institutions in the event of a default to the extent that such amounts recorded in the condensed consolidated balance sheets are in excess of amounts that are insured by the Federal Deposit Insurance Corporation.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 customer accounted for 10% or more of the Company's revenue in the three and nine months ended April 30, 2024. One customer accounted for 10% or more of the Company’s revenue in the three months ended April 30, 2023, and no customer accounted for 10% or more of the Company’s revenue in the nine months ended April 30, 2023. No customer accounted for 10% or more of the Company's accounts receivable as of April 30, 2024 and July 31, 2023.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ASU No. 2023-07, Segment Reporting (Topic 280): Improvements to Reportable Segment Disclosures, which requires public entities to disclose information about their reportable segments’ significant expenses and other segment items on an interim and annual basis. Public entities with a single reportable segment are required to apply the disclosure requirements in ASU No. 2023-07, as well as all existing segment disclosures and reconciliation requirements in ASC 280 on an interim and annual basis. The new standard will be effective and the Company will adopt it for the annual period beginning August 1, 2024, and for the interim periods beginning after August 1, 2025 with early adoption permitted. The adoption of this ASU will impact the Company’s disclosures.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improves the transparency of income tax disclosures by requiring consistent categories and greater disaggregation of information in the effective tax rate reconciliation and income taxes paid disaggregated by jurisdiction. It also includes certain other amendments to improve the effectiveness of income tax disclosures. The new standard will be effective and the Company will adopt it beginning August 1, 2025 and early adoption is permitted. Upon adoption, the guidance can be applied prospectively or retrospectively. The Company is currently assessing the impact of adopting this standard on the consolidated financial statements.</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that will be applicable to the Company are not expected to have a material impact on its present or future financial statements.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2. Revenue</w:t>
            </w: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Revenue by service or product type is as follows (in thousands):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4"/>
                <w:szCs w:val="24"/>
                <w:color w:val="auto"/>
              </w:rPr>
            </w:pPr>
          </w:p>
        </w:tc>
        <w:tc>
          <w:tcPr>
            <w:tcW w:w="2380" w:type="dxa"/>
            <w:vAlign w:val="bottom"/>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120,430</w:t>
            </w:r>
          </w:p>
        </w:tc>
        <w:tc>
          <w:tcPr>
            <w:tcW w:w="44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254,083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Support</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58,238</w:t>
            </w:r>
          </w:p>
        </w:tc>
        <w:tc>
          <w:tcPr>
            <w:tcW w:w="0" w:type="dxa"/>
            <w:vAlign w:val="bottom"/>
          </w:tcPr>
          <w:p>
            <w:pPr>
              <w:spacing w:after="0"/>
              <w:rPr>
                <w:sz w:val="1"/>
                <w:szCs w:val="1"/>
                <w:color w:val="auto"/>
              </w:rPr>
            </w:pPr>
          </w:p>
        </w:tc>
      </w:tr>
      <w:tr>
        <w:trPr>
          <w:trHeight w:val="230"/>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license</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164,512</w:t>
            </w: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Perpetual license</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130,425</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158,393</w:t>
            </w:r>
          </w:p>
        </w:tc>
        <w:tc>
          <w:tcPr>
            <w:tcW w:w="0" w:type="dxa"/>
            <w:vAlign w:val="bottom"/>
          </w:tcPr>
          <w:p>
            <w:pPr>
              <w:spacing w:after="0"/>
              <w:rPr>
                <w:sz w:val="1"/>
                <w:szCs w:val="1"/>
                <w:color w:val="auto"/>
              </w:rPr>
            </w:pPr>
          </w:p>
        </w:tc>
      </w:tr>
      <w:tr>
        <w:trPr>
          <w:trHeight w:val="223"/>
        </w:trPr>
        <w:tc>
          <w:tcPr>
            <w:tcW w:w="5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240,678</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207,490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688,982</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635,383</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Revenue by service or product type and by geography is as follows (in thousands):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 2024</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Subscription</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220" w:type="dxa"/>
            <w:vAlign w:val="bottom"/>
          </w:tcPr>
          <w:p>
            <w:pPr>
              <w:spacing w:after="0"/>
              <w:rPr>
                <w:sz w:val="15"/>
                <w:szCs w:val="15"/>
                <w:color w:val="auto"/>
              </w:rPr>
            </w:pPr>
          </w:p>
        </w:tc>
        <w:tc>
          <w:tcPr>
            <w:tcW w:w="11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340" w:type="dxa"/>
            <w:vAlign w:val="bottom"/>
          </w:tcPr>
          <w:p>
            <w:pPr>
              <w:spacing w:after="0"/>
              <w:rPr>
                <w:sz w:val="15"/>
                <w:szCs w:val="15"/>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5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and support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3"/>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94,089</w:t>
            </w:r>
          </w:p>
        </w:tc>
        <w:tc>
          <w:tcPr>
            <w:tcW w:w="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36,016</w:t>
            </w: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33,286</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163,391</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24,279</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w:t>
            </w:r>
          </w:p>
        </w:tc>
        <w:tc>
          <w:tcPr>
            <w:tcW w:w="0" w:type="dxa"/>
            <w:vAlign w:val="bottom"/>
          </w:tcPr>
          <w:p>
            <w:pPr>
              <w:spacing w:after="0"/>
              <w:rPr>
                <w:sz w:val="1"/>
                <w:szCs w:val="1"/>
                <w:color w:val="auto"/>
              </w:rPr>
            </w:pPr>
          </w:p>
        </w:tc>
      </w:tr>
      <w:tr>
        <w:trPr>
          <w:trHeight w:val="223"/>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Americas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115,156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190,461</w:t>
            </w:r>
          </w:p>
        </w:tc>
        <w:tc>
          <w:tcPr>
            <w:tcW w:w="0" w:type="dxa"/>
            <w:vAlign w:val="bottom"/>
          </w:tcPr>
          <w:p>
            <w:pPr>
              <w:spacing w:after="0"/>
              <w:rPr>
                <w:sz w:val="1"/>
                <w:szCs w:val="1"/>
                <w:color w:val="auto"/>
              </w:rPr>
            </w:pPr>
          </w:p>
        </w:tc>
      </w:tr>
      <w:tr>
        <w:trPr>
          <w:trHeight w:val="230"/>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EMEA</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34,545</w:t>
            </w: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APAC</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0" w:type="dxa"/>
            <w:vAlign w:val="bottom"/>
          </w:tcPr>
          <w:p>
            <w:pPr>
              <w:spacing w:after="0"/>
              <w:rPr>
                <w:sz w:val="1"/>
                <w:szCs w:val="1"/>
                <w:color w:val="auto"/>
              </w:rPr>
            </w:pPr>
          </w:p>
        </w:tc>
      </w:tr>
      <w:tr>
        <w:trPr>
          <w:trHeight w:val="223"/>
        </w:trPr>
        <w:tc>
          <w:tcPr>
            <w:tcW w:w="59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137,970</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56,210</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46,498</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240,678</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9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April 30, 2023</w:t>
            </w: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Subscription</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and support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71,764</w:t>
            </w: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33,528</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33,100</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138,392</w:t>
            </w:r>
          </w:p>
        </w:tc>
        <w:tc>
          <w:tcPr>
            <w:tcW w:w="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91,381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38,333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EMEA</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APAC</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6,352</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107,499</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50,602</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49,389</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Nine Months Ended April 30, 2024</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Subscription</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and support</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3"/>
            <w:vMerge w:val="continue"/>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271,015</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85,522</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90,853</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447,390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56,362</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331,846</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98,196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EMEA</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43,104</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106,166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APAC</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22,289</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26,266</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397,239</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161,318</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130,425</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12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8"/>
                <w:szCs w:val="18"/>
                <w:b w:val="1"/>
                <w:bCs w:val="1"/>
                <w:color w:val="auto"/>
              </w:rPr>
              <w:t>Nine Months Ended April 30, 2023</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Subscription</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License</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and support</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210,189</w:t>
            </w:r>
          </w:p>
        </w:tc>
        <w:tc>
          <w:tcPr>
            <w:tcW w:w="80" w:type="dxa"/>
            <w:vAlign w:val="bottom"/>
            <w:tcBorders>
              <w:top w:val="single" w:sz="8" w:color="CCEEFF"/>
            </w:tcBorders>
            <w:gridSpan w:val="2"/>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90,458</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107,925</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Canada</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51,763</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Americas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266,349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103,286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124,740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EMEA</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28,959</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APAC</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17,013</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26,899</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312,321</w:t>
            </w:r>
          </w:p>
        </w:tc>
        <w:tc>
          <w:tcPr>
            <w:tcW w:w="8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164,669</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158,393</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635,383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No country, other than those presented above, accounted for more than 10% of total revenue during the three and nine months ended April 30, 2024 and 2023.</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Customer Contract </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b w:val="1"/>
          <w:bCs w:val="1"/>
          <w:i w:val="1"/>
          <w:iCs w:val="1"/>
          <w:color w:val="auto"/>
        </w:rPr>
        <w:t xml:space="preserve"> Related Balance Sheet Amounts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Amounts related to customer contract-related arrangements are included on the condensed consolidated balance sheets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 2023</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Unbilled accounts receivable, net</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132,819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98,864</w:t>
            </w:r>
          </w:p>
        </w:tc>
      </w:tr>
      <w:tr>
        <w:trPr>
          <w:trHeight w:val="23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costs,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44,537</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47,254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net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212,911</w:t>
            </w: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30, 2024 and July 31, 2023, there was no allowance for credit losses associated with unbilled accounts receivable.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current portion of contract costs of $15.5 million and $15.9 million is included in prepaid and other current assets in the Company’s condensed consolidated balance sheets as of April 30, 2024 and July 31, 2023, respectively. The non-current portion of contract costs of $29.0 million and $31.3 million is included in other assets in the Company’s condensed consolidated balance sheets as of April 30, 2024 and July 31, 2023, respectively. The Company amortized $4.1 million and $4.4 million of contract costs during the three months ended April 30, 2024 and 2023, respectively, and amortized $12.9 million and $13.0 million during the nine months ended April 30, 2024 and 2023, respectively.</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April 30, 2024, the Company recognized revenue of approximately $33.0 million and $184.8 million, respectively, related to the Company’s deferred revenue balance reported as of July 31, 2023.</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amount of consideration allocated to remaining performance obligations either not satisfied or partially satisfied was approximately $1.6 billion as of April 30, 2024. Subscription services are typically satisfied over three to five years, support services are generally satisfied within one year, and professional services are typically satisfied within one year. Professional services under time and material contracts are not included in the remaining performance obligations calculation as these arrangements can be cancelled at any time.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3. Fair Value of Financial Instruments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Available-for-sale investments within cash equivalents and investments consist of the following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Pr>
          <w:p>
            <w:pPr>
              <w:spacing w:after="0"/>
              <w:rPr>
                <w:sz w:val="14"/>
                <w:szCs w:val="14"/>
                <w:color w:val="auto"/>
              </w:rPr>
            </w:pPr>
          </w:p>
        </w:tc>
        <w:tc>
          <w:tcPr>
            <w:tcW w:w="11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2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43,481</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254,954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254,544</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235,149</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74,609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74,128</w:t>
            </w:r>
          </w:p>
        </w:tc>
        <w:tc>
          <w:tcPr>
            <w:tcW w:w="0" w:type="dxa"/>
            <w:vAlign w:val="bottom"/>
          </w:tcPr>
          <w:p>
            <w:pPr>
              <w:spacing w:after="0"/>
              <w:rPr>
                <w:sz w:val="1"/>
                <w:szCs w:val="1"/>
                <w:color w:val="auto"/>
              </w:rPr>
            </w:pPr>
          </w:p>
        </w:tc>
      </w:tr>
      <w:tr>
        <w:trPr>
          <w:trHeight w:val="248"/>
        </w:trPr>
        <w:tc>
          <w:tcPr>
            <w:tcW w:w="59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858,432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857,347</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July 31, 2023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Pr>
          <w:p>
            <w:pPr>
              <w:spacing w:after="0"/>
              <w:rPr>
                <w:sz w:val="14"/>
                <w:szCs w:val="14"/>
                <w:color w:val="auto"/>
              </w:rPr>
            </w:pPr>
          </w:p>
        </w:tc>
        <w:tc>
          <w:tcPr>
            <w:tcW w:w="118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60" w:type="dxa"/>
            <w:vAlign w:val="bottom"/>
          </w:tcPr>
          <w:p>
            <w:pPr>
              <w:spacing w:after="0"/>
              <w:rPr>
                <w:sz w:val="14"/>
                <w:szCs w:val="14"/>
                <w:color w:val="auto"/>
              </w:rPr>
            </w:pPr>
          </w:p>
        </w:tc>
        <w:tc>
          <w:tcPr>
            <w:tcW w:w="118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26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8"/>
                <w:szCs w:val="18"/>
                <w:b w:val="1"/>
                <w:bCs w:val="1"/>
                <w:color w:val="auto"/>
              </w:rPr>
              <w:t>Estimated Fair</w:t>
            </w:r>
          </w:p>
        </w:tc>
        <w:tc>
          <w:tcPr>
            <w:tcW w:w="0" w:type="dxa"/>
            <w:vAlign w:val="bottom"/>
          </w:tcPr>
          <w:p>
            <w:pPr>
              <w:spacing w:after="0"/>
              <w:rPr>
                <w:sz w:val="1"/>
                <w:szCs w:val="1"/>
                <w:color w:val="auto"/>
              </w:rPr>
            </w:pPr>
          </w:p>
        </w:tc>
      </w:tr>
      <w:tr>
        <w:trPr>
          <w:trHeight w:val="243"/>
        </w:trPr>
        <w:tc>
          <w:tcPr>
            <w:tcW w:w="5940" w:type="dxa"/>
            <w:vAlign w:val="bottom"/>
          </w:tcPr>
          <w:p>
            <w:pPr>
              <w:spacing w:after="0"/>
              <w:rPr>
                <w:sz w:val="21"/>
                <w:szCs w:val="21"/>
                <w:color w:val="auto"/>
              </w:rPr>
            </w:pPr>
          </w:p>
        </w:tc>
        <w:tc>
          <w:tcPr>
            <w:tcW w:w="134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60" w:type="dxa"/>
            <w:vAlign w:val="bottom"/>
          </w:tcPr>
          <w:p>
            <w:pPr>
              <w:spacing w:after="0"/>
              <w:rPr>
                <w:sz w:val="21"/>
                <w:szCs w:val="21"/>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260" w:type="dxa"/>
            <w:vAlign w:val="bottom"/>
          </w:tcPr>
          <w:p>
            <w:pPr>
              <w:spacing w:after="0"/>
              <w:rPr>
                <w:sz w:val="21"/>
                <w:szCs w:val="21"/>
                <w:color w:val="auto"/>
              </w:rPr>
            </w:pPr>
          </w:p>
        </w:tc>
        <w:tc>
          <w:tcPr>
            <w:tcW w:w="100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23"/>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43,573</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43,357</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34,395</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150,254</w:t>
            </w: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200,691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199,142</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0" w:type="dxa"/>
            <w:vAlign w:val="bottom"/>
          </w:tcPr>
          <w:p>
            <w:pPr>
              <w:spacing w:after="0"/>
              <w:rPr>
                <w:sz w:val="1"/>
                <w:szCs w:val="1"/>
                <w:color w:val="auto"/>
              </w:rPr>
            </w:pPr>
          </w:p>
        </w:tc>
      </w:tr>
      <w:tr>
        <w:trPr>
          <w:trHeight w:val="230"/>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229,721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229,721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84,038</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87,064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85,835</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844,437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841,098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does not consider any portion of the unrealized losses at April 30, 2024 to be credit losses. The Company has recorded the securities at fair value in its condensed consolidated balance sheets, with unrealized gains and losses reported as a component of accumulated other comprehensive income (loss). The amount of unrealized gains and losses reclassified into earnings is based on the specific identification of the securities sold. The realized gains and losses from sales of securities are presented as a component of other income (expense) in the condensed consolidated statements of comprehensive income (loss).</w:t>
      </w:r>
    </w:p>
    <w:p>
      <w:pPr>
        <w:sectPr>
          <w:pgSz w:w="11900" w:h="16838" w:orient="portrait"/>
          <w:cols w:equalWidth="0" w:num="1">
            <w:col w:w="11240"/>
          </w:cols>
          <w:pgMar w:left="320" w:top="283"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the Company’s available-for-sale investments measured at fair value (in thousands):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April 30, 2024</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7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Less Than 12</w:t>
            </w:r>
          </w:p>
        </w:tc>
        <w:tc>
          <w:tcPr>
            <w:tcW w:w="120" w:type="dxa"/>
            <w:vAlign w:val="bottom"/>
          </w:tcPr>
          <w:p>
            <w:pPr>
              <w:spacing w:after="0"/>
              <w:rPr>
                <w:sz w:val="14"/>
                <w:szCs w:val="14"/>
                <w:color w:val="auto"/>
              </w:rPr>
            </w:pPr>
          </w:p>
        </w:tc>
        <w:tc>
          <w:tcPr>
            <w:tcW w:w="122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8"/>
                <w:szCs w:val="18"/>
                <w:b w:val="1"/>
                <w:bCs w:val="1"/>
                <w:color w:val="auto"/>
              </w:rPr>
              <w:t>12 Months or</w:t>
            </w: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7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Months</w:t>
            </w:r>
          </w:p>
        </w:tc>
        <w:tc>
          <w:tcPr>
            <w:tcW w:w="120" w:type="dxa"/>
            <w:vAlign w:val="bottom"/>
          </w:tcPr>
          <w:p>
            <w:pPr>
              <w:spacing w:after="0"/>
              <w:rPr>
                <w:sz w:val="21"/>
                <w:szCs w:val="21"/>
                <w:color w:val="auto"/>
              </w:rPr>
            </w:pP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Greater</w:t>
            </w:r>
          </w:p>
        </w:tc>
        <w:tc>
          <w:tcPr>
            <w:tcW w:w="280" w:type="dxa"/>
            <w:vAlign w:val="bottom"/>
          </w:tcPr>
          <w:p>
            <w:pPr>
              <w:spacing w:after="0"/>
              <w:rPr>
                <w:sz w:val="21"/>
                <w:szCs w:val="21"/>
                <w:color w:val="auto"/>
              </w:rPr>
            </w:pPr>
          </w:p>
        </w:tc>
        <w:tc>
          <w:tcPr>
            <w:tcW w:w="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43,384</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163,686</w:t>
            </w:r>
          </w:p>
        </w:tc>
        <w:tc>
          <w:tcPr>
            <w:tcW w:w="0" w:type="dxa"/>
            <w:vAlign w:val="bottom"/>
          </w:tcPr>
          <w:p>
            <w:pPr>
              <w:spacing w:after="0"/>
              <w:rPr>
                <w:sz w:val="1"/>
                <w:szCs w:val="1"/>
                <w:color w:val="auto"/>
              </w:rPr>
            </w:pPr>
          </w:p>
        </w:tc>
      </w:tr>
      <w:tr>
        <w:trPr>
          <w:trHeight w:val="230"/>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bonds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157,889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96,655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254,544</w:t>
            </w:r>
          </w:p>
        </w:tc>
        <w:tc>
          <w:tcPr>
            <w:tcW w:w="0" w:type="dxa"/>
            <w:vAlign w:val="bottom"/>
          </w:tcPr>
          <w:p>
            <w:pPr>
              <w:spacing w:after="0"/>
              <w:rPr>
                <w:sz w:val="1"/>
                <w:szCs w:val="1"/>
                <w:color w:val="auto"/>
              </w:rPr>
            </w:pPr>
          </w:p>
        </w:tc>
      </w:tr>
      <w:tr>
        <w:trPr>
          <w:trHeight w:val="229"/>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8,305</w:t>
            </w:r>
          </w:p>
        </w:tc>
        <w:tc>
          <w:tcPr>
            <w:tcW w:w="0" w:type="dxa"/>
            <w:vAlign w:val="bottom"/>
          </w:tcPr>
          <w:p>
            <w:pPr>
              <w:spacing w:after="0"/>
              <w:rPr>
                <w:sz w:val="1"/>
                <w:szCs w:val="1"/>
                <w:color w:val="auto"/>
              </w:rPr>
            </w:pPr>
          </w:p>
        </w:tc>
      </w:tr>
      <w:tr>
        <w:trPr>
          <w:trHeight w:val="22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235,149</w:t>
            </w:r>
          </w:p>
        </w:tc>
        <w:tc>
          <w:tcPr>
            <w:tcW w:w="0" w:type="dxa"/>
            <w:vAlign w:val="bottom"/>
          </w:tcPr>
          <w:p>
            <w:pPr>
              <w:spacing w:after="0"/>
              <w:rPr>
                <w:sz w:val="1"/>
                <w:szCs w:val="1"/>
                <w:color w:val="auto"/>
              </w:rPr>
            </w:pPr>
          </w:p>
        </w:tc>
      </w:tr>
      <w:tr>
        <w:trPr>
          <w:trHeight w:val="230"/>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21,611</w:t>
            </w:r>
          </w:p>
        </w:tc>
        <w:tc>
          <w:tcPr>
            <w:tcW w:w="0" w:type="dxa"/>
            <w:vAlign w:val="bottom"/>
          </w:tcPr>
          <w:p>
            <w:pPr>
              <w:spacing w:after="0"/>
              <w:rPr>
                <w:sz w:val="1"/>
                <w:szCs w:val="1"/>
                <w:color w:val="auto"/>
              </w:rPr>
            </w:pPr>
          </w:p>
        </w:tc>
      </w:tr>
      <w:tr>
        <w:trPr>
          <w:trHeight w:val="229"/>
        </w:trPr>
        <w:tc>
          <w:tcPr>
            <w:tcW w:w="7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U.S. Government bonds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58,899</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74,128</w:t>
            </w:r>
          </w:p>
        </w:tc>
        <w:tc>
          <w:tcPr>
            <w:tcW w:w="0" w:type="dxa"/>
            <w:vAlign w:val="bottom"/>
          </w:tcPr>
          <w:p>
            <w:pPr>
              <w:spacing w:after="0"/>
              <w:rPr>
                <w:sz w:val="1"/>
                <w:szCs w:val="1"/>
                <w:color w:val="auto"/>
              </w:rPr>
            </w:pPr>
          </w:p>
        </w:tc>
      </w:tr>
      <w:tr>
        <w:trPr>
          <w:trHeight w:val="248"/>
        </w:trPr>
        <w:tc>
          <w:tcPr>
            <w:tcW w:w="7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705,456</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857,347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available-for-sale investments measured at fair value, by level within the fair value hierarchy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1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8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18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235,149</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47,616</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282,765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18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422,691</w:t>
            </w: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422,691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8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1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18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151,891</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151,891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235,149</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622,198</w:t>
            </w:r>
          </w:p>
        </w:tc>
        <w:tc>
          <w:tcPr>
            <w:tcW w:w="80" w:type="dxa"/>
            <w:vAlign w:val="bottom"/>
          </w:tcPr>
          <w:p>
            <w:pPr>
              <w:spacing w:after="0"/>
              <w:rPr>
                <w:sz w:val="19"/>
                <w:szCs w:val="19"/>
                <w:color w:val="auto"/>
              </w:rPr>
            </w:pPr>
          </w:p>
        </w:tc>
        <w:tc>
          <w:tcPr>
            <w:tcW w:w="96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80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1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4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July 31, 2023</w:t>
            </w: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594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61,296</w:t>
            </w:r>
          </w:p>
        </w:tc>
        <w:tc>
          <w:tcPr>
            <w:tcW w:w="80" w:type="dxa"/>
            <w:vAlign w:val="bottom"/>
          </w:tcPr>
          <w:p>
            <w:pPr>
              <w:spacing w:after="0"/>
              <w:rPr>
                <w:sz w:val="19"/>
                <w:szCs w:val="19"/>
                <w:color w:val="auto"/>
              </w:rPr>
            </w:pP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61,296</w:t>
            </w:r>
          </w:p>
        </w:tc>
      </w:tr>
      <w:tr>
        <w:trPr>
          <w:trHeight w:val="229"/>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229,721</w:t>
            </w:r>
          </w:p>
        </w:tc>
      </w:tr>
      <w:tr>
        <w:trPr>
          <w:trHeight w:val="230"/>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8,478</w:t>
            </w:r>
          </w:p>
        </w:tc>
      </w:tr>
      <w:tr>
        <w:trPr>
          <w:trHeight w:val="229"/>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w:t>
            </w:r>
          </w:p>
        </w:tc>
      </w:tr>
      <w:tr>
        <w:trPr>
          <w:trHeight w:val="223"/>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cash equivalents</w:t>
            </w: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229,721</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85,723</w:t>
            </w:r>
          </w:p>
        </w:tc>
        <w:tc>
          <w:tcPr>
            <w:tcW w:w="8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315,444</w:t>
            </w:r>
          </w:p>
        </w:tc>
      </w:tr>
      <w:tr>
        <w:trPr>
          <w:trHeight w:val="229"/>
        </w:trPr>
        <w:tc>
          <w:tcPr>
            <w:tcW w:w="5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 investments:</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9"/>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w:t>
            </w:r>
          </w:p>
        </w:tc>
      </w:tr>
      <w:tr>
        <w:trPr>
          <w:trHeight w:val="230"/>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34,395</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34,395</w:t>
            </w:r>
          </w:p>
        </w:tc>
      </w:tr>
      <w:tr>
        <w:trPr>
          <w:trHeight w:val="229"/>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88,958</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88,958</w:t>
            </w:r>
          </w:p>
        </w:tc>
      </w:tr>
      <w:tr>
        <w:trPr>
          <w:trHeight w:val="230"/>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156,396</w:t>
            </w:r>
          </w:p>
        </w:tc>
      </w:tr>
      <w:tr>
        <w:trPr>
          <w:trHeight w:val="229"/>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10,717</w:t>
            </w:r>
          </w:p>
        </w:tc>
      </w:tr>
      <w:tr>
        <w:trPr>
          <w:trHeight w:val="229"/>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69,101</w:t>
            </w:r>
          </w:p>
        </w:tc>
      </w:tr>
      <w:tr>
        <w:trPr>
          <w:trHeight w:val="230"/>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34,600</w:t>
            </w:r>
          </w:p>
        </w:tc>
      </w:tr>
      <w:tr>
        <w:trPr>
          <w:trHeight w:val="223"/>
        </w:trPr>
        <w:tc>
          <w:tcPr>
            <w:tcW w:w="5940" w:type="dxa"/>
            <w:vAlign w:val="bottom"/>
            <w:tcBorders>
              <w:top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short-term investments</w:t>
            </w: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396,872</w:t>
            </w:r>
          </w:p>
        </w:tc>
        <w:tc>
          <w:tcPr>
            <w:tcW w:w="8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396,872</w:t>
            </w:r>
          </w:p>
        </w:tc>
      </w:tr>
      <w:tr>
        <w:trPr>
          <w:trHeight w:val="230"/>
        </w:trPr>
        <w:tc>
          <w:tcPr>
            <w:tcW w:w="5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40,652</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40,652</w:t>
            </w:r>
          </w:p>
        </w:tc>
      </w:tr>
      <w:tr>
        <w:trPr>
          <w:trHeight w:val="229"/>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Corporate bonds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42,746</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42,746</w:t>
            </w:r>
          </w:p>
        </w:tc>
      </w:tr>
      <w:tr>
        <w:trPr>
          <w:trHeight w:val="230"/>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government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w:t>
            </w:r>
          </w:p>
        </w:tc>
      </w:tr>
      <w:tr>
        <w:trPr>
          <w:trHeight w:val="229"/>
        </w:trPr>
        <w:tc>
          <w:tcPr>
            <w:tcW w:w="59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6,459</w:t>
            </w:r>
          </w:p>
        </w:tc>
      </w:tr>
      <w:tr>
        <w:trPr>
          <w:trHeight w:val="230"/>
        </w:trPr>
        <w:tc>
          <w:tcPr>
            <w:tcW w:w="5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 Government bonds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35,286</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35,286</w:t>
            </w:r>
          </w:p>
        </w:tc>
      </w:tr>
      <w:tr>
        <w:trPr>
          <w:trHeight w:val="223"/>
        </w:trPr>
        <w:tc>
          <w:tcPr>
            <w:tcW w:w="5940" w:type="dxa"/>
            <w:vAlign w:val="bottom"/>
            <w:tcBorders>
              <w:bottom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long-term investments</w:t>
            </w: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128,782</w:t>
            </w:r>
          </w:p>
        </w:tc>
        <w:tc>
          <w:tcPr>
            <w:tcW w:w="8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128,782</w:t>
            </w: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56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229,721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611,377</w:t>
            </w:r>
          </w:p>
        </w:tc>
        <w:tc>
          <w:tcPr>
            <w:tcW w:w="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841,098</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March 2018, the Company issued $400.0 million aggregate principal amount of 1.25% Convertible Senior Notes due 2025 (the “Convertible Senior Notes”). The fair value of the Convertible Senior Notes was $445.4 million and $388.2 million at April 30, 2024 and July 31, 2023, respectively. The Company estimates the fair value of the Convertible Senior Notes using commonly accepted valuation methodologies and market-based risk measurements that are directly observable, such as unadjusted quoted prices in markets that are not active (Level 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Strategic Investments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other assets include strategic investments in privately held companies in which the Company does not have a controlling interest or the ability to exert significant influence. The strategic investments consist of non-marketable equity securities that do not have readily determinable market values (Level 3), which are recorded using the measurement alternative at cost less impairment and adjusts cost for subsequent observable changes in fair value, and an investment in a limited partnership, which is recorded using the net asset value practical expedient (Level 3) in accordance with ASC 820. Changes in fair value are recorded in other income (expense) on the condensed consolidated statements of operations.</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nine months ended April 30, 2024, the Company invested $0.3 million in new and existing strategic investments.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April 30, 2024, one of the Company’s investees was acquired by a privately held limited partnership. As a result, the Company received $12.1 million in consideration for its equity interest in the investee, composed of $6.5 million cash and $5.6 million of an ownership interest in the privately held limited partnership, and recognized a $1.8 million gain in excess of cost as a component of other income (expense), net in the condensed consolidated statements of operations.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carrying amount of the Company’s strategic investments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320" w:type="dxa"/>
            <w:vAlign w:val="bottom"/>
          </w:tcPr>
          <w:p>
            <w:pPr>
              <w:spacing w:after="0"/>
              <w:rPr>
                <w:sz w:val="20"/>
                <w:szCs w:val="20"/>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 2023</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investments using the measurement alternative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27,772</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investment using net asset value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5,916</w:t>
            </w:r>
          </w:p>
        </w:tc>
        <w:tc>
          <w:tcPr>
            <w:tcW w:w="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impairment charge or unrealized gain or loss related to strategic investments using the measurement alternative was recognized during the three and nine months ended April 30, 2024 and 2023. The Company recognized an unrealized gain of $0.3 million related to strategic investments using net asset value during the three and nine months ended April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Income (Loss) Per Share</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calculates basic earnings per share by dividing the net income (loss) by the weighted average number of shares of common stock outstanding for the period. For calculating diluted earnings per share, the Company uses the treasury stock method for options to purchase common stock, time-based restricted stock units (“RSUs”), and performance-based restricted stock units (“PSUs”) and the if-converted method for Convertible Senior Notes. RSUs and PSUs are collectively referred to as “Stock Awards.”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net income (loss) per share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30, 2024 and 2023 (in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9"/>
                <w:szCs w:val="19"/>
                <w:color w:val="auto"/>
              </w:rPr>
            </w:pPr>
          </w:p>
        </w:tc>
        <w:tc>
          <w:tcPr>
            <w:tcW w:w="236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(124,075)</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 (loss) per share:</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used in computing net income (loss) per share:</w:t>
            </w: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5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 and diluted</w:t>
            </w:r>
          </w:p>
        </w:tc>
        <w:tc>
          <w:tcPr>
            <w:tcW w:w="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82,500,109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81,832,244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82,105,357</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82,407,950</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5440" w:type="dxa"/>
            <w:vAlign w:val="bottom"/>
          </w:tcPr>
          <w:p>
            <w:pPr>
              <w:spacing w:after="0"/>
              <w:rPr>
                <w:sz w:val="24"/>
                <w:szCs w:val="24"/>
                <w:color w:val="auto"/>
              </w:rPr>
            </w:pPr>
          </w:p>
        </w:tc>
        <w:tc>
          <w:tcPr>
            <w:tcW w:w="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weighted average shares of potential common stock were excluded from the computation of diluted net income (loss) per share for the periods presented because including them would have been anti-dilutive: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19"/>
                <w:szCs w:val="19"/>
                <w:color w:val="auto"/>
              </w:rPr>
            </w:pPr>
          </w:p>
        </w:tc>
        <w:tc>
          <w:tcPr>
            <w:tcW w:w="266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6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98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Borders>
              <w:bottom w:val="single" w:sz="8" w:color="auto"/>
            </w:tcBorders>
            <w:gridSpan w:val="3"/>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88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181,646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40,041</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3,764,735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2,547,035</w:t>
            </w:r>
          </w:p>
        </w:tc>
        <w:tc>
          <w:tcPr>
            <w:tcW w:w="80" w:type="dxa"/>
            <w:vAlign w:val="bottom"/>
          </w:tcPr>
          <w:p>
            <w:pPr>
              <w:spacing w:after="0"/>
              <w:rPr>
                <w:sz w:val="19"/>
                <w:szCs w:val="19"/>
                <w:color w:val="auto"/>
              </w:rPr>
            </w:pPr>
          </w:p>
        </w:tc>
        <w:tc>
          <w:tcPr>
            <w:tcW w:w="1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3,846,177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2,082,196</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3,550,532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3,516,480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3,516,480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3,516,480</w:t>
            </w:r>
          </w:p>
        </w:tc>
      </w:tr>
    </w:tbl>
    <w:p>
      <w:pPr>
        <w:spacing w:after="0" w:line="2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30, 2024, the average market price of the Company’s common stock exceeded the initial conversion price of the Convertible Senior Notes and the conversion premium is included as anti-dilutive in the Convertible Senior Notes. During the nine months ended April 30, 2024 and the three and nine months ended April 30, 2023, the average market price of the Company’s common stock did not exceed the initial conversion price of the Convertible Senior Notes.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Leases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lease obligations consist of operating leases for office facilities and equipment, with lease periods expiring through fiscal year 2032. Some leases include one or more options to renew. Lease renewals are not assumed in the determination of the lease term until the exercise of the renewal option is deemed to be reasonably certain.</w:t>
      </w:r>
    </w:p>
    <w:p>
      <w:pPr>
        <w:spacing w:after="0" w:line="12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2023, the Company assigned (the “Lease Assignment”) the remaining lease term of its previous headquarters and concurrently entered into a sublease for office space in San Mateo, California with the same third party for its current worldwide headquarters. As a result of the Lease Assignment, the Company recognized an $8.5 million loss in general and administrative operating expenses during the three and nine months ended April 30, 2023 on the condensed consolidated statements of operations. The loss is comprised of an $18.4 million gain from the de-recognition of the operating lease asset of $56.9 million, the de-recognition of the lease liability of $75.5 million, and other expenses related to the Lease Assignment of $0.2 million, offset by accelerated depreciation expense related to property and equipment, primarily consisting of leasehold improvements, at the previous headquarters of $26.9 million.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Components of operating lease costs were as follows (in thousands):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10"/>
        </w:trPr>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59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r>
      <w:tr>
        <w:trPr>
          <w:trHeight w:val="223"/>
        </w:trPr>
        <w:tc>
          <w:tcPr>
            <w:tcW w:w="59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98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9,524</w:t>
            </w:r>
          </w:p>
        </w:tc>
      </w:tr>
      <w:tr>
        <w:trPr>
          <w:trHeight w:val="230"/>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operating lease cost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12,243</w:t>
            </w:r>
          </w:p>
        </w:tc>
      </w:tr>
      <w:tr>
        <w:trPr>
          <w:trHeight w:val="20"/>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firstLine="8"/>
        <w:spacing w:after="0" w:line="302" w:lineRule="auto"/>
        <w:tabs>
          <w:tab w:leader="none" w:pos="132" w:val="left"/>
        </w:tabs>
        <w:numPr>
          <w:ilvl w:val="0"/>
          <w:numId w:val="3"/>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Lease expense for leases with an initial term of 12 months or less is excluded from the table above and was $0.2 million and $0.2 million for the three months ended April 30, 2024 and 2023, respectively, and $0.7 million and $0.7 million for the nine months ended April 30, 2024 and 2023, respectively.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0"/>
        </w:trPr>
        <w:tc>
          <w:tcPr>
            <w:tcW w:w="340" w:type="dxa"/>
            <w:vAlign w:val="bottom"/>
          </w:tcPr>
          <w:p>
            <w:pPr>
              <w:spacing w:after="0"/>
              <w:rPr>
                <w:sz w:val="24"/>
                <w:szCs w:val="24"/>
                <w:color w:val="auto"/>
              </w:rPr>
            </w:pPr>
          </w:p>
        </w:tc>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operating lease payments as of April 30, 2024 were as follows (in thousands):</w:t>
            </w: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7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Fiscal Year Ending July 31,</w:t>
            </w:r>
          </w:p>
        </w:tc>
        <w:tc>
          <w:tcPr>
            <w:tcW w:w="3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2024 (remainder of fiscal year)</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0" w:type="dxa"/>
            <w:vAlign w:val="bottom"/>
          </w:tcPr>
          <w:p>
            <w:pPr>
              <w:spacing w:after="0"/>
              <w:rPr>
                <w:sz w:val="1"/>
                <w:szCs w:val="1"/>
                <w:color w:val="auto"/>
              </w:rPr>
            </w:pPr>
          </w:p>
        </w:tc>
      </w:tr>
      <w:tr>
        <w:trPr>
          <w:trHeight w:val="229"/>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11,476</w:t>
            </w:r>
          </w:p>
        </w:tc>
        <w:tc>
          <w:tcPr>
            <w:tcW w:w="0" w:type="dxa"/>
            <w:vAlign w:val="bottom"/>
          </w:tcPr>
          <w:p>
            <w:pPr>
              <w:spacing w:after="0"/>
              <w:rPr>
                <w:sz w:val="1"/>
                <w:szCs w:val="1"/>
                <w:color w:val="auto"/>
              </w:rPr>
            </w:pPr>
          </w:p>
        </w:tc>
      </w:tr>
      <w:tr>
        <w:trPr>
          <w:trHeight w:val="229"/>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5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0" w:type="dxa"/>
            <w:vAlign w:val="bottom"/>
          </w:tcPr>
          <w:p>
            <w:pPr>
              <w:spacing w:after="0"/>
              <w:rPr>
                <w:sz w:val="1"/>
                <w:szCs w:val="1"/>
                <w:color w:val="auto"/>
              </w:rPr>
            </w:pPr>
          </w:p>
        </w:tc>
      </w:tr>
      <w:tr>
        <w:trPr>
          <w:trHeight w:val="230"/>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29"/>
        </w:trPr>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5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0" w:type="dxa"/>
            <w:vAlign w:val="bottom"/>
          </w:tcPr>
          <w:p>
            <w:pPr>
              <w:spacing w:after="0"/>
              <w:rPr>
                <w:sz w:val="1"/>
                <w:szCs w:val="1"/>
                <w:color w:val="auto"/>
              </w:rPr>
            </w:pPr>
          </w:p>
        </w:tc>
      </w:tr>
      <w:tr>
        <w:trPr>
          <w:trHeight w:val="230"/>
        </w:trPr>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5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3,907</w:t>
            </w:r>
          </w:p>
        </w:tc>
        <w:tc>
          <w:tcPr>
            <w:tcW w:w="0" w:type="dxa"/>
            <w:vAlign w:val="bottom"/>
          </w:tcPr>
          <w:p>
            <w:pPr>
              <w:spacing w:after="0"/>
              <w:rPr>
                <w:sz w:val="1"/>
                <w:szCs w:val="1"/>
                <w:color w:val="auto"/>
              </w:rPr>
            </w:pPr>
          </w:p>
        </w:tc>
      </w:tr>
      <w:tr>
        <w:trPr>
          <w:trHeight w:val="229"/>
        </w:trPr>
        <w:tc>
          <w:tcPr>
            <w:tcW w:w="6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8,394</w:t>
            </w:r>
          </w:p>
        </w:tc>
        <w:tc>
          <w:tcPr>
            <w:tcW w:w="0" w:type="dxa"/>
            <w:vAlign w:val="bottom"/>
          </w:tcPr>
          <w:p>
            <w:pPr>
              <w:spacing w:after="0"/>
              <w:rPr>
                <w:sz w:val="1"/>
                <w:szCs w:val="1"/>
                <w:color w:val="auto"/>
              </w:rPr>
            </w:pPr>
          </w:p>
        </w:tc>
      </w:tr>
      <w:tr>
        <w:trPr>
          <w:trHeight w:val="223"/>
        </w:trPr>
        <w:tc>
          <w:tcPr>
            <w:tcW w:w="6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51,183</w:t>
            </w:r>
          </w:p>
        </w:tc>
        <w:tc>
          <w:tcPr>
            <w:tcW w:w="0" w:type="dxa"/>
            <w:vAlign w:val="bottom"/>
          </w:tcPr>
          <w:p>
            <w:pPr>
              <w:spacing w:after="0"/>
              <w:rPr>
                <w:sz w:val="1"/>
                <w:szCs w:val="1"/>
                <w:color w:val="auto"/>
              </w:rPr>
            </w:pPr>
          </w:p>
        </w:tc>
      </w:tr>
      <w:tr>
        <w:trPr>
          <w:trHeight w:val="229"/>
        </w:trPr>
        <w:tc>
          <w:tcPr>
            <w:tcW w:w="67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(4,914)</w:t>
            </w:r>
          </w:p>
        </w:tc>
        <w:tc>
          <w:tcPr>
            <w:tcW w:w="0" w:type="dxa"/>
            <w:vAlign w:val="bottom"/>
          </w:tcPr>
          <w:p>
            <w:pPr>
              <w:spacing w:after="0"/>
              <w:rPr>
                <w:sz w:val="1"/>
                <w:szCs w:val="1"/>
                <w:color w:val="auto"/>
              </w:rPr>
            </w:pPr>
          </w:p>
        </w:tc>
      </w:tr>
      <w:tr>
        <w:trPr>
          <w:trHeight w:val="223"/>
        </w:trPr>
        <w:tc>
          <w:tcPr>
            <w:tcW w:w="678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Total lease liability balance</w:t>
            </w:r>
          </w:p>
        </w:tc>
        <w:tc>
          <w:tcPr>
            <w:tcW w:w="3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46,269</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7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 (in thousands, except for lease term and discount rate):</w:t>
            </w: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340" w:type="dxa"/>
            <w:vAlign w:val="bottom"/>
          </w:tcPr>
          <w:p>
            <w:pPr>
              <w:spacing w:after="0"/>
              <w:rPr>
                <w:sz w:val="24"/>
                <w:szCs w:val="24"/>
                <w:color w:val="auto"/>
              </w:rPr>
            </w:pPr>
          </w:p>
        </w:tc>
        <w:tc>
          <w:tcPr>
            <w:tcW w:w="8720" w:type="dxa"/>
            <w:vAlign w:val="bottom"/>
            <w:gridSpan w:val="5"/>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July 31, 2023</w:t>
            </w:r>
          </w:p>
        </w:tc>
        <w:tc>
          <w:tcPr>
            <w:tcW w:w="0" w:type="dxa"/>
            <w:vAlign w:val="bottom"/>
          </w:tcPr>
          <w:p>
            <w:pPr>
              <w:spacing w:after="0"/>
              <w:rPr>
                <w:sz w:val="1"/>
                <w:szCs w:val="1"/>
                <w:color w:val="auto"/>
              </w:rPr>
            </w:pPr>
          </w:p>
        </w:tc>
      </w:tr>
      <w:tr>
        <w:trPr>
          <w:trHeight w:val="248"/>
        </w:trPr>
        <w:tc>
          <w:tcPr>
            <w:tcW w:w="6780" w:type="dxa"/>
            <w:vAlign w:val="bottom"/>
            <w:tcBorders>
              <w:top w:val="single" w:sz="8" w:color="CCEEFF"/>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assets</w:t>
            </w: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7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52,373</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9,149</w:t>
            </w:r>
          </w:p>
        </w:tc>
        <w:tc>
          <w:tcPr>
            <w:tcW w:w="8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8,433</w:t>
            </w:r>
          </w:p>
        </w:tc>
        <w:tc>
          <w:tcPr>
            <w:tcW w:w="0" w:type="dxa"/>
            <w:vAlign w:val="bottom"/>
          </w:tcPr>
          <w:p>
            <w:pPr>
              <w:spacing w:after="0"/>
              <w:rPr>
                <w:sz w:val="1"/>
                <w:szCs w:val="1"/>
                <w:color w:val="auto"/>
              </w:rPr>
            </w:pPr>
          </w:p>
        </w:tc>
      </w:tr>
      <w:tr>
        <w:trPr>
          <w:trHeight w:val="229"/>
        </w:trPr>
        <w:tc>
          <w:tcPr>
            <w:tcW w:w="678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37,120</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42,972</w:t>
            </w:r>
          </w:p>
        </w:tc>
        <w:tc>
          <w:tcPr>
            <w:tcW w:w="0" w:type="dxa"/>
            <w:vAlign w:val="bottom"/>
          </w:tcPr>
          <w:p>
            <w:pPr>
              <w:spacing w:after="0"/>
              <w:rPr>
                <w:sz w:val="1"/>
                <w:szCs w:val="1"/>
                <w:color w:val="auto"/>
              </w:rPr>
            </w:pPr>
          </w:p>
        </w:tc>
      </w:tr>
      <w:tr>
        <w:trPr>
          <w:trHeight w:val="248"/>
        </w:trPr>
        <w:tc>
          <w:tcPr>
            <w:tcW w:w="6780" w:type="dxa"/>
            <w:vAlign w:val="bottom"/>
            <w:tcBorders>
              <w:bottom w:val="single" w:sz="8" w:color="CCEEFF"/>
            </w:tcBorders>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lease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46,269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1"/>
                <w:szCs w:val="21"/>
                <w:color w:val="auto"/>
              </w:rPr>
            </w:pPr>
          </w:p>
        </w:tc>
        <w:tc>
          <w:tcPr>
            <w:tcW w:w="17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51,405</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gridSpan w:val="3"/>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0" w:type="dxa"/>
            <w:vAlign w:val="bottom"/>
          </w:tcPr>
          <w:p>
            <w:pPr>
              <w:spacing w:after="0"/>
              <w:rPr>
                <w:sz w:val="1"/>
                <w:szCs w:val="1"/>
                <w:color w:val="auto"/>
              </w:rPr>
            </w:pPr>
          </w:p>
        </w:tc>
      </w:tr>
      <w:tr>
        <w:trPr>
          <w:trHeight w:val="234"/>
        </w:trPr>
        <w:tc>
          <w:tcPr>
            <w:tcW w:w="67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3.92 %</w:t>
            </w: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and non-cash information related to operating leases was as follows (in thousands):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280" w:type="dxa"/>
            <w:vAlign w:val="bottom"/>
          </w:tcPr>
          <w:p>
            <w:pPr>
              <w:spacing w:after="0"/>
              <w:rPr>
                <w:sz w:val="19"/>
                <w:szCs w:val="19"/>
                <w:color w:val="auto"/>
              </w:rPr>
            </w:pPr>
          </w:p>
        </w:tc>
      </w:tr>
      <w:tr>
        <w:trPr>
          <w:trHeight w:val="238"/>
        </w:trPr>
        <w:tc>
          <w:tcPr>
            <w:tcW w:w="700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1280" w:type="dxa"/>
            <w:vAlign w:val="bottom"/>
            <w:tcBorders>
              <w:bottom w:val="single" w:sz="8" w:color="auto"/>
            </w:tcBorders>
          </w:tcPr>
          <w:p>
            <w:pPr>
              <w:spacing w:after="0"/>
              <w:rPr>
                <w:sz w:val="20"/>
                <w:szCs w:val="20"/>
                <w:color w:val="auto"/>
              </w:rPr>
            </w:pPr>
          </w:p>
        </w:tc>
      </w:tr>
      <w:tr>
        <w:trPr>
          <w:trHeight w:val="223"/>
        </w:trPr>
        <w:tc>
          <w:tcPr>
            <w:tcW w:w="70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10,797</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lease liabilities</w:t>
            </w: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c>
          <w:tcPr>
            <w:tcW w:w="80" w:type="dxa"/>
            <w:vAlign w:val="bottom"/>
          </w:tcPr>
          <w:p>
            <w:pPr>
              <w:spacing w:after="0"/>
              <w:rPr>
                <w:sz w:val="20"/>
                <w:szCs w:val="20"/>
                <w:color w:val="auto"/>
              </w:rPr>
            </w:pP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Company’s contractual obligations and commitments other than in the ordinary course of business since the Company’s fiscal year ended July 31, 2023.</w:t>
      </w:r>
    </w:p>
    <w:p>
      <w:pPr>
        <w:spacing w:after="0" w:line="10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the Company’s Annual Report on Form 10-K for the fiscal year ended July 31, 2023 for additional information regarding the Company’s contractual obligations.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the Company is involved in various legal proceedings and receives claims arising from the normal course of business activities. The Company has not recorded any accrual for claims as of April 30, 2024 or July 31, 2023. The Company has not accrued for estimated losses in the accompanying condensed consolidated financial statements as the Company has determined that no provision for liability nor disclosure is required related to any claim against the Company because: (a) there is not a reasonable possibility that a loss exceeding amounts already recognized (if any) may be incurred with respect to such claim; (b) a reasonably possible loss or range of loss cannot be estimated; or (c) such estimate is immaterial. The Company expenses legal fees in the period in which they are incurred.</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sells software licenses and services to its customers under Software License Agreements (“SLA”) and Software Subscription Agreements (“SSA”). SLAs and SSAs contain the terms of the contractual arrangement with the customer and generally include certain provisions for defending the customer against any claims that the Company’s software infringes upon a patent, copyright, trademark, or other proprietary right of a third party, and in the case of SSAs, the Company may include certain provisions for limited liability for defending the customer against any claims for a data breach. SLAs and SSAs also generally indemnify the customer against judgments, settlements, fines, penalties, costs, and expenses resulting from a claim (“Losses”) against the customer in the event the Company’s software is found to infringe upon such third-party rights.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not had to reimburse any of its customers for Losses related to indemnification provisions and no material claims against the Company were outstanding as of April 30, 2024 or July 31, 2023. For several reasons, including the lack of prior indemnification claims and the lack of a monetary liability limit for certain infringement cases under various SLAs and SSAs, the Company cannot estimate the amount of potential future payments, if any, related to indemnification provisions.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these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206" w:lineRule="exact"/>
        <w:rPr>
          <w:sz w:val="20"/>
          <w:szCs w:val="20"/>
          <w:color w:val="auto"/>
        </w:rPr>
      </w:pPr>
    </w:p>
    <w:p>
      <w:pPr>
        <w:ind w:left="340" w:right="6240" w:hanging="332"/>
        <w:spacing w:after="0" w:line="440" w:lineRule="auto"/>
        <w:tabs>
          <w:tab w:leader="none" w:pos="196"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Stock-Based Compensation Expense and Shareholders’ Equity </w:t>
      </w:r>
      <w:r>
        <w:rPr>
          <w:rFonts w:ascii="Times New Roman" w:cs="Times New Roman" w:eastAsia="Times New Roman" w:hAnsi="Times New Roman"/>
          <w:sz w:val="18"/>
          <w:szCs w:val="18"/>
          <w:b w:val="1"/>
          <w:bCs w:val="1"/>
          <w:i w:val="1"/>
          <w:iCs w:val="1"/>
          <w:color w:val="auto"/>
        </w:rPr>
        <w:t>Stock-Based Compensation Expense</w:t>
      </w:r>
    </w:p>
    <w:p>
      <w:pPr>
        <w:spacing w:after="0" w:line="1"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Stock-based compensation expense related to stock options and Stock Awards is included in the Company’s condensed consolidated statements of operations as follows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62"/>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232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9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35,284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106,829</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Net impact of deferred stock-based compensation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 is included in the following categories: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9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0" w:type="dxa"/>
            <w:vAlign w:val="bottom"/>
          </w:tcPr>
          <w:p>
            <w:pPr>
              <w:spacing w:after="0"/>
              <w:rPr>
                <w:sz w:val="1"/>
                <w:szCs w:val="1"/>
                <w:color w:val="auto"/>
              </w:rPr>
            </w:pPr>
          </w:p>
        </w:tc>
      </w:tr>
      <w:tr>
        <w:trPr>
          <w:trHeight w:val="229"/>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Cost of license revenue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revenue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0" w:type="dxa"/>
            <w:vAlign w:val="bottom"/>
          </w:tcPr>
          <w:p>
            <w:pPr>
              <w:spacing w:after="0"/>
              <w:rPr>
                <w:sz w:val="1"/>
                <w:szCs w:val="1"/>
                <w:color w:val="auto"/>
              </w:rPr>
            </w:pPr>
          </w:p>
        </w:tc>
      </w:tr>
      <w:tr>
        <w:trPr>
          <w:trHeight w:val="230"/>
        </w:trPr>
        <w:tc>
          <w:tcPr>
            <w:tcW w:w="59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w:t>
            </w: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w:t>
            </w:r>
          </w:p>
        </w:tc>
        <w:tc>
          <w:tcPr>
            <w:tcW w:w="0" w:type="dxa"/>
            <w:vAlign w:val="bottom"/>
          </w:tcPr>
          <w:p>
            <w:pPr>
              <w:spacing w:after="0"/>
              <w:rPr>
                <w:sz w:val="1"/>
                <w:szCs w:val="1"/>
                <w:color w:val="auto"/>
              </w:rPr>
            </w:pPr>
          </w:p>
        </w:tc>
      </w:tr>
      <w:tr>
        <w:trPr>
          <w:trHeight w:val="229"/>
        </w:trPr>
        <w:tc>
          <w:tcPr>
            <w:tcW w:w="598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29,051</w:t>
            </w: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109,174</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106,294</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Total unrecognized stock-based compensation expense related to the Company’s stock options and Stock Awards as of April 30, 2024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Unrecognized Expense</w:t>
            </w:r>
          </w:p>
        </w:tc>
        <w:tc>
          <w:tcPr>
            <w:tcW w:w="80" w:type="dxa"/>
            <w:vAlign w:val="bottom"/>
          </w:tcPr>
          <w:p>
            <w:pPr>
              <w:spacing w:after="0"/>
              <w:rPr>
                <w:sz w:val="13"/>
                <w:szCs w:val="13"/>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 Average Expected</w:t>
            </w:r>
          </w:p>
        </w:tc>
        <w:tc>
          <w:tcPr>
            <w:tcW w:w="0" w:type="dxa"/>
            <w:vAlign w:val="bottom"/>
          </w:tcPr>
          <w:p>
            <w:pPr>
              <w:spacing w:after="0"/>
              <w:rPr>
                <w:sz w:val="1"/>
                <w:szCs w:val="1"/>
                <w:color w:val="auto"/>
              </w:rPr>
            </w:pPr>
          </w:p>
        </w:tc>
      </w:tr>
      <w:tr>
        <w:trPr>
          <w:trHeight w:val="149"/>
        </w:trPr>
        <w:tc>
          <w:tcPr>
            <w:tcW w:w="7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Recognition Period</w:t>
            </w:r>
          </w:p>
        </w:tc>
        <w:tc>
          <w:tcPr>
            <w:tcW w:w="0" w:type="dxa"/>
            <w:vAlign w:val="bottom"/>
          </w:tcPr>
          <w:p>
            <w:pPr>
              <w:spacing w:after="0"/>
              <w:rPr>
                <w:sz w:val="1"/>
                <w:szCs w:val="1"/>
                <w:color w:val="auto"/>
              </w:rPr>
            </w:pPr>
          </w:p>
        </w:tc>
      </w:tr>
      <w:tr>
        <w:trPr>
          <w:trHeight w:val="196"/>
        </w:trPr>
        <w:tc>
          <w:tcPr>
            <w:tcW w:w="70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CCEEFF"/>
            </w:tcBorders>
          </w:tcPr>
          <w:p>
            <w:pPr>
              <w:spacing w:after="0"/>
              <w:rPr>
                <w:sz w:val="17"/>
                <w:szCs w:val="17"/>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0" w:type="dxa"/>
            <w:vAlign w:val="bottom"/>
          </w:tcPr>
          <w:p>
            <w:pPr>
              <w:spacing w:after="0"/>
              <w:rPr>
                <w:sz w:val="1"/>
                <w:szCs w:val="1"/>
                <w:color w:val="auto"/>
              </w:rPr>
            </w:pP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0"/>
        </w:trPr>
        <w:tc>
          <w:tcPr>
            <w:tcW w:w="7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274,132</w:t>
            </w:r>
          </w:p>
        </w:tc>
        <w:tc>
          <w:tcPr>
            <w:tcW w:w="2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70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unrecognized stock-based compensation expense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274,872</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Awards activity under the Company’s equity incentive plans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4420" w:type="dxa"/>
            <w:vAlign w:val="bottom"/>
            <w:tcBorders>
              <w:bottom w:val="single" w:sz="8" w:color="auto"/>
            </w:tcBorders>
            <w:gridSpan w:val="7"/>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Stock Awards Outstanding</w:t>
            </w:r>
          </w:p>
        </w:tc>
      </w:tr>
      <w:tr>
        <w:trPr>
          <w:trHeight w:val="174"/>
        </w:trPr>
        <w:tc>
          <w:tcPr>
            <w:tcW w:w="6820" w:type="dxa"/>
            <w:vAlign w:val="bottom"/>
          </w:tcPr>
          <w:p>
            <w:pPr>
              <w:spacing w:after="0"/>
              <w:rPr>
                <w:sz w:val="15"/>
                <w:szCs w:val="15"/>
                <w:color w:val="auto"/>
              </w:rPr>
            </w:pPr>
          </w:p>
        </w:tc>
        <w:tc>
          <w:tcPr>
            <w:tcW w:w="1400" w:type="dxa"/>
            <w:vAlign w:val="bottom"/>
          </w:tcPr>
          <w:p>
            <w:pPr>
              <w:jc w:val="right"/>
              <w:spacing w:after="0" w:line="174" w:lineRule="exact"/>
              <w:rPr>
                <w:sz w:val="20"/>
                <w:szCs w:val="20"/>
                <w:color w:val="auto"/>
              </w:rPr>
            </w:pPr>
            <w:r>
              <w:rPr>
                <w:rFonts w:ascii="Times New Roman" w:cs="Times New Roman" w:eastAsia="Times New Roman" w:hAnsi="Times New Roman"/>
                <w:sz w:val="18"/>
                <w:szCs w:val="18"/>
                <w:b w:val="1"/>
                <w:bCs w:val="1"/>
                <w:color w:val="auto"/>
              </w:rPr>
              <w:t>Number of Stock</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60"/>
              <w:spacing w:after="0" w:line="174"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5"/>
                <w:szCs w:val="15"/>
                <w:color w:val="auto"/>
              </w:rPr>
            </w:pPr>
          </w:p>
        </w:tc>
        <w:tc>
          <w:tcPr>
            <w:tcW w:w="1260" w:type="dxa"/>
            <w:vAlign w:val="bottom"/>
          </w:tcPr>
          <w:p>
            <w:pPr>
              <w:jc w:val="right"/>
              <w:ind w:right="210"/>
              <w:spacing w:after="0" w:line="174" w:lineRule="exact"/>
              <w:rPr>
                <w:sz w:val="20"/>
                <w:szCs w:val="20"/>
                <w:color w:val="auto"/>
              </w:rPr>
            </w:pPr>
            <w:r>
              <w:rPr>
                <w:rFonts w:ascii="Times New Roman" w:cs="Times New Roman" w:eastAsia="Times New Roman" w:hAnsi="Times New Roman"/>
                <w:sz w:val="18"/>
                <w:szCs w:val="18"/>
                <w:b w:val="1"/>
                <w:bCs w:val="1"/>
                <w:color w:val="auto"/>
              </w:rPr>
              <w:t>Aggregate</w:t>
            </w:r>
          </w:p>
        </w:tc>
      </w:tr>
      <w:tr>
        <w:trPr>
          <w:trHeight w:val="184"/>
        </w:trPr>
        <w:tc>
          <w:tcPr>
            <w:tcW w:w="6820" w:type="dxa"/>
            <w:vAlign w:val="bottom"/>
          </w:tcPr>
          <w:p>
            <w:pPr>
              <w:spacing w:after="0"/>
              <w:rPr>
                <w:sz w:val="16"/>
                <w:szCs w:val="16"/>
                <w:color w:val="auto"/>
              </w:rPr>
            </w:pPr>
          </w:p>
        </w:tc>
        <w:tc>
          <w:tcPr>
            <w:tcW w:w="1400" w:type="dxa"/>
            <w:vAlign w:val="bottom"/>
          </w:tcPr>
          <w:p>
            <w:pPr>
              <w:jc w:val="right"/>
              <w:ind w:right="310"/>
              <w:spacing w:after="0" w:line="184" w:lineRule="exact"/>
              <w:rPr>
                <w:sz w:val="20"/>
                <w:szCs w:val="20"/>
                <w:color w:val="auto"/>
              </w:rPr>
            </w:pPr>
            <w:r>
              <w:rPr>
                <w:rFonts w:ascii="Times New Roman" w:cs="Times New Roman" w:eastAsia="Times New Roman" w:hAnsi="Times New Roman"/>
                <w:sz w:val="18"/>
                <w:szCs w:val="18"/>
                <w:b w:val="1"/>
                <w:bCs w:val="1"/>
                <w:color w:val="auto"/>
              </w:rPr>
              <w:t>Awards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8"/>
              </w:rPr>
              <w:t>Average Grant</w:t>
            </w:r>
          </w:p>
        </w:tc>
        <w:tc>
          <w:tcPr>
            <w:tcW w:w="144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Intrinsic Value (in</w:t>
            </w:r>
          </w:p>
        </w:tc>
      </w:tr>
      <w:tr>
        <w:trPr>
          <w:trHeight w:val="230"/>
        </w:trPr>
        <w:tc>
          <w:tcPr>
            <w:tcW w:w="682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00" w:type="dxa"/>
            <w:vAlign w:val="bottom"/>
          </w:tcPr>
          <w:p>
            <w:pPr>
              <w:spacing w:after="0"/>
              <w:rPr>
                <w:sz w:val="19"/>
                <w:szCs w:val="19"/>
                <w:color w:val="auto"/>
              </w:rPr>
            </w:pP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Date Fair Value</w:t>
            </w:r>
          </w:p>
        </w:tc>
        <w:tc>
          <w:tcPr>
            <w:tcW w:w="180" w:type="dxa"/>
            <w:vAlign w:val="bottom"/>
          </w:tcPr>
          <w:p>
            <w:pPr>
              <w:spacing w:after="0"/>
              <w:rPr>
                <w:sz w:val="19"/>
                <w:szCs w:val="19"/>
                <w:color w:val="auto"/>
              </w:rPr>
            </w:pPr>
          </w:p>
        </w:tc>
        <w:tc>
          <w:tcPr>
            <w:tcW w:w="1260" w:type="dxa"/>
            <w:vAlign w:val="bottom"/>
          </w:tcPr>
          <w:p>
            <w:pPr>
              <w:jc w:val="right"/>
              <w:ind w:right="130"/>
              <w:spacing w:after="0" w:line="230" w:lineRule="exact"/>
              <w:rPr>
                <w:sz w:val="20"/>
                <w:szCs w:val="20"/>
                <w:color w:val="auto"/>
              </w:rPr>
            </w:pPr>
            <w:r>
              <w:rPr>
                <w:rFonts w:ascii="Times New Roman" w:cs="Times New Roman" w:eastAsia="Times New Roman" w:hAnsi="Times New Roman"/>
                <w:sz w:val="18"/>
                <w:szCs w:val="18"/>
                <w:b w:val="1"/>
                <w:bCs w:val="1"/>
                <w:color w:val="auto"/>
              </w:rPr>
              <w:t>thousands)</w:t>
            </w:r>
            <w:r>
              <w:rPr>
                <w:rFonts w:ascii="Times New Roman" w:cs="Times New Roman" w:eastAsia="Times New Roman" w:hAnsi="Times New Roman"/>
                <w:sz w:val="23"/>
                <w:szCs w:val="23"/>
                <w:b w:val="1"/>
                <w:bCs w:val="1"/>
                <w:color w:val="auto"/>
                <w:vertAlign w:val="superscript"/>
              </w:rPr>
              <w:t>(1)</w:t>
            </w:r>
          </w:p>
        </w:tc>
      </w:tr>
      <w:tr>
        <w:trPr>
          <w:trHeight w:val="223"/>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2023</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3,414,706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289,635</w:t>
            </w:r>
          </w:p>
        </w:tc>
      </w:tr>
      <w:tr>
        <w:trPr>
          <w:trHeight w:val="230"/>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1,606,142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Released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(1,221,287)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121,796</w:t>
            </w:r>
          </w:p>
        </w:tc>
      </w:tr>
      <w:tr>
        <w:trPr>
          <w:trHeight w:val="229"/>
        </w:trPr>
        <w:tc>
          <w:tcPr>
            <w:tcW w:w="68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Canceled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(236,873)</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3,562,688</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393,321</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r>
        <w:trPr>
          <w:trHeight w:val="204"/>
        </w:trPr>
        <w:tc>
          <w:tcPr>
            <w:tcW w:w="68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Expected to vest as of April 30, 2024</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3,562,688</w:t>
            </w:r>
          </w:p>
        </w:tc>
        <w:tc>
          <w:tcPr>
            <w:tcW w:w="22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86.59</w:t>
            </w:r>
          </w:p>
        </w:tc>
        <w:tc>
          <w:tcPr>
            <w:tcW w:w="80" w:type="dxa"/>
            <w:vAlign w:val="bottom"/>
          </w:tcPr>
          <w:p>
            <w:pPr>
              <w:spacing w:after="0"/>
              <w:rPr>
                <w:sz w:val="17"/>
                <w:szCs w:val="17"/>
                <w:color w:val="auto"/>
              </w:rPr>
            </w:pPr>
          </w:p>
        </w:tc>
        <w:tc>
          <w:tcPr>
            <w:tcW w:w="1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393,321</w:t>
            </w:r>
          </w:p>
        </w:tc>
      </w:tr>
      <w:tr>
        <w:trPr>
          <w:trHeight w:val="20"/>
        </w:trPr>
        <w:tc>
          <w:tcPr>
            <w:tcW w:w="68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45" w:lineRule="exact"/>
        <w:rPr>
          <w:sz w:val="20"/>
          <w:szCs w:val="20"/>
          <w:color w:val="auto"/>
        </w:rPr>
      </w:pPr>
    </w:p>
    <w:p>
      <w:pPr>
        <w:ind w:right="20" w:firstLine="8"/>
        <w:spacing w:after="0" w:line="362" w:lineRule="auto"/>
        <w:tabs>
          <w:tab w:leader="none" w:pos="132" w:val="left"/>
        </w:tabs>
        <w:numPr>
          <w:ilvl w:val="0"/>
          <w:numId w:val="5"/>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Aggregate intrinsic value at each period end represents the total market value of Stock Awards at the Company’s closing stock price of $110.40 and $84.82 on April 30, 2024 and July 31, 2023, respectively. Aggregate intrinsic value for released Stock Awards represents the total market value of released Stock Awards at date of release.</w:t>
      </w:r>
    </w:p>
    <w:p>
      <w:pPr>
        <w:spacing w:after="0" w:line="134" w:lineRule="exact"/>
        <w:rPr>
          <w:sz w:val="20"/>
          <w:szCs w:val="20"/>
          <w:color w:val="auto"/>
        </w:rPr>
      </w:pPr>
    </w:p>
    <w:p>
      <w:pPr>
        <w:jc w:val="both"/>
        <w:ind w:firstLine="324"/>
        <w:spacing w:after="0" w:line="239" w:lineRule="auto"/>
        <w:rPr>
          <w:sz w:val="20"/>
          <w:szCs w:val="20"/>
          <w:color w:val="auto"/>
        </w:rPr>
      </w:pPr>
      <w:r>
        <w:rPr>
          <w:rFonts w:ascii="Times New Roman" w:cs="Times New Roman" w:eastAsia="Times New Roman" w:hAnsi="Times New Roman"/>
          <w:sz w:val="18"/>
          <w:szCs w:val="18"/>
          <w:color w:val="auto"/>
        </w:rPr>
        <w:t>In September 2023, certain executive officers were granted Stock Awards that vest in September 2026, subject to continued service until such time, with the opportunity to increase the number of vested awards based on Company financial performance and, for a select number of awards, the market performance of the Company’s common stock. The fair value of the awards will be recognized over the performance period and may increase or decrease depending on the estimated attainment of Company financial performance criteria. The Company determined the fair value of the portion of the award subject to the market performance of the Company’s common stock using a Monte Carlo simulation model, which included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Performance Period</w:t>
            </w:r>
          </w:p>
        </w:tc>
        <w:tc>
          <w:tcPr>
            <w:tcW w:w="25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488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September 13, 2023 to September 13, 2026</w:t>
            </w: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3-year Historical Volatility</w:t>
            </w:r>
          </w:p>
        </w:tc>
        <w:tc>
          <w:tcPr>
            <w:tcW w:w="2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8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35.0%</w:t>
            </w: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3-year Risk Free Rate</w:t>
            </w:r>
          </w:p>
        </w:tc>
        <w:tc>
          <w:tcPr>
            <w:tcW w:w="2540" w:type="dxa"/>
            <w:vAlign w:val="bottom"/>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4880" w:type="dxa"/>
            <w:vAlign w:val="bottom"/>
            <w:shd w:val="clear" w:color="auto" w:fill="CCEEFF"/>
          </w:tcPr>
          <w:p>
            <w:pPr>
              <w:jc w:val="right"/>
              <w:ind w:right="2170"/>
              <w:spacing w:after="0"/>
              <w:rPr>
                <w:sz w:val="20"/>
                <w:szCs w:val="20"/>
                <w:color w:val="auto"/>
              </w:rPr>
            </w:pPr>
            <w:r>
              <w:rPr>
                <w:rFonts w:ascii="Times New Roman" w:cs="Times New Roman" w:eastAsia="Times New Roman" w:hAnsi="Times New Roman"/>
                <w:sz w:val="18"/>
                <w:szCs w:val="18"/>
                <w:color w:val="auto"/>
              </w:rPr>
              <w:t>4.5%</w:t>
            </w:r>
          </w:p>
        </w:tc>
      </w:tr>
      <w:tr>
        <w:trPr>
          <w:trHeight w:val="743"/>
        </w:trPr>
        <w:tc>
          <w:tcPr>
            <w:tcW w:w="3740" w:type="dxa"/>
            <w:vAlign w:val="bottom"/>
          </w:tcPr>
          <w:p>
            <w:pPr>
              <w:spacing w:after="0"/>
              <w:rPr>
                <w:sz w:val="24"/>
                <w:szCs w:val="24"/>
                <w:color w:val="auto"/>
              </w:rPr>
            </w:pPr>
          </w:p>
        </w:tc>
        <w:tc>
          <w:tcPr>
            <w:tcW w:w="2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115"/>
        </w:trPr>
        <w:tc>
          <w:tcPr>
            <w:tcW w:w="37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portion of the award subject to the market performance of the Company’s common stock, stock-based compensation expense is recognized over the requisite service period regardless of whether or not the market condition is ultimately satisfied, subject to continued service over the period.</w:t>
      </w:r>
    </w:p>
    <w:p>
      <w:pPr>
        <w:spacing w:after="0" w:line="10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Prior to fiscal year 2024, certain executives and employees of the Company received PSUs, which will vest over three years with 50% vesting annually over the three year period and the remaining 50% vesting at the end of the third year.</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stock-based compensation related to PSUs of $4.6 million and $3.6 million during the three months ended April 30, 2024 and 2023, respectively, and $11.7 million and $10.8 million during the nine months ended April 30, 2024 and 2023,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stock option activity under the Company’s equity incentive plans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 Options Outstanding</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gridSpan w:val="2"/>
          </w:tcPr>
          <w:p>
            <w:pPr>
              <w:jc w:val="center"/>
              <w:ind w:right="60"/>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980" w:type="dxa"/>
            <w:vAlign w:val="bottom"/>
          </w:tcPr>
          <w:p>
            <w:pPr>
              <w:spacing w:after="0"/>
              <w:rPr>
                <w:sz w:val="15"/>
                <w:szCs w:val="15"/>
                <w:color w:val="auto"/>
              </w:rPr>
            </w:pPr>
          </w:p>
        </w:tc>
        <w:tc>
          <w:tcPr>
            <w:tcW w:w="126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4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5"/>
                <w:szCs w:val="15"/>
                <w:color w:val="auto"/>
              </w:rPr>
            </w:pPr>
          </w:p>
        </w:tc>
        <w:tc>
          <w:tcPr>
            <w:tcW w:w="108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340" w:type="dxa"/>
            <w:vAlign w:val="bottom"/>
            <w:gridSpan w:val="2"/>
          </w:tcPr>
          <w:p>
            <w:pPr>
              <w:jc w:val="center"/>
              <w:ind w:right="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1260" w:type="dxa"/>
            <w:vAlign w:val="bottom"/>
          </w:tcPr>
          <w:p>
            <w:pPr>
              <w:jc w:val="right"/>
              <w:ind w:right="10"/>
              <w:spacing w:after="0" w:line="176" w:lineRule="exact"/>
              <w:rPr>
                <w:sz w:val="20"/>
                <w:szCs w:val="20"/>
                <w:color w:val="auto"/>
              </w:rPr>
            </w:pPr>
            <w:r>
              <w:rPr>
                <w:rFonts w:ascii="Times New Roman" w:cs="Times New Roman" w:eastAsia="Times New Roman" w:hAnsi="Times New Roman"/>
                <w:sz w:val="18"/>
                <w:szCs w:val="18"/>
                <w:b w:val="1"/>
                <w:bCs w:val="1"/>
                <w:color w:val="auto"/>
              </w:rPr>
              <w:t>Stock Options</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1340" w:type="dxa"/>
            <w:vAlign w:val="bottom"/>
            <w:gridSpan w:val="2"/>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80" w:type="dxa"/>
            <w:vAlign w:val="bottom"/>
          </w:tcPr>
          <w:p>
            <w:pPr>
              <w:spacing w:after="0"/>
              <w:rPr>
                <w:sz w:val="15"/>
                <w:szCs w:val="15"/>
                <w:color w:val="auto"/>
              </w:rPr>
            </w:pPr>
          </w:p>
        </w:tc>
        <w:tc>
          <w:tcPr>
            <w:tcW w:w="108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3"/>
        </w:trPr>
        <w:tc>
          <w:tcPr>
            <w:tcW w:w="598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21"/>
                <w:szCs w:val="21"/>
                <w:color w:val="auto"/>
              </w:rPr>
            </w:pPr>
          </w:p>
        </w:tc>
        <w:tc>
          <w:tcPr>
            <w:tcW w:w="13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80" w:type="dxa"/>
            <w:vAlign w:val="bottom"/>
          </w:tcPr>
          <w:p>
            <w:pPr>
              <w:spacing w:after="0"/>
              <w:rPr>
                <w:sz w:val="21"/>
                <w:szCs w:val="21"/>
                <w:color w:val="auto"/>
              </w:rPr>
            </w:pPr>
          </w:p>
        </w:tc>
        <w:tc>
          <w:tcPr>
            <w:tcW w:w="1080" w:type="dxa"/>
            <w:vAlign w:val="bottom"/>
          </w:tcPr>
          <w:p>
            <w:pPr>
              <w:jc w:val="center"/>
              <w:ind w:right="90"/>
              <w:spacing w:after="0" w:line="243" w:lineRule="exact"/>
              <w:rPr>
                <w:sz w:val="20"/>
                <w:szCs w:val="20"/>
                <w:color w:val="auto"/>
              </w:rPr>
            </w:pPr>
            <w:r>
              <w:rPr>
                <w:rFonts w:ascii="Times New Roman" w:cs="Times New Roman" w:eastAsia="Times New Roman" w:hAnsi="Times New Roman"/>
                <w:sz w:val="18"/>
                <w:szCs w:val="18"/>
                <w:b w:val="1"/>
                <w:bCs w:val="1"/>
                <w:color w:val="auto"/>
                <w:w w:val="92"/>
              </w:rPr>
              <w:t>Value</w:t>
            </w:r>
            <w:r>
              <w:rPr>
                <w:rFonts w:ascii="Times New Roman" w:cs="Times New Roman" w:eastAsia="Times New Roman" w:hAnsi="Times New Roman"/>
                <w:sz w:val="23"/>
                <w:szCs w:val="23"/>
                <w:b w:val="1"/>
                <w:bCs w:val="1"/>
                <w:color w:val="auto"/>
                <w:w w:val="92"/>
                <w:vertAlign w:val="superscript"/>
              </w:rPr>
              <w:t>(1)</w:t>
            </w:r>
          </w:p>
        </w:tc>
        <w:tc>
          <w:tcPr>
            <w:tcW w:w="0" w:type="dxa"/>
            <w:vAlign w:val="bottom"/>
          </w:tcPr>
          <w:p>
            <w:pPr>
              <w:spacing w:after="0"/>
              <w:rPr>
                <w:sz w:val="1"/>
                <w:szCs w:val="1"/>
                <w:color w:val="auto"/>
              </w:rPr>
            </w:pPr>
          </w:p>
        </w:tc>
      </w:tr>
      <w:tr>
        <w:trPr>
          <w:trHeight w:val="223"/>
        </w:trPr>
        <w:tc>
          <w:tcPr>
            <w:tcW w:w="59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80" w:type="dxa"/>
            <w:vAlign w:val="bottom"/>
          </w:tcPr>
          <w:p>
            <w:pPr>
              <w:spacing w:after="0"/>
              <w:rPr>
                <w:sz w:val="19"/>
                <w:szCs w:val="19"/>
                <w:color w:val="auto"/>
              </w:rPr>
            </w:pPr>
          </w:p>
        </w:tc>
        <w:tc>
          <w:tcPr>
            <w:tcW w:w="12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65.90</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0" w:type="dxa"/>
            <w:vAlign w:val="bottom"/>
          </w:tcPr>
          <w:p>
            <w:pPr>
              <w:spacing w:after="0"/>
              <w:rPr>
                <w:sz w:val="1"/>
                <w:szCs w:val="1"/>
                <w:color w:val="auto"/>
              </w:rPr>
            </w:pPr>
          </w:p>
        </w:tc>
      </w:tr>
      <w:tr>
        <w:trPr>
          <w:trHeight w:val="229"/>
        </w:trPr>
        <w:tc>
          <w:tcPr>
            <w:tcW w:w="5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c>
          <w:tcPr>
            <w:tcW w:w="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68.39</w:t>
            </w:r>
          </w:p>
        </w:tc>
        <w:tc>
          <w:tcPr>
            <w:tcW w:w="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181,240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Vested and expected to vest as of April 30, 2024</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181,240</w:t>
            </w:r>
          </w:p>
        </w:tc>
        <w:tc>
          <w:tcPr>
            <w:tcW w:w="26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66.16</w:t>
            </w:r>
          </w:p>
        </w:tc>
        <w:tc>
          <w:tcPr>
            <w:tcW w:w="8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8.1</w:t>
            </w: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8,019</w:t>
            </w:r>
          </w:p>
        </w:tc>
        <w:tc>
          <w:tcPr>
            <w:tcW w:w="0" w:type="dxa"/>
            <w:vAlign w:val="bottom"/>
          </w:tcPr>
          <w:p>
            <w:pPr>
              <w:spacing w:after="0"/>
              <w:rPr>
                <w:sz w:val="1"/>
                <w:szCs w:val="1"/>
                <w:color w:val="auto"/>
              </w:rPr>
            </w:pP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as of April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7,109</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firstLine="8"/>
        <w:spacing w:after="0" w:line="337" w:lineRule="auto"/>
        <w:tabs>
          <w:tab w:leader="none" w:pos="132" w:val="left"/>
        </w:tabs>
        <w:numPr>
          <w:ilvl w:val="0"/>
          <w:numId w:val="6"/>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Aggregate intrinsic value at each period end represents the difference between the Company’s closing stock price of $110.40 and $84.82 on April 30, 2024 and July 31, 2023, respectively, and the exercise price of outstanding options. Aggregate intrinsic value for exercised options represents the difference between the Company’s stock price at date of exercise and the exercise price.</w:t>
      </w:r>
    </w:p>
    <w:p>
      <w:pPr>
        <w:spacing w:after="0" w:line="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2022, the Company’s board of directors authorized and approved a share repurchase program of up to $400.0 million of the Company’s outstanding common stock. Share repurchases under the program may be made from time to time, in the open market, in privately negotiated transactions and otherwise, at the discretion of management of the Company and in accordance with applicable federal securities laws, including Rule 10b-18 of the Exchange Act, and other applicable legal requirements. Such repurchases may also be made in compliance with Rule 10b5-1 trading plans entered into by the Company.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and nine months ended April 30, 2024, the Company did not repurchase any shares of common stock.</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first quarter of fiscal year 2023, the Company entered into an accelerated share repurchase (“ASR”) agreement with a large financial institution whereupon the Company provided them with a prepayment of $200.0 million and received an initial delivery of 2,581,478 shares of the Company’s common stock. During the three months ended April 30, 2023, the ASR was settled in full with the delivery of an additional 648,001 shares of common stock which resulted in total repurchases under the ASR of 3,229,479 shares of common stock at an average purchase price of $61.93 per share. During the nine months ended April 30, 2023, the Company repurchased 3,436,670 shares of common stock at an average price of $62.85 per share.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April 30, 2024, $138.2 million remained available for future share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our condensed consolidated financial statements and the related notes thereto included elsewhere in this Quarterly Report on Form 10-Q and the Risk Factors included in Item 1A of Part II of this Quarterly Report on Form 10-Q. All information presented herein is based on our fiscal calendar. Unless otherwise stated, references in this report to particular years or quarters refer to our fiscal years ended in July and the associated quarters of those fiscal years. We assume no obligation to revise or update any forward-looking statements for any reason, except as required by law.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Guidewire delivers a platform and a suite of products that property and casualty (“P&amp;C”) insurers trust to engage, innovate, and grow efficiently. Guidewire’s platform combines core operations, digital engagement, analytics, and machine learning and artificial intelligence (“AI”) applications delivered as a cloud service or self-managed software. As a partner to our customers, we continually evolve to enable their success and assist them in navigating a rapidly changing insurance market.</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core products are InsuranceSuite Cloud, InsuranceNow, and InsuranceSuite for self-managed installations. These products are transactional systems of record that support the entire insurance lifecycle, including insurance product definition, distribution, underwriting, policyholder services, and claims management. We also sell digital engagement and analytics products. Our digital engagement products enable digital sales, omni-channel service, and enhanced claims experiences for policyholders, agents, vendor partners, and field personnel. Our analytics offerings enable insurers to manage data more effectively, gain insights into their business, drive operational efficiencies, and underwrite new and evolving risks. To support P&amp;C insurers globally, we have localized, and will continue to localize, our suite of products for use in a variety of international regulatory, language, and currency environments.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InsuranceSuite Cloud is a highly configurable and scalable product, delivered as a service, and primarily comprised of three core applications (PolicyCenter Cloud, BillingCenter Cloud, and ClaimCenter Cloud) that can be subscribed to separately or together. These applications are built on and optimized for our Guidewire Cloud Platform (“GWCP”) architecture and leverage our in-house cloud operations team. InsuranceSuite Cloud is designed to support multiple releases each year to ensure that cloud customers remain on the latest version and gain fast access to our innovation efforts. Additionally, InsuranceSuite Cloud embeds digital and analytics capabilities natively into our platform. Most new sales and implementations are for InsuranceSuite Cloud.</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InsuranceNow is a complete, cloud-based application that offers policy, billing, and claims management functionality to insurers.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InsuranceSuite for self-managed installations is comprised of three core applications (PolicyCenter, BillingCenter, and ClaimCenter) that can be licensed separately or together and can be deployed and updated by our customers and their implementation partners.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customers range from some of the largest global insurance companies or their subsidiaries to predominantly national or local insurers that serve</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specific states and/or regions. Our customer engagement is led by our direct sales team and supported by our system integrator (“SI”) partners. We maintain and continue to grow our sales and marketing efforts globally, and maintain regional sales centers throughout the world.</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Because our platform is critical to our new and existing customers’ businesses, their decision-making and product evaluation process is thorough, which often results in an extended sales cycle. These evaluation periods can extend further if a customer purchases multiple products or is considering a move to a cloud-based subscription for the first time. Sales to new customers often involve extensive customer due diligence and reference checks. The success of our sales efforts relies on continued improvements and enhancements to our current products, the introduction of new products, efficient operation of our cloud infrastructure, continued development of relevant local content and automated tools for updating content, and successful implementations and migrations.</w:t>
      </w:r>
    </w:p>
    <w:p>
      <w:pPr>
        <w:spacing w:after="0" w:line="13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sell our platform and suite of products through subscription services for our cloud-delivered products and term licenses for our self-managed products. We generally price our products based on the amount of Direct Written Premium (“DWP”) that will be managed by our products. Our subscription, term license, and support fees are typically invoiced annually in advance. Subscription services are generally sold with an initial term of between three and five years with optional annual renewals commencing after the initial term. Subscription revenue is recognized on a ratable basis over the committed term, once all revenue recognition criteria are met including providing access to the service. Term licenses are primarily sold to existing on-premise customers and are typically an annual commitment with optional renewals thereafter. We may enter into term license arrangements with our customers that have an initial term of more than one year or may renew license arrangements for longer than one year. Term license revenue is typically recognized when software is made available to the customer, provided that all other revenue recognition criteria have been met. Our support revenue is generally recognized ratably over the committed support term of the licensed software. Our support fees are typically priced as a fixed percentage of the associated license fees. We also offer professional services, both directly and through SI partners, to help our customers deploy, migrate, and utilize our platform, services, and products. A majority of our services revenue is billed monthly on a time and materials basis.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Over the past few years, we have primarily been entering into cloud-based subscription arrangements with our new and existing customers, and we anticipate that subscription arrangements will be a significant majority of annual new sales going forward. As this sales model matures, we may decide to change certain contract terms in new arrangements to remain competitive or otherwise meet market demands.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extend our technology leadership in the global market and to drive operating efficiency, we continue to invest in product development and cloud operations to enhance and improve our current products, introduce new products, and advance our ability to securely and cost-effectively deliver our services in the cloud. Continued investment is critical as we seek to assist our customers in achieving their technology goals, maintain our competitive advantage, grow our revenue, expand internationally, and meet evolving customer demands. In certain cases, we may also acquire skills and technologies to manage our cloud infrastructure and accelerate our time to market for new products, solutions, and upgrades.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track record of success with customers and their implementations is central to maintaining our strong competitive position. We rely on our global services team and SI partners to ensure that teams with the right combination of product, business, and language skills are used in the most efficient way to meet our customers’ implementation and migration needs. We have extensive relationships with SI, consulting, technology, and other industry partners. Our network of partners has expanded as interest in and adoption of our platform has grown. We encourage our partners to co-market, pursue joint sales initiatives, and drive broader adoption of our technology, helping us grow our business more efficiently and enabling us to focus our resources on continued innovation and further enhancement of our solutions.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work closely with our network of third-party SI partners to facilitate new sales and implementations of our products. Our partnership with leading SI partners allows us to increase efficiency and scale while reducing customer implementation and migration costs. We continue to invest time and resources to increase the number of qualified consultants employed by our SI partners, develop relationships with new partners in existing and new markets, and ensure that all SI partners are qualified to assist with implementing our products. We believe this model will continue to serve us well, and we intend to continue to expand our network of partners and the number of certified consultants with whom we work so we can leverage our SI partners more effectively, especially for future subscription migrations and implementations.</w:t>
      </w:r>
    </w:p>
    <w:p>
      <w:pPr>
        <w:spacing w:after="0" w:line="13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face a number of risks in the execution of our strategy, including risks related to expanding to new markets, managing lengthy sales cycles, competing effectively in the global market, relying on sales to a relatively small number of large customers, developing new or acquiring existing products successfully, migrating our business towards a subscription model with ratable revenue recognition, increasing the overall adoption of our products, and cost-effectively and securely managing the infrastructure of our cloud-based customers. In response to these and other risks we might face, we continue to invest in many areas of our business, including product development, cloud operations, cybersecurity, implementation and migration services, and sales and marketing.</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experienced seasonal variations in our license revenue and, to a lesser extent, in our subscription revenue as a result of increased customer orders in our fourth fiscal quarter, which is the quarter ending July 31. We generally see significantly increased orders in our fourth fiscal quarter due to efforts by our sales team to achieve annual incentives. Because we recognize revenue upfront for term licenses compared to over time for subscription services, changes in the mix between term license and subscription services may impact our quarterly results. Additionally, any significant multi-year term license or term license non-renewal could impact quarterly results. Subscription sales now represent the significant majority of total sales and, as a result when compared to term license sales, the revenue we recognize in the initial fiscal year of an order is lower, deferred revenue is higher, and our total reported revenue growth may be adversely affected in the near term due to the ratable nature of these arrangements. Over time, this ratable revenue dynamic will dampen the impact of seasonality on our revenue.</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services revenue is also subject to seasonal fluctuations, though to a lesser degree than our license revenue and subscription revenue. Our services revenue is impacted by the number of billable days in a given fiscal quarter. Our second fiscal quarter, which is the quarter ending January 31, usually has fewer billable days due to the impact of calendar year end holidays in the United States. Our fourth fiscal quarter usually has fewer billable days due to the impact of vacations taken by our services professionals. Because we pay our services professionals the same amount throughout the year, our gross margins on our services revenue are usually lower in these quarters. This seasonal pattern, however, may be absent in any given year.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Global Events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Recent global events have adversely affected and are continuing to adversely affect workforces, organizations, economies, and financial markets globally, leading to economic downturns, inflation, and increased market volatility. For instance, ongoing conflicts such as the wars between Israel and Hamas and between Russia and Ukraine, escalating tensions in the South China Sea, high inflation, bank failures in the United States and Switzerland and the related impact on financial markets and institutions, and supply chain issues have contributed to global economic and market volatility. We are unable to accurately predict the full impact that these global events will have on our results of operations, financial condition, liquidity, and cash flows due to numerous uncertainties.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business and financial results have been and may in the future be impacted due to these disruptions, which may affect our ARR and revenue growth rates, sales cycles, services revenue and margins, operating cash flow and expenses, employee attrition, hiring and onboarding necessary personnel, allowance for collectability of accounts receivable and unbilled receivables, and the change in fair value of strategic investments. Additionally, recent inflation levels are impacting the global economy and magnifying the impact of these disruptions.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customers may be unable to pay or may request amended payment terms for their outstanding invoices due to the economic impacts from these disruptions, and we may need to increase our accounts receivable allowances. A decrease in orders in a given period could negatively affect our revenue and ARR in future periods, particularly if experienced on a sustained basis, because a substantial proportion of our new software subscription services orders is recognized as revenue over time. Also, the global economic impact of these disruptions could affect our customers’ DWP, which could ultimately impact our revenue as we generally price our products based on the amount of DWP that will be managed by our products. Additionally, we may be required to record impairment related to our operating lease assets, investments, long-lived assets, intangible assets, or goodwill.</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continue to monitor and evaluate the nature and extent of these global events on our business.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including ARR and Free Cash Flow. For a further discussion of how we use key metrics and certain non-GAAP financial measures, see “Non-GAAP Financial Measures” in this Quarterly Report on Form 10-Q.</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1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ARR to quantify the annualized recurring value outlined in active customer contracts at the end of a reporting period. ARR includes the annualized recurring value of term licenses, subscription agreements, support contracts, and hosting agreements based on customer contractual terms and invoicing activities for the current reporting period, which may not be the same as the timing and amount of revenue recognized. ARR reflects all fee changes due to contract renewals, non-renewals, expansion, cancellations, attrition, or renegotiations at a higher or lower fee arrangement that are effective as of the ARR reporting date. All components of the licensing and other arrangements that are not expected to recur (primarily perpetual licenses and professional services) are excluded from our ARR calculations. In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generally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During the nine months ended April 30, 2024, the recurring license and support or subscription contract value recognized as services revenue was $7.3 million.</w:t>
      </w:r>
    </w:p>
    <w:p>
      <w:pPr>
        <w:spacing w:after="0" w:line="13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customer contract contains invoicing amounts that increase over the contract term, then ARR reflects the annualized invoicing amount outlined in the contract for the current reporting period. For example, given a contract with annual invoicing of $1.0 million at the beginning of year one, $2.0 million at the beginning of year two, and $3.0 million at the beginning of year three, and the reporting period is subsequent to year two invoicing and prior to year three invoicing, the reported ARR for that contract would be $2.0 million.</w:t>
      </w:r>
    </w:p>
    <w:p>
      <w:pPr>
        <w:spacing w:after="0" w:line="12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April 30, 2024, ARR was $828 million, compared to $763 million as of July 31, 2023. We measure ARR results on a constant currency basis during the fiscal year and revalue ARR at year end to current currency rates.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monitor our free cash flow, as a key measure of our overall business performance, which enables us to analyze our financial performance without the effects of certain non-cash items such as depreciation, amortization, and stock-based compensation expenses. Additionally, free cash flow takes into account the impact of changes in deferred revenue, which reflects the receipt of cash payment for services and products before they are recognized as revenue, and unbilled accounts receivable, which reflects revenue that has been recognized that has yet to be invoiced to our customers. Our net cash provided by (used in) operating activities is significantly impacted by the timing of invoicing and collections of accounts receivable, the timing and amount of annual bonus payments, as well as payroll and tax payments. Our capital expenditures consist of purchases of property and equipment, primarily computer hardware, software, and leasehold improvements, and capitalized software development costs. For a further discussion of our operating cash flows, see “Liquidity and Capital Resources – Cash Flows.”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00" w:type="dxa"/>
            <w:vAlign w:val="bottom"/>
          </w:tcPr>
          <w:p>
            <w:pPr>
              <w:spacing w:after="0"/>
              <w:rPr>
                <w:sz w:val="18"/>
                <w:szCs w:val="18"/>
                <w:color w:val="auto"/>
              </w:rPr>
            </w:pPr>
          </w:p>
        </w:tc>
        <w:tc>
          <w:tcPr>
            <w:tcW w:w="348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760" w:type="dxa"/>
            <w:vAlign w:val="bottom"/>
            <w:tcBorders>
              <w:bottom w:val="single" w:sz="8" w:color="auto"/>
            </w:tcBorders>
          </w:tcPr>
          <w:p>
            <w:pPr>
              <w:spacing w:after="0"/>
              <w:rPr>
                <w:sz w:val="18"/>
                <w:szCs w:val="18"/>
                <w:color w:val="auto"/>
              </w:rPr>
            </w:pPr>
          </w:p>
        </w:tc>
      </w:tr>
      <w:tr>
        <w:trPr>
          <w:trHeight w:val="211"/>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1,971</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(134,842)</w:t>
            </w:r>
          </w:p>
        </w:tc>
      </w:tr>
      <w:tr>
        <w:trPr>
          <w:trHeight w:val="213"/>
        </w:trPr>
        <w:tc>
          <w:tcPr>
            <w:tcW w:w="7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(4,668)</w:t>
            </w: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(2,614)</w:t>
            </w:r>
          </w:p>
        </w:tc>
      </w:tr>
      <w:tr>
        <w:trPr>
          <w:trHeight w:val="21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software development costs</w:t>
            </w:r>
          </w:p>
        </w:tc>
        <w:tc>
          <w:tcPr>
            <w:tcW w:w="13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w:t>
            </w:r>
          </w:p>
        </w:tc>
        <w:tc>
          <w:tcPr>
            <w:tcW w:w="8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(8,877)</w:t>
            </w:r>
          </w:p>
        </w:tc>
      </w:tr>
      <w:tr>
        <w:trPr>
          <w:trHeight w:val="212"/>
        </w:trPr>
        <w:tc>
          <w:tcPr>
            <w:tcW w:w="70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Free cash flow</w:t>
            </w:r>
          </w:p>
        </w:tc>
        <w:tc>
          <w:tcPr>
            <w:tcW w:w="1360" w:type="dxa"/>
            <w:vAlign w:val="bottom"/>
            <w:tcBorders>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(12,126)</w:t>
            </w:r>
          </w:p>
        </w:tc>
        <w:tc>
          <w:tcPr>
            <w:tcW w:w="80" w:type="dxa"/>
            <w:vAlign w:val="bottom"/>
          </w:tcPr>
          <w:p>
            <w:pPr>
              <w:spacing w:after="0"/>
              <w:rPr>
                <w:sz w:val="18"/>
                <w:szCs w:val="18"/>
                <w:color w:val="auto"/>
              </w:rPr>
            </w:pPr>
          </w:p>
        </w:tc>
        <w:tc>
          <w:tcPr>
            <w:tcW w:w="1320" w:type="dxa"/>
            <w:vAlign w:val="bottom"/>
            <w:tcBorders>
              <w:bottom w:val="single" w:sz="8" w:color="auto"/>
            </w:tcBorders>
          </w:tcPr>
          <w:p>
            <w:pPr>
              <w:jc w:val="right"/>
              <w:ind w:right="11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(146,333)</w:t>
            </w:r>
          </w:p>
        </w:tc>
      </w:tr>
      <w:tr>
        <w:trPr>
          <w:trHeight w:val="21"/>
        </w:trPr>
        <w:tc>
          <w:tcPr>
            <w:tcW w:w="70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Accounting policies, methods, and estimates are an integral part of the preparation of condensed consolidated financial statements in accordance with GAAP and, in part, are based upon management’s current judgments. Those judgments are normally based on knowledge and experience with regard to past and current events and assumptions about future events. Certain accounting policies, methods, and estimates are particularly sensitive because of their significance to the condensed consolidated financial statements and because of the possibility that future events affecting them may differ markedly from management’s current judgments. While there are a number of significant accounting policies, methods, and estimates affecting our condensed consolidated financial statements, which are described in Note 1 “The Company and a Summary of Significant Accounting Policies and Estimates” to our consolidated financial statements included in our Annual Report on Form 10-K for the fiscal year ended July 31, 2023, our revenue recognition policies are critical to the periods presented.</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as described in “Management’s Discussion and Analysis of Financial Condition and Results of Operations – Critical Accounting Policies and Estimates” in our Annual Report on Form 10-K for the fiscal year ended July 31, 2023.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See Note 1 “The Company and Summary of Significant Accounting Policies and Estimates” to the condensed consolidated financial statements included in this Quarterly Report on Form 10-Q for a full description of recent accounting pronouncements adopted, including the dates of adoption, and recent account pronouncements not yet adopted.</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 The data has been derived from the condensed consolidated financial statements contained in this Quarterly Report on Form 10-Q which, in the opinion of our management, reflect all adjustments, consisting only of normal recurring adjustments, necessary to fairly present the financial position and results of operations for the interim periods presented. The results of operations for any period should not be considered indicative of results for any future period. This information should be read in conjunction with the consolidated financial statements and notes thereto included in our Annual Report on Form 10-K for the fiscal year ended July 31, 2023.</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3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1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146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280" w:type="dxa"/>
            <w:vAlign w:val="bottom"/>
          </w:tcPr>
          <w:p>
            <w:pPr>
              <w:spacing w:after="0"/>
              <w:rPr>
                <w:sz w:val="14"/>
                <w:szCs w:val="14"/>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13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780" w:type="dxa"/>
            <w:vAlign w:val="bottom"/>
            <w:tcBorders>
              <w:top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3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0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137,970</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107,499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56,210</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49,389</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240,678</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207,490</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8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46,429</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55,048</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98,451</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108,572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86,785</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55,218</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49,359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Pr>
          <w:p>
            <w:pPr>
              <w:spacing w:after="0"/>
              <w:rPr>
                <w:sz w:val="19"/>
                <w:szCs w:val="19"/>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w:t>
            </w:r>
          </w:p>
        </w:tc>
        <w:tc>
          <w:tcPr>
            <w:tcW w:w="80" w:type="dxa"/>
            <w:vAlign w:val="bottom"/>
          </w:tcPr>
          <w:p>
            <w:pPr>
              <w:spacing w:after="0"/>
              <w:rPr>
                <w:sz w:val="19"/>
                <w:szCs w:val="19"/>
                <w:color w:val="auto"/>
              </w:rPr>
            </w:pP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top w:val="single" w:sz="8" w:color="CCEEFF"/>
            </w:tcBorders>
            <w:shd w:val="clear" w:color="auto" w:fill="CCEEFF"/>
          </w:tcPr>
          <w:p>
            <w:pPr>
              <w:spacing w:after="0"/>
              <w:rPr>
                <w:sz w:val="19"/>
                <w:szCs w:val="19"/>
                <w:color w:val="auto"/>
              </w:rPr>
            </w:pPr>
          </w:p>
        </w:tc>
        <w:tc>
          <w:tcPr>
            <w:tcW w:w="47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7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142,227</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98,918</w:t>
            </w:r>
          </w:p>
        </w:tc>
        <w:tc>
          <w:tcPr>
            <w:tcW w:w="8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63,055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46,864</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42,302</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46,815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158,923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156,734</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(57,816)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(6,535)</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Borders>
              <w:bottom w:val="single" w:sz="8" w:color="CCEEFF"/>
            </w:tcBorders>
          </w:tcPr>
          <w:p>
            <w:pPr>
              <w:spacing w:after="0"/>
              <w:rPr>
                <w:sz w:val="19"/>
                <w:szCs w:val="19"/>
                <w:color w:val="auto"/>
              </w:rPr>
            </w:pPr>
          </w:p>
        </w:tc>
        <w:tc>
          <w:tcPr>
            <w:tcW w:w="4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(10,660)</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(45,568)</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7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tbl>
      <w:tblPr>
        <w:tblLayout w:type="fixed"/>
        <w:tblInd w:w="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3"/>
        </w:trPr>
        <w:tc>
          <w:tcPr>
            <w:tcW w:w="32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4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 April 30,</w:t>
            </w: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4"/>
                <w:szCs w:val="14"/>
                <w:color w:val="auto"/>
              </w:rPr>
            </w:pPr>
          </w:p>
        </w:tc>
        <w:tc>
          <w:tcPr>
            <w:tcW w:w="1460" w:type="dxa"/>
            <w:vAlign w:val="bottom"/>
            <w:gridSpan w:val="2"/>
          </w:tcPr>
          <w:p>
            <w:pPr>
              <w:ind w:left="120"/>
              <w:spacing w:after="0" w:line="169"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280" w:type="dxa"/>
            <w:vAlign w:val="bottom"/>
          </w:tcPr>
          <w:p>
            <w:pPr>
              <w:spacing w:after="0"/>
              <w:rPr>
                <w:sz w:val="14"/>
                <w:szCs w:val="14"/>
                <w:color w:val="auto"/>
              </w:rPr>
            </w:pPr>
          </w:p>
        </w:tc>
        <w:tc>
          <w:tcPr>
            <w:tcW w:w="9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4"/>
                <w:szCs w:val="14"/>
                <w:color w:val="auto"/>
              </w:rPr>
            </w:pPr>
          </w:p>
        </w:tc>
        <w:tc>
          <w:tcPr>
            <w:tcW w:w="1380" w:type="dxa"/>
            <w:vAlign w:val="bottom"/>
          </w:tcPr>
          <w:p>
            <w:pPr>
              <w:jc w:val="right"/>
              <w:ind w:right="10"/>
              <w:spacing w:after="0" w:line="169" w:lineRule="exact"/>
              <w:rPr>
                <w:sz w:val="20"/>
                <w:szCs w:val="20"/>
                <w:color w:val="auto"/>
              </w:rPr>
            </w:pPr>
            <w:r>
              <w:rPr>
                <w:rFonts w:ascii="Times New Roman" w:cs="Times New Roman" w:eastAsia="Times New Roman" w:hAnsi="Times New Roman"/>
                <w:sz w:val="18"/>
                <w:szCs w:val="18"/>
                <w:b w:val="1"/>
                <w:bCs w:val="1"/>
                <w:color w:val="auto"/>
              </w:rPr>
              <w:t>As a % of total</w:t>
            </w:r>
          </w:p>
        </w:tc>
        <w:tc>
          <w:tcPr>
            <w:tcW w:w="0" w:type="dxa"/>
            <w:vAlign w:val="bottom"/>
          </w:tcPr>
          <w:p>
            <w:pPr>
              <w:spacing w:after="0"/>
              <w:rPr>
                <w:sz w:val="1"/>
                <w:szCs w:val="1"/>
                <w:color w:val="auto"/>
              </w:rPr>
            </w:pPr>
          </w:p>
        </w:tc>
      </w:tr>
      <w:tr>
        <w:trPr>
          <w:trHeight w:val="243"/>
        </w:trPr>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78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397,239</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312,321</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161,318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164,669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3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130,425</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158,393</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688,982</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635,383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149,173</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156,896</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139,345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178,993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cost of revenue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292,057</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340,850</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0"/>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248,066</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155,425</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157,779</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159,708</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(20,600)</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gross profit</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396,925</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294,533</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194,061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182,927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144,249</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138,113</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0"/>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121,502</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129,078</w:t>
            </w:r>
          </w:p>
        </w:tc>
        <w:tc>
          <w:tcPr>
            <w:tcW w:w="8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459,812</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450,118</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23"/>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(62,887)</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(155,585)</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31,727</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80" w:type="dxa"/>
            <w:vAlign w:val="bottom"/>
          </w:tcPr>
          <w:p>
            <w:pPr>
              <w:spacing w:after="0"/>
              <w:rPr>
                <w:sz w:val="19"/>
                <w:szCs w:val="19"/>
                <w:color w:val="auto"/>
              </w:rPr>
            </w:pP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3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(9,501)</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provision for (benefit from)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(149,851)</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30"/>
        </w:trPr>
        <w:tc>
          <w:tcPr>
            <w:tcW w:w="320" w:type="dxa"/>
            <w:vAlign w:val="bottom"/>
            <w:tcBorders>
              <w:bottom w:val="single" w:sz="8" w:color="CCEEFF"/>
            </w:tcBorders>
          </w:tcPr>
          <w:p>
            <w:pPr>
              <w:spacing w:after="0"/>
              <w:rPr>
                <w:sz w:val="19"/>
                <w:szCs w:val="19"/>
                <w:color w:val="auto"/>
              </w:rPr>
            </w:pPr>
          </w:p>
        </w:tc>
        <w:tc>
          <w:tcPr>
            <w:tcW w:w="5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(22,860)</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(25,776)</w:t>
            </w:r>
          </w:p>
        </w:tc>
        <w:tc>
          <w:tcPr>
            <w:tcW w:w="8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8"/>
        </w:trPr>
        <w:tc>
          <w:tcPr>
            <w:tcW w:w="5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(22,862)</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(124,075)</w:t>
            </w:r>
          </w:p>
        </w:tc>
        <w:tc>
          <w:tcPr>
            <w:tcW w:w="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derive our revenue primarily from delivering cloud-based services, licensing our software applications, providing support, and delivering professional services.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17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growing portion of our revenue consists of fees for our subscription services, which are generally priced based on the amount of DWP that is managed by our subscription services. Subscription revenue is recognized ratably over the term of the arrangement, beginning at the point in time our provisioning process has been completed and access has been made available to the customer. The initial term of such arrangements is generally from three to five years. Subscription agreements contain optional annual renewals commencing upon the expiration of the initial contract term. A majority of our subscription customers are billed annually in advance. In some arrangements with multiple performance obligations, a portion of recurring subscription contract value may be allocated to license revenue or services revenue for revenue recognition purposes. For example, in arrangements with multiple performance obligations that include services at discounted rates, a portion of the total contract value related to subscription services will be allocated and recognized as services revenue. Additionally, agreements to migrate an existing term license customer to subscription services contain multiple performance obligations, including a provision to continue using the term license during the subscription service implementation period. Under these migration agreements, a portion of the total contract value related to subscription services could be allocated and recognized as term license and support revenue in the period renewed or delivered.</w:t>
      </w:r>
    </w:p>
    <w:p>
      <w:pPr>
        <w:spacing w:after="0" w:line="1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support revenue is generally recognized ratably over the committed support term of the licensed software. Our support fees are typically priced as a fixed percentage of the associated term license fees. We generally invoice support annually in advance. Support related to subscription arrangements is included in subscription revenue, as support is not quoted or priced separately from the subscription services.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substantial majority of our license revenue consists of term license fees. Our term license revenue is primarily generated through license fees that are billed annually in advance during the term of the contract, including any renewals. Our term license fees are generally priced based on the amount of DWP that will be managed by our licensed software. Our term licenses have generally been sold under a two-year initial term with optional annual renewals after the initial term. However, we do enter into license arrangements that have an initial term of more than two years and renewal terms of more than one year. Term license revenue for the committed term of the customer agreement is generally fully recognized upon delivery of the software or at the beginning of the renewal term.</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 limited number of cases, we license our software on a perpetual basis. Perpetual license revenue is generally recognized upon delivery. We invoice our perpetual license customers either in full at contract signing or on an installment basis.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7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services revenue is primarily derived from implementation and migration services performed for our customers, reimbursable travel expenses, and training fees. A majority of our services engagements are billed and revenue is recognized on a time and materials basis upon providing our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76"/>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11"/>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6"/>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revenue</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1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120,430</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89,091</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Support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13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18,408</w:t>
            </w:r>
          </w:p>
        </w:tc>
        <w:tc>
          <w:tcPr>
            <w:tcW w:w="13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4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license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55,005</w:t>
            </w:r>
          </w:p>
        </w:tc>
        <w:tc>
          <w:tcPr>
            <w:tcW w:w="13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50,556</w:t>
            </w:r>
          </w:p>
        </w:tc>
        <w:tc>
          <w:tcPr>
            <w:tcW w:w="13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4,449</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Perpetual license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300" w:type="dxa"/>
            <w:vAlign w:val="bottom"/>
            <w:gridSpan w:val="5"/>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2,520 %</w:t>
            </w:r>
          </w:p>
        </w:tc>
        <w:tc>
          <w:tcPr>
            <w:tcW w:w="0" w:type="dxa"/>
            <w:vAlign w:val="bottom"/>
          </w:tcPr>
          <w:p>
            <w:pPr>
              <w:spacing w:after="0"/>
              <w:rPr>
                <w:sz w:val="1"/>
                <w:szCs w:val="1"/>
                <w:color w:val="auto"/>
              </w:rPr>
            </w:pPr>
          </w:p>
        </w:tc>
      </w:tr>
      <w:tr>
        <w:trPr>
          <w:trHeight w:val="229"/>
        </w:trPr>
        <w:tc>
          <w:tcPr>
            <w:tcW w:w="4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46,498</w:t>
            </w:r>
          </w:p>
        </w:tc>
        <w:tc>
          <w:tcPr>
            <w:tcW w:w="13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49,389</w:t>
            </w:r>
          </w:p>
        </w:tc>
        <w:tc>
          <w:tcPr>
            <w:tcW w:w="1300" w:type="dxa"/>
            <w:vAlign w:val="bottom"/>
            <w:gridSpan w:val="5"/>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240,678</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207,490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33,188</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0"/>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Nine Months Ended April 30,</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5"/>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gridSpan w:val="3"/>
          </w:tcPr>
          <w:p>
            <w:pPr>
              <w:jc w:val="center"/>
              <w:ind w:right="6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60" w:type="dxa"/>
            <w:vAlign w:val="bottom"/>
            <w:gridSpan w:val="15"/>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343,152</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254,083</w:t>
            </w:r>
          </w:p>
        </w:tc>
        <w:tc>
          <w:tcPr>
            <w:tcW w:w="1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89,069</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Support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54,087</w:t>
            </w:r>
          </w:p>
        </w:tc>
        <w:tc>
          <w:tcPr>
            <w:tcW w:w="13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58,238</w:t>
            </w:r>
          </w:p>
        </w:tc>
        <w:tc>
          <w:tcPr>
            <w:tcW w:w="13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(4,151)</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9"/>
        </w:trPr>
        <w:tc>
          <w:tcPr>
            <w:tcW w:w="426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 license</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160,017</w:t>
            </w:r>
          </w:p>
        </w:tc>
        <w:tc>
          <w:tcPr>
            <w:tcW w:w="13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164,512</w:t>
            </w:r>
          </w:p>
        </w:tc>
        <w:tc>
          <w:tcPr>
            <w:tcW w:w="13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(4,495)</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340" w:type="dxa"/>
            <w:vAlign w:val="bottom"/>
            <w:shd w:val="clear" w:color="auto" w:fill="CCEEFF"/>
          </w:tcPr>
          <w:p>
            <w:pPr>
              <w:spacing w:after="0"/>
              <w:rPr>
                <w:sz w:val="19"/>
                <w:szCs w:val="19"/>
                <w:color w:val="auto"/>
              </w:rPr>
            </w:pPr>
          </w:p>
        </w:tc>
        <w:tc>
          <w:tcPr>
            <w:tcW w:w="3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Perpetual license</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729 %</w:t>
            </w:r>
          </w:p>
        </w:tc>
        <w:tc>
          <w:tcPr>
            <w:tcW w:w="0" w:type="dxa"/>
            <w:vAlign w:val="bottom"/>
          </w:tcPr>
          <w:p>
            <w:pPr>
              <w:spacing w:after="0"/>
              <w:rPr>
                <w:sz w:val="1"/>
                <w:szCs w:val="1"/>
                <w:color w:val="auto"/>
              </w:rPr>
            </w:pPr>
          </w:p>
        </w:tc>
      </w:tr>
      <w:tr>
        <w:trPr>
          <w:trHeight w:val="230"/>
        </w:trPr>
        <w:tc>
          <w:tcPr>
            <w:tcW w:w="4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Services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130,425</w:t>
            </w:r>
          </w:p>
        </w:tc>
        <w:tc>
          <w:tcPr>
            <w:tcW w:w="13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158,393</w:t>
            </w:r>
          </w:p>
        </w:tc>
        <w:tc>
          <w:tcPr>
            <w:tcW w:w="1300" w:type="dxa"/>
            <w:vAlign w:val="bottom"/>
            <w:gridSpan w:val="5"/>
          </w:tcPr>
          <w:p>
            <w:pPr>
              <w:jc w:val="right"/>
              <w:ind w:right="11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(27,968)</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48"/>
        </w:trPr>
        <w:tc>
          <w:tcPr>
            <w:tcW w:w="426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688,982</w:t>
            </w:r>
          </w:p>
        </w:tc>
        <w:tc>
          <w:tcPr>
            <w:tcW w:w="60" w:type="dxa"/>
            <w:vAlign w:val="bottom"/>
            <w:tcBorders>
              <w:top w:val="single" w:sz="8" w:color="auto"/>
              <w:bottom w:val="single" w:sz="8" w:color="auto"/>
            </w:tcBorders>
            <w:gridSpan w:val="2"/>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635,383</w:t>
            </w:r>
          </w:p>
        </w:tc>
        <w:tc>
          <w:tcPr>
            <w:tcW w:w="60" w:type="dxa"/>
            <w:vAlign w:val="bottom"/>
            <w:tcBorders>
              <w:top w:val="single" w:sz="8" w:color="auto"/>
              <w:bottom w:val="single" w:sz="8" w:color="auto"/>
            </w:tcBorders>
            <w:gridSpan w:val="2"/>
            <w:shd w:val="clear" w:color="auto" w:fill="CCEEFF"/>
          </w:tcPr>
          <w:p>
            <w:pPr>
              <w:spacing w:after="0"/>
              <w:rPr>
                <w:sz w:val="21"/>
                <w:szCs w:val="21"/>
                <w:color w:val="auto"/>
              </w:rPr>
            </w:pPr>
          </w:p>
        </w:tc>
        <w:tc>
          <w:tcPr>
            <w:tcW w:w="8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53,599</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and Support</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anticipate subscriptions will continue to represent a significant majority of new arrangements, including customers migrating from existing term license arrangements to subscription services, in future periods. Due to the ratable recognition of subscription revenue, growth in subscription revenue will lag behind the growth of subscription orders and will impact the comparative growth of our reported revenue on a year-over-year basis. If we complete a higher percentage of subscription arrangements towards the end of a given period, our short-term growth rates will be negatively impacted. Due to the seasonal nature of our business, the impact of new subscription orders in our fourth fiscal quarter, our historically largest quarter for new orders, is not fully reflected in revenue until the following fiscal year.</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Subscription revenue increased by $31.3 million and $89.1 million during the three and nine months ended April 30, 2024, respectively, compared to the same periods a year ago, primarily due to the impact of new subscription agreements entered into and provisioned since April 30, 2023, cloud transition agreements, and the renewal or extension of subscription services at the fully ramped annual fees after the initial committed 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Support revenue decreased by $0.9 million and $4.2 million during the three and nine months ended April 30, 2024, respectively, compared to the same periods a year ago, primarily due to customers migrating from on-premise term licenses to subscription services. Support related to subscription arrangements is included in subscription revenue, as support is not quoted or priced separately from the subscription services. As customers enter into a subscription agreement to migrate from an existing term license agreement, the timing and amount of revenue recognized will be impacted by allocations of the total contract value between the license, subscription, and support performance obligations. As a result, we expect the increase in subscription orders as a percentage of total new sales and customers migrating from term licenses to subscription services will result in lower support revenue in the future.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 related to new term licenses and multi-year term license renewals is generally recognized upfront and, as a result, no additional license revenue is recognized until after the committed term expires. As a customer enters into a subscription agreement to migrate from an existing term license agreement, the timing and amount of revenue recognition will be impacted by allocations of total contract value between license, subscription, and support performance obligations. License revenue growth has and will be negatively impacted as subscription sales increase as a percentage of total new sales and as customers migrate from term licenses to subscription services instead of renewing their term licenses.</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Term license revenue increased by $4.4 million during the three months ended April 30, 2024, compared to the same period a year ago. This increase was driven by contracts with increases based on the amount of DWP that is managed by our licensed software and changes in the CPI index, contract renewals after the committed term has expired and expansion orders from existing customers, and new term license agreements to existing customers, partially offset by the impact of customers that migrated from a term license to a subscription service. The impact on term license revenue from contracts with an initial term of greater than two years or a renewal term of greater than one year during the three months ended April 30, 2024 was $0.3 million compared with no impact in the prior year period.</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Term license revenue decreased by $4.5 million during the nine months ended April 30, 2024, compared to the same period a year ago. This decrease is driven by lower new term license agreements as most of our new sales activity is for subscription services, the impact of contracts with an initial term of greater than two years or a renewal term of greater than one year, and the impact of customers that migrated from a term license to a subscription service. The impact on term license revenue from contracts with an initial term of greater than two years or a renewal term of greater than one year during the nine months ended April 30, 2024 was $2.7 million compared with $3.7 million in the prior year period.</w:t>
      </w:r>
    </w:p>
    <w:p>
      <w:pPr>
        <w:spacing w:after="0" w:line="1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Services revenue decreased by $2.9 million and $28.0 million during the three and nine months ended April 30, 2024, respectively, compared to the same period a year ago. The decrease is primarily driven by the completion of implementations, combined with our SI partners leading more new subscription implementation and migration projects than in the past. Additionally, services revenue overall continues to be impacted by investments in customer implementations, including fixed fee or capped arrangements. In these arrangements when a project extends longer than originally anticipated, the average billing rate we recognize may decrease, which can result in revenue adjustments and lower gross profit.</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we successfully leverage our SI partners to lead more implementations and migrations, we expect our services revenue could be flat or decline in the near-term. As we continue to expand into new markets and develop new products, we have, and may continue to, enter into contracts with lower average billing rates, make investments in customer implementation and migration engagements, and enter into fixed price contracts, which may impact services revenue and services margin.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Profit</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cost of subscription and support revenue primarily consists of personnel costs for our cloud operations and technical support teams, cloud infrastructure costs, development of online training curriculum, amortization of intangible assets, and royalty fees paid to third parties. Our cost of license revenue primarily consists of development of online training curriculum, royalty fees paid to third parties, and amortization of intangible assets. Our cost of services revenue primarily consists of personnel costs for our professional service employees, third-party subcontractors or consultants, and travel costs. In instances where we have primary responsibility for the delivery of services, subcontractor fees are expensed as cost of services revenue. In each case, personnel costs include salaries, bonuses, benefits, and stock-based compensation.</w:t>
      </w:r>
    </w:p>
    <w:p>
      <w:pPr>
        <w:spacing w:after="0" w:line="13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spacing w:after="0" w:line="200" w:lineRule="exact"/>
        <w:rPr>
          <w:sz w:val="20"/>
          <w:szCs w:val="20"/>
          <w:color w:val="auto"/>
        </w:rPr>
      </w:pPr>
    </w:p>
    <w:p>
      <w:pPr>
        <w:spacing w:after="0" w:line="3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6300" w:type="dxa"/>
            <w:vAlign w:val="bottom"/>
            <w:gridSpan w:val="2"/>
          </w:tcPr>
          <w:p>
            <w:pPr>
              <w:jc w:val="center"/>
              <w:ind w:right="5040"/>
              <w:spacing w:after="0"/>
              <w:rPr>
                <w:sz w:val="20"/>
                <w:szCs w:val="20"/>
                <w:color w:val="auto"/>
              </w:rPr>
            </w:pPr>
            <w:r>
              <w:rPr>
                <w:rFonts w:ascii="Times New Roman" w:cs="Times New Roman" w:eastAsia="Times New Roman" w:hAnsi="Times New Roman"/>
                <w:sz w:val="18"/>
                <w:szCs w:val="18"/>
                <w:color w:val="0000FF"/>
                <w:w w:val="97"/>
              </w:rPr>
              <w:t>Table of Contents</w:t>
            </w: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w:t>
            </w:r>
          </w:p>
        </w:tc>
        <w:tc>
          <w:tcPr>
            <w:tcW w:w="78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2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80" w:type="dxa"/>
            <w:vAlign w:val="bottom"/>
          </w:tcPr>
          <w:p>
            <w:pPr>
              <w:spacing w:after="0"/>
              <w:rPr>
                <w:sz w:val="19"/>
                <w:szCs w:val="19"/>
                <w:color w:val="auto"/>
              </w:rPr>
            </w:pPr>
          </w:p>
        </w:tc>
      </w:tr>
      <w:tr>
        <w:trPr>
          <w:trHeight w:val="229"/>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51,185</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52,281</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6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66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46,429</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55,048</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6640" w:type="dxa"/>
            <w:vAlign w:val="bottom"/>
            <w:tcBorders>
              <w:bottom w:val="single" w:sz="8" w:color="CCEEFF"/>
            </w:tcBorders>
            <w:gridSpan w:val="3"/>
            <w:shd w:val="clear" w:color="auto" w:fill="CCEEFF"/>
          </w:tcPr>
          <w:p>
            <w:pPr>
              <w:jc w:val="center"/>
              <w:ind w:right="4680"/>
              <w:spacing w:after="0"/>
              <w:rPr>
                <w:sz w:val="20"/>
                <w:szCs w:val="20"/>
                <w:color w:val="auto"/>
              </w:rPr>
            </w:pPr>
            <w:r>
              <w:rPr>
                <w:rFonts w:ascii="Times New Roman" w:cs="Times New Roman" w:eastAsia="Times New Roman" w:hAnsi="Times New Roman"/>
                <w:sz w:val="18"/>
                <w:szCs w:val="18"/>
                <w:color w:val="auto"/>
                <w:w w:val="99"/>
              </w:rPr>
              <w:t>Total cost of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98,451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(10,121)</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664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34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license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4,722</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7,907</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460"/>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April 30,</w:t>
            </w:r>
          </w:p>
        </w:tc>
        <w:tc>
          <w:tcPr>
            <w:tcW w:w="780" w:type="dxa"/>
            <w:vAlign w:val="bottom"/>
            <w:tcBorders>
              <w:bottom w:val="single" w:sz="8" w:color="auto"/>
            </w:tcBorders>
          </w:tcPr>
          <w:p>
            <w:pPr>
              <w:spacing w:after="0"/>
              <w:rPr>
                <w:sz w:val="24"/>
                <w:szCs w:val="24"/>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2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80" w:type="dxa"/>
            <w:vAlign w:val="bottom"/>
          </w:tcPr>
          <w:p>
            <w:pPr>
              <w:spacing w:after="0"/>
              <w:rPr>
                <w:sz w:val="19"/>
                <w:szCs w:val="19"/>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66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149,173</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156,896</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664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6640" w:type="dxa"/>
            <w:vAlign w:val="bottom"/>
            <w:tcBorders>
              <w:bottom w:val="single" w:sz="8" w:color="CCEEFF"/>
            </w:tcBorders>
            <w:gridSpan w:val="3"/>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139,345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178,993</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(39,648)</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6640" w:type="dxa"/>
            <w:vAlign w:val="bottom"/>
            <w:tcBorders>
              <w:bottom w:val="single" w:sz="8" w:color="CCEEFF"/>
            </w:tcBorders>
            <w:gridSpan w:val="3"/>
            <w:shd w:val="clear" w:color="auto" w:fill="CCEEFF"/>
          </w:tcPr>
          <w:p>
            <w:pPr>
              <w:jc w:val="center"/>
              <w:ind w:right="4680"/>
              <w:spacing w:after="0"/>
              <w:rPr>
                <w:sz w:val="20"/>
                <w:szCs w:val="20"/>
                <w:color w:val="auto"/>
              </w:rPr>
            </w:pPr>
            <w:r>
              <w:rPr>
                <w:rFonts w:ascii="Times New Roman" w:cs="Times New Roman" w:eastAsia="Times New Roman" w:hAnsi="Times New Roman"/>
                <w:sz w:val="18"/>
                <w:szCs w:val="18"/>
                <w:color w:val="auto"/>
                <w:w w:val="99"/>
              </w:rPr>
              <w:t>Total cost of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292,057</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(48,793)</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664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0"/>
        </w:trPr>
        <w:tc>
          <w:tcPr>
            <w:tcW w:w="66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Cost of subscription and support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9,989</w:t>
            </w:r>
          </w:p>
        </w:tc>
        <w:tc>
          <w:tcPr>
            <w:tcW w:w="3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30"/>
        </w:trPr>
        <w:tc>
          <w:tcPr>
            <w:tcW w:w="340" w:type="dxa"/>
            <w:vAlign w:val="bottom"/>
            <w:shd w:val="clear" w:color="auto" w:fill="CCEEFF"/>
          </w:tcPr>
          <w:p>
            <w:pPr>
              <w:spacing w:after="0"/>
              <w:rPr>
                <w:sz w:val="19"/>
                <w:szCs w:val="19"/>
                <w:color w:val="auto"/>
              </w:rPr>
            </w:pPr>
          </w:p>
        </w:tc>
        <w:tc>
          <w:tcPr>
            <w:tcW w:w="63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license revenue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29"/>
        </w:trPr>
        <w:tc>
          <w:tcPr>
            <w:tcW w:w="340" w:type="dxa"/>
            <w:vAlign w:val="bottom"/>
            <w:tcBorders>
              <w:bottom w:val="single" w:sz="8" w:color="CCEEFF"/>
            </w:tcBorders>
          </w:tcPr>
          <w:p>
            <w:pPr>
              <w:spacing w:after="0"/>
              <w:rPr>
                <w:sz w:val="19"/>
                <w:szCs w:val="19"/>
                <w:color w:val="auto"/>
              </w:rPr>
            </w:pPr>
          </w:p>
        </w:tc>
        <w:tc>
          <w:tcPr>
            <w:tcW w:w="6300" w:type="dxa"/>
            <w:vAlign w:val="bottom"/>
            <w:tcBorders>
              <w:bottom w:val="single" w:sz="8" w:color="CCEEFF"/>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Cost of services revenue</w:t>
            </w: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r>
      <w:tr>
        <w:trPr>
          <w:trHeight w:val="248"/>
        </w:trPr>
        <w:tc>
          <w:tcPr>
            <w:tcW w:w="340" w:type="dxa"/>
            <w:vAlign w:val="bottom"/>
            <w:tcBorders>
              <w:bottom w:val="single" w:sz="8" w:color="CCEEFF"/>
            </w:tcBorders>
            <w:shd w:val="clear" w:color="auto" w:fill="CCEEFF"/>
          </w:tcPr>
          <w:p>
            <w:pPr>
              <w:spacing w:after="0"/>
              <w:rPr>
                <w:sz w:val="21"/>
                <w:szCs w:val="21"/>
                <w:color w:val="auto"/>
              </w:rPr>
            </w:pPr>
          </w:p>
        </w:tc>
        <w:tc>
          <w:tcPr>
            <w:tcW w:w="630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24,363</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50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r>
    </w:tbl>
    <w:p>
      <w:pPr>
        <w:spacing w:after="0" w:line="6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subscription and support revenue during the three months ended April 30, 2024 decreased by $1.1 million, compared to the same period a year ago, primarily due to decreases in personnel costs of $1.7 million associated with lower headcount and professional services of $1.5 million, partially offset by increases in cloud infrastructure expense of $1.7 million and royalties of $0.2 million.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subscription and support revenue during the nine months ended April 30, 2024 decreased by $7.7 million, compared to the same period a year ago, primarily due to decreases in professional services of $3.5 million, cloud infrastructure expense of $3.2 million, personnel costs of $1.8 million associated with lower headcount, and amortization of intangibles of $1.4 million due to certain acquired intangible assets being fully amortized, partially offset by increases in royalties of $1.2 million and internal-use software amortization of $1.0 million.</w:t>
      </w:r>
    </w:p>
    <w:p>
      <w:pPr>
        <w:spacing w:after="0" w:line="20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Cloud hosting costs are benefiting from the efficiencies that we are achieving from our development efforts associated with our GWCP platform and the cost benefits associated with the five-year agreement with a cloud infrastructure services provider that was entered into in the second quarter of fiscal year 2023. As a result of efficiencies that we are seeing from our previous investments in cloud operations and development efforts along with the challenges presented by the macroeconomic environment, we have also slowed hiring and are critically evaluating professional services contracts and third-party software costs. However, we expect cost of subscription and support revenue to increase in absolute dollars due to the increased number of customers utilizing our cloud services, the volume of transactions by our cloud customers, and the impact of inflation and other macroeconomic events.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$0.4 million decrease in our cost of license revenue during the three months ended April 30, 2024, compared to the same period a year ago, was due to lower personnel costs associated with the development of online training curriculum included with the latest releases of InsuranceSuite of $0.4 million.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$1.4 million decrease in our cost of license revenue during the nine months ended April 30, 2024, compared to the same period a year ago, was primarily due to lower personnel costs associated with the development of online training curriculum included with the latest releases of InsuranceSuite of $1.2 million and lower royalties of $0.2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continue to anticipate lower cost of license revenue over time as our term license customers transition to cloud subscription agreements.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$8.6 million decrease in cost of services revenue during the three months ended April 30, 2024, compared to the same period a year ago, was primarily due to decreases in subcontractor expenses of $8.7 million due to the completion of certain fixed fee engagements and more customer engagements being led by SIs, software subscription costs of $0.6 million, and personnel costs of $0.7 million, partially offset by increases in travel costs of $1.1 million and professional services of $0.2 million.</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$39.6 million decrease in cost of services revenue during the nine months ended April 30, 2024, compared to the same period a year ago, was primarily due to decreases in subcontractor expenses of $40.9 million due to the completion of certain fixed fee engagements and more customer engagements being led by SIs, software subscription costs of $0.5 million, travel costs of $0.2 million, and web hosting costs of $0.2 million, partially offset by an increase in personnel costs of $2.0 million which includes severance expense of $3.0 million.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604 cloud operations and technical support employees and 750 professional services employees at April 30, 2024, compared to 645 cloud operations and technical support employees and 779 professional services employees at April 30,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18"/>
        </w:trPr>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w:t>
            </w: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80" w:type="dxa"/>
            <w:vAlign w:val="bottom"/>
            <w:gridSpan w:val="8"/>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86,785</w:t>
            </w: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63 %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55,218</w:t>
            </w:r>
          </w:p>
        </w:tc>
        <w:tc>
          <w:tcPr>
            <w:tcW w:w="8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51 %</w:t>
            </w:r>
          </w:p>
        </w:tc>
        <w:tc>
          <w:tcPr>
            <w:tcW w:w="8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31,567</w:t>
            </w:r>
          </w:p>
        </w:tc>
        <w:tc>
          <w:tcPr>
            <w:tcW w:w="4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55,373</w:t>
            </w: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49,359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6,014</w:t>
            </w:r>
          </w:p>
        </w:tc>
        <w:tc>
          <w:tcPr>
            <w:tcW w:w="4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w w:val="98"/>
              </w:rPr>
              <w:t>(5,659)</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46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48"/>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142,227</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98,918</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48 %</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43,309</w:t>
            </w:r>
          </w:p>
        </w:tc>
        <w:tc>
          <w:tcPr>
            <w:tcW w:w="4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gross profit increased $43.3 million during the three months ended April 30, 2024, compared to the same period a year ago. Gross profit was impacted by an increase in subscription and support gross profit due to the increase in subscription revenue and cloud operations efficiencies, license gross profit primarily due to an increase in license revenue, and services gross profit due to lower subcontractor costs.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gross margin increased to 59% during the three months ended April 30, 2024 from 48% during the same period a year ago. Gross margin was primarily impacted by the increase in subscription and support revenue at a higher margin due to cloud operations efficiencies and services revenue, which had a negative margin in the same period a year ago and was impacted by lower subcontractor costs.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Nine Months Ended April 30,</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Margin %</w:t>
            </w: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8"/>
          </w:tcPr>
          <w:p>
            <w:pPr>
              <w:jc w:val="center"/>
              <w:ind w:left="79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29"/>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and support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248,066</w:t>
            </w:r>
          </w:p>
        </w:tc>
        <w:tc>
          <w:tcPr>
            <w:tcW w:w="8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62 %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155,425</w:t>
            </w:r>
          </w:p>
        </w:tc>
        <w:tc>
          <w:tcPr>
            <w:tcW w:w="80" w:type="dxa"/>
            <w:vAlign w:val="bottom"/>
          </w:tcPr>
          <w:p>
            <w:pPr>
              <w:spacing w:after="0"/>
              <w:rPr>
                <w:sz w:val="19"/>
                <w:szCs w:val="19"/>
                <w:color w:val="auto"/>
              </w:rPr>
            </w:pPr>
          </w:p>
        </w:tc>
        <w:tc>
          <w:tcPr>
            <w:tcW w:w="118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92,641</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r>
      <w:tr>
        <w:trPr>
          <w:trHeight w:val="230"/>
        </w:trPr>
        <w:tc>
          <w:tcPr>
            <w:tcW w:w="4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157,779</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159,708</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Services</w:t>
            </w: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(20,600)</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11,680</w:t>
            </w:r>
          </w:p>
        </w:tc>
        <w:tc>
          <w:tcPr>
            <w:tcW w:w="4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48"/>
        </w:trPr>
        <w:tc>
          <w:tcPr>
            <w:tcW w:w="4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gross profit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396,925</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58 %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294,533</w:t>
            </w: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46 %</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102,392</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r>
      <w:tr>
        <w:trPr>
          <w:trHeight w:val="892"/>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gross profit increased $102.4 million during the nine months ended April 30, 2024, compared to the same period a year ago. Gross profit was impacted by an increase in subscription and support gross profit due to the increase in subscription revenue and cloud operations efficiencies and improvements in services gross profit due to the completion of certain implementation projects that required significant investment by us and more SIs contracting directly with our customers, partially offset by a decrease in license gross profit due to lower license revenue as customers migrate to subscription services.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gross margin increased to 58% during the nine months ended April 30, 2024, from 46% during the same period a year ago. Gross margin was primarily impacted by the increase in subscription and support revenue at a higher margin due to cloud operations efficiencies and, to a lesser extent, improvements in services gross margin due to completion of certain implementation projects that required significant investment by us and more SIs contracting directly with our customers.</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expect subscription and support gross margin to improve over the next several years as we gain efficiencies and increase the number of cloud customers. We expect services gross margin will improve as we lower our reliance on subcontractors and enter into fewer fixed fee arrangements. We expect license gross profit and license gross margin to decline based on changes in revenue due to customers migrating from licenses to subscription services, the timing of delivery of new multi-year term licenses, and the execution of multi-year term license renewals, as cost of license revenue is expected to be relatively consistent from period to period in the future. Overall, we expect gross margins to continue to improve over time as improvements in subscription and support gross margin and services gross margin will more than offset the negative impact of revenue shifts away from high margin license revenue.</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The largest components of our operating expenses are personnel costs for our employees and, to a lesser extent, professional services. In each case, personnel costs include salaries, bonuses, commissions, benefits, and stock-based compensation. We allocate overhead such as information technology infrastructure and software expenses, information security infrastructure and software expenses, and facilities expenses to all functional departments based on headcount. As such, these general overhead expenses are reflected in cost of revenue and each functional operating expense.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7"/>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April 30,</w:t>
            </w:r>
          </w:p>
        </w:tc>
        <w:tc>
          <w:tcPr>
            <w:tcW w:w="7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4"/>
                <w:szCs w:val="14"/>
                <w:color w:val="auto"/>
              </w:rPr>
            </w:pPr>
          </w:p>
        </w:tc>
        <w:tc>
          <w:tcPr>
            <w:tcW w:w="1040" w:type="dxa"/>
            <w:vAlign w:val="bottom"/>
          </w:tcPr>
          <w:p>
            <w:pPr>
              <w:jc w:val="right"/>
              <w:ind w:right="50"/>
              <w:spacing w:after="0" w:line="169"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14"/>
                <w:szCs w:val="14"/>
                <w:color w:val="auto"/>
              </w:rPr>
            </w:pPr>
          </w:p>
        </w:tc>
        <w:tc>
          <w:tcPr>
            <w:tcW w:w="10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4"/>
                <w:szCs w:val="14"/>
                <w:color w:val="auto"/>
              </w:rPr>
            </w:pPr>
          </w:p>
        </w:tc>
        <w:tc>
          <w:tcPr>
            <w:tcW w:w="7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44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revenue</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revenue</w:t>
            </w:r>
          </w:p>
        </w:tc>
        <w:tc>
          <w:tcPr>
            <w:tcW w:w="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700" w:type="dxa"/>
            <w:vAlign w:val="bottom"/>
            <w:gridSpan w:val="8"/>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66,134</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63,055</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50,487</w:t>
            </w:r>
          </w:p>
        </w:tc>
        <w:tc>
          <w:tcPr>
            <w:tcW w:w="1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46,864</w:t>
            </w:r>
          </w:p>
        </w:tc>
        <w:tc>
          <w:tcPr>
            <w:tcW w:w="11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29"/>
        </w:trPr>
        <w:tc>
          <w:tcPr>
            <w:tcW w:w="4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42,302</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46,815</w:t>
            </w:r>
          </w:p>
        </w:tc>
        <w:tc>
          <w:tcPr>
            <w:tcW w:w="11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4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8"/>
        </w:trPr>
        <w:tc>
          <w:tcPr>
            <w:tcW w:w="44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158,923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156,734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10,084</w:t>
            </w: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w:t>
            </w:r>
          </w:p>
        </w:tc>
        <w:tc>
          <w:tcPr>
            <w:tcW w:w="4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48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28,743</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26,715</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4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81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71"/>
        </w:trPr>
        <w:tc>
          <w:tcPr>
            <w:tcW w:w="340" w:type="dxa"/>
            <w:vAlign w:val="bottom"/>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Nine Months Ended April 30,</w:t>
            </w: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3"/>
          </w:tcPr>
          <w:p>
            <w:pPr>
              <w:jc w:val="center"/>
              <w:ind w:right="8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4"/>
                <w:szCs w:val="14"/>
                <w:color w:val="auto"/>
              </w:rPr>
            </w:pPr>
          </w:p>
        </w:tc>
        <w:tc>
          <w:tcPr>
            <w:tcW w:w="7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revenue</w:t>
            </w: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total revenue</w:t>
            </w: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80" w:type="dxa"/>
            <w:vAlign w:val="bottom"/>
            <w:gridSpan w:val="9"/>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194,061</w:t>
            </w: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182,927</w:t>
            </w: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144,249</w:t>
            </w: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138,113</w:t>
            </w:r>
          </w:p>
        </w:tc>
        <w:tc>
          <w:tcPr>
            <w:tcW w:w="1320" w:type="dxa"/>
            <w:vAlign w:val="bottom"/>
            <w:gridSpan w:val="3"/>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29"/>
        </w:trPr>
        <w:tc>
          <w:tcPr>
            <w:tcW w:w="42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121,502</w:t>
            </w: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129,078</w:t>
            </w:r>
          </w:p>
        </w:tc>
        <w:tc>
          <w:tcPr>
            <w:tcW w:w="1320" w:type="dxa"/>
            <w:vAlign w:val="bottom"/>
            <w:gridSpan w:val="3"/>
          </w:tcPr>
          <w:p>
            <w:pPr>
              <w:ind w:left="9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4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42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459,812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67 %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450,118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71 %</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9,694</w:t>
            </w:r>
          </w:p>
        </w:tc>
        <w:tc>
          <w:tcPr>
            <w:tcW w:w="48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stock-based compensation of:</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25,273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4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29,051</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48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28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84,811</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81,070</w:t>
            </w:r>
          </w:p>
        </w:tc>
        <w:tc>
          <w:tcPr>
            <w:tcW w:w="6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w:t>
            </w:r>
          </w:p>
        </w:tc>
        <w:tc>
          <w:tcPr>
            <w:tcW w:w="4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research and development expenses primarily consist of personnel costs for our technical staff and consultants providing professional services.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$3.1 million increase in research and development expenses during the three months ended April 30, 2024, compared to the same period a year ago, was primarily due to increases in personnel costs of $3.1 million associated with higher headcount, travel costs of $0.7 million, software subscription costs of $0.3 million, and cloud hosting costs $0.2 million. These increases were partially offset by a decrease in acquisition consideration holdback costs of $1.2 million due to the departure of former employees prior to completion of their service requirements.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$11.1 million increase in research and development expenses during the nine months ended April 30, 2024, compared to the same period a year ago, was primarily due to increases in personnel costs of $12.9 million associated with higher headcount, software subscription costs of $1.1 million, and travel costs of $0.8 million. These increases were partially offset by decreases in acquisition consideration holdback costs of $2.1 million due to the departure of former employees prior to completion of their service requirements and cloud hosting costs of $1.7 million.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Cloud hosting costs are benefiting from the efficiencies that we are achieving with our GWCP platform and the five-year agreement with a cloud infrastructure services provider that was entered into in the second quarter of fiscal year 2023.</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research and development headcount was 1,115 at April 30, 2024, compared with 1,019 at April 30, 2023.</w:t>
      </w:r>
    </w:p>
    <w:p>
      <w:pPr>
        <w:spacing w:after="0" w:line="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expect our research and development expenses to increase in absolute dollars due to inflation and investments to support our growing customer base, but decrease as a percentage of revenue after our recent period of significant investment in cloud platform capabilities as overall hiring slows and we focus on hiring in lower cost regions. We continue to dedicate internal resources to develop, improve, and expand the functionality of our solutions and migrate our solutions to the cloud. Research and development expenses may also increase if we pursue additional acquisitions.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sales and marketing expenses primarily consist of personnel costs for our sales and marketing employees. Included in our personnel costs are commissions, which are considered contract acquisition costs and are capitalized when earned and expensed over the anticipated period of time that goods and services are expected to be provided to a customer, which we estimate to be approximately five years. Sales and marketing expenses also include travel expenses, professional services for marketing activities, and amortization of certain acquired intangibles.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$3.6 million increase in sales and marketing expenses during the three months ended April 30, 2024, compared to the same period a year ago, was primarily due to increases in personnel costs, including contract acquisition costs, of $4.0 million and travel costs of $0.5 million, partially offset by decreases in marketing and advertising expenses of $0.5 million and cloud hosting costs $0.3 million.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$6.1 million increase in sales and marketing expenses during the nine months ended April 30, 2024, compared to the same period a year ago, was primarily due to increases in personnel costs, including contract acquisition costs, of $6.2 million, travel costs of $0.6 million, and software subscription costs $0.2 million, partially offset by lower cloud hosting costs of $0.6 million and marketing and advertising costs of $0.2 million.</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sales and marketing headcount was 475 at April 30, 2024, compared with 471 at April 30, 2023.</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our sales and marketing expenses to continue to increase in absolute dollars due to inflation and investments to support ongoing growth, but decrease as a percentage of revenue as overall hiring slows after our recent period of investment to build out our customer success team and add analytics and cloud sales capabilities.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include executive, finance, human resources, information technology, information security, legal, and corporate development and strategy functions, and primarily consist of personnel costs and, to a lesser extent, professional services, software costs, and cloud hosting costs.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$4.5 million decrease in general and administrative expenses during the three months ended April 30, 2024, compared to the same period a year ago, was due to decreases in facilities costs of $7.9 million primarily due to the assignment of the lease agreement for our previous headquarters and concurrent sublease for less office space in San Mateo, California during the third quarter of fiscal year 2023 and software subscription costs of $0.1 million, partially offset by higher personnel costs of $2.5 million and professional services cost of $1.0 million.</w:t>
      </w:r>
    </w:p>
    <w:p>
      <w:pPr>
        <w:spacing w:after="0" w:line="126"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The $7.6 million decrease in general and administrative expenses during the nine months ended April 30, 2024, compared to the same period a year ago, was due to decreases in facilities costs of $11.5 million primarily due to the assignment of the lease agreement for our previous headquarters and concurrent sublease for less office space in San Mateo, California during the third quarter of fiscal year 2023 and cloud hosting costs of $0.8 million, partially offset by higher personnel costs of $2.8 million, software subscription costs $1.5 million, and professional services of $0.3 million.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general and administrative headcount was 452 at April 30, 2024, compared with 431 at April 30, 2023. General and administrative headcount includes facilities personnel whose expenses are allocated across all functional departments.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in absolute dollars due to inflation and investments required to support our strategic initiatives, grow our business, and meet our product and information security, compliance and reporting obligations, but decrease as a percentage of revenue as overall hiring and investments slow.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56"/>
        </w:trPr>
        <w:tc>
          <w:tcPr>
            <w:tcW w:w="6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6"/>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w:t>
            </w:r>
          </w:p>
        </w:tc>
        <w:tc>
          <w:tcPr>
            <w:tcW w:w="780" w:type="dxa"/>
            <w:vAlign w:val="bottom"/>
            <w:tcBorders>
              <w:bottom w:val="single" w:sz="8" w:color="auto"/>
            </w:tcBorders>
          </w:tcPr>
          <w:p>
            <w:pPr>
              <w:spacing w:after="0"/>
              <w:rPr>
                <w:sz w:val="22"/>
                <w:szCs w:val="22"/>
                <w:color w:val="auto"/>
              </w:rPr>
            </w:pPr>
          </w:p>
        </w:tc>
      </w:tr>
      <w:tr>
        <w:trPr>
          <w:trHeight w:val="223"/>
        </w:trPr>
        <w:tc>
          <w:tcPr>
            <w:tcW w:w="6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6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8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10,824</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4,197</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3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(1,686)</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(6,535)</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(3,179)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513"/>
        </w:trPr>
        <w:tc>
          <w:tcPr>
            <w:tcW w:w="66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Nine Months Ended April 30,</w:t>
            </w:r>
          </w:p>
        </w:tc>
        <w:tc>
          <w:tcPr>
            <w:tcW w:w="780" w:type="dxa"/>
            <w:vAlign w:val="bottom"/>
            <w:tcBorders>
              <w:bottom w:val="single" w:sz="8" w:color="auto"/>
            </w:tcBorders>
          </w:tcPr>
          <w:p>
            <w:pPr>
              <w:spacing w:after="0"/>
              <w:rPr>
                <w:sz w:val="24"/>
                <w:szCs w:val="24"/>
                <w:color w:val="auto"/>
              </w:rPr>
            </w:pPr>
          </w:p>
        </w:tc>
      </w:tr>
      <w:tr>
        <w:trPr>
          <w:trHeight w:val="223"/>
        </w:trPr>
        <w:tc>
          <w:tcPr>
            <w:tcW w:w="6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19"/>
                <w:szCs w:val="19"/>
                <w:color w:val="auto"/>
              </w:rPr>
            </w:pPr>
          </w:p>
        </w:tc>
      </w:tr>
      <w:tr>
        <w:trPr>
          <w:trHeight w:val="223"/>
        </w:trPr>
        <w:tc>
          <w:tcPr>
            <w:tcW w:w="6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6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40" w:type="dxa"/>
            <w:vAlign w:val="bottom"/>
            <w:gridSpan w:val="7"/>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80" w:type="dxa"/>
            <w:vAlign w:val="bottom"/>
          </w:tcPr>
          <w:p>
            <w:pPr>
              <w:spacing w:after="0"/>
              <w:rPr>
                <w:sz w:val="19"/>
                <w:szCs w:val="19"/>
                <w:color w:val="auto"/>
              </w:rPr>
            </w:pP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31,727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15,070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r>
      <w:tr>
        <w:trPr>
          <w:trHeight w:val="22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(5,061)</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(5,034)</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(27)</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8"/>
              </w:rPr>
              <w:t>(9,501)</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(3,612)</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61 %</w:t>
            </w:r>
          </w:p>
        </w:tc>
      </w:tr>
    </w:tbl>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Interest income represents interest earned on our cash, cash equivalents, and investments.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income increased $4.2 million and $15.1 million during the three and nine months ended April 30, 2024, respectively, compared to the same periods a year ago, primarily due to higher interest rates on invested funds.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includes both stated interest and the amortization of debt issuance costs associated with our Convertible Senior Notes. The amortization of debt issuance costs are recognized on an effective interest basis. Stated interest expense is consistent in the comparative periods as the outstanding principal and stated interest rate have not changed.</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for the three months ended April 30, 2024 consists of stated interest of $1.3 million and non-cash interest expense of $0.4 million related to amortization of debt issuance costs. Interest expense for the three months ended April 30, 2023 consists of stated interest of $1.3 million and non-cash interest expense of $0.4 million related to the amortization of debt issuance costs.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Interest expense for the nine months ended April 30, 2024 consists of stated interest of $3.8 million and non-cash interest expense of $1.3 million related to amortization of debt issuance costs. Interest expense for the nine months ended April 30, 2023 consists of stated interest of $3.8 million and non-cash interest expense of $1.3 million related to the amortization of debt discount and issuance costs.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Other income (expense), net includes foreign exchange gains and losses resulting from fluctuations in foreign exchange rates on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We have significant transactions in the following currencies: Australian Dollar, British Pound, Canadian Dollar, Euro, Indian Rupee, Japanese Yen, Malaysian Ringgit, and Polish Zloty.</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income (expense), net during the three months ended April 30, 2024 was expense of $6.5 million as compared to expense of $3.4 million during the same period a year ago, due primarily to fluctuations in foreign currency exchange rates. Other income (expense), net during the nine months ended April 30, 2024 was expense of $9.5 million as compared to expense of $5.9 million during the same period a year ago, due primarily to fluctuations in foreign currency exchange rates.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to foreign currency exchange rate fluctuations during the nine months ended April 30, 2024, one of our strategic investments was acquired by a privately held limited partnership. As a result, we received $12.1 million in consideration for our equity interest in the investee, composed of $6.5 million in cash and $5.6 million of an ownership interest in the privately held limited partnership, and recognized a $1.8 million gain in excess of cost in other income (expense), net in the second quarter of fiscal year 2024</w:t>
      </w:r>
      <w:r>
        <w:rPr>
          <w:rFonts w:ascii="Times New Roman" w:cs="Times New Roman" w:eastAsia="Times New Roman" w:hAnsi="Times New Roman"/>
          <w:sz w:val="18"/>
          <w:szCs w:val="18"/>
          <w:color w:val="EE2724"/>
        </w:rPr>
        <w: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(benefit from)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are subject to taxes in the United States as well as other tax jurisdictions and countries in which we conduct business. Earnings from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activities are subject to local country income tax and may also be subject to U.S. income tax.</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w:t>
            </w:r>
          </w:p>
        </w:tc>
        <w:tc>
          <w:tcPr>
            <w:tcW w:w="7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gridSpan w:val="7"/>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60" w:type="dxa"/>
            <w:vAlign w:val="bottom"/>
          </w:tcPr>
          <w:p>
            <w:pPr>
              <w:spacing w:after="0"/>
              <w:rPr>
                <w:sz w:val="19"/>
                <w:szCs w:val="19"/>
                <w:color w:val="auto"/>
              </w:rPr>
            </w:pP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(8,615)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(10,660)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2,045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08"/>
        </w:trPr>
        <w:tc>
          <w:tcPr>
            <w:tcW w:w="42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Nine Months Ended April 30,</w:t>
            </w:r>
          </w:p>
        </w:tc>
        <w:tc>
          <w:tcPr>
            <w:tcW w:w="760" w:type="dxa"/>
            <w:vAlign w:val="bottom"/>
            <w:tcBorders>
              <w:bottom w:val="single" w:sz="8" w:color="auto"/>
            </w:tcBorders>
          </w:tcPr>
          <w:p>
            <w:pPr>
              <w:spacing w:after="0"/>
              <w:rPr>
                <w:sz w:val="24"/>
                <w:szCs w:val="24"/>
                <w:color w:val="auto"/>
              </w:rPr>
            </w:pPr>
          </w:p>
        </w:tc>
      </w:tr>
      <w:tr>
        <w:trPr>
          <w:trHeight w:val="223"/>
        </w:trPr>
        <w:tc>
          <w:tcPr>
            <w:tcW w:w="4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60" w:type="dxa"/>
            <w:vAlign w:val="bottom"/>
            <w:tcBorders>
              <w:bottom w:val="single" w:sz="8" w:color="auto"/>
            </w:tcBorders>
          </w:tcPr>
          <w:p>
            <w:pPr>
              <w:spacing w:after="0"/>
              <w:rPr>
                <w:sz w:val="19"/>
                <w:szCs w:val="19"/>
                <w:color w:val="auto"/>
              </w:rPr>
            </w:pPr>
          </w:p>
        </w:tc>
      </w:tr>
      <w:tr>
        <w:trPr>
          <w:trHeight w:val="223"/>
        </w:trPr>
        <w:tc>
          <w:tcPr>
            <w:tcW w:w="4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2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gridSpan w:val="7"/>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(in thousands, except percentages)</w:t>
            </w:r>
          </w:p>
        </w:tc>
        <w:tc>
          <w:tcPr>
            <w:tcW w:w="760" w:type="dxa"/>
            <w:vAlign w:val="bottom"/>
          </w:tcPr>
          <w:p>
            <w:pPr>
              <w:spacing w:after="0"/>
              <w:rPr>
                <w:sz w:val="19"/>
                <w:szCs w:val="19"/>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(22,860)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(25,776)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2,916</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17 %</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724"/>
        </w:trPr>
        <w:tc>
          <w:tcPr>
            <w:tcW w:w="4280" w:type="dxa"/>
            <w:vAlign w:val="bottom"/>
          </w:tcPr>
          <w:p>
            <w:pPr>
              <w:spacing w:after="0"/>
              <w:rPr>
                <w:sz w:val="24"/>
                <w:szCs w:val="24"/>
                <w:color w:val="auto"/>
              </w:rPr>
            </w:pPr>
          </w:p>
        </w:tc>
        <w:tc>
          <w:tcPr>
            <w:tcW w:w="21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15"/>
        </w:trPr>
        <w:tc>
          <w:tcPr>
            <w:tcW w:w="428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recognized an income tax benefit of $8.6 million and $10.7 million for the three months ended April 30, 2024 and 2023, respectively, and an income tax benefit of $22.9 million and $25.8 million for the nine months ended April 30, 2024 and 2023, respectively. The change in the amount of income tax recorded for the three and nine months ended April 30, 2024, compared to the same periods a year ago was primarily due to a decrease in the loss before taxes, offset by an increase in tax deductions from stock-based compensation, the U.S. Foreign-Derived Intangible Income (“FDII”) deduction, and research and development credits.</w:t>
      </w:r>
    </w:p>
    <w:p>
      <w:pPr>
        <w:spacing w:after="0" w:line="1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effective tax rate of 61% and 50% for the three and nine months ended April 30, 2024, respectively, differs from the statutory U.S. Federal income tax rate of 21% primarily due to state taxes, permanent differences related to stock-based compensation, research and development credits, foreign earnings taxed in the U.S., the FDII deduction, and certain non-deductible expenses, including the limitation on executive compensation.</w:t>
      </w:r>
    </w:p>
    <w:p>
      <w:pPr>
        <w:spacing w:after="0" w:line="11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the key business metrics presented above, we believe that the following non-GAAP financial measures provide useful information to management and investors regarding certain financial and business trends relating to our financial condition and results of operations. Management uses these non-GAAP measures to compare our performance to that of prior periods for trend analysis, for purposes of determining executive and senior management incentive compensation, and for budgeting and planning purposes. We believe that the use of these non-GAAP financial measures provides an additional tool for investors to use in evaluating ongoing operating results and trends and in comparing our financial results with other software companies because it provides consistency and comparability with past financial performance and assists in comparisons with other companies, many of which present similar non-GAAP financial measures to investors. However, our management does not consider these non-GAAP measures in isolation or as an alternative to financial measures determined in accordance with GAAP.</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non-GAAP financial information is presented for supplemental informational purposes only, should not be considered a substitute for financial information presented in accordance with GAAP, and may be different from similarly titled non-GAAP measures used by other companies. The principal limitation of these non-GAAP financial measures is that they exclude significant expenses and income that are required by GAAP to be recorded in our financial statements. In addition, they are subject to inherent limitations as they reflect the exercise of judgment by management about which expenses and income are excluded or included in determining these non-GAAP financial measures. We urge investors to review the reconciliation of non-GAAP financial measures to the comparable GAAP financial measures included herein and not to rely on any single financial measure to evaluate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specific items excluded from GAAP in the calculation of non-GAAP financial measures for the periods indicated below (in thousands, except share and per share data):</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30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9"/>
        </w:trPr>
        <w:tc>
          <w:tcPr>
            <w:tcW w:w="5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880" w:type="dxa"/>
            <w:vAlign w:val="bottom"/>
            <w:tcBorders>
              <w:bottom w:val="single" w:sz="8" w:color="auto"/>
            </w:tcBorders>
          </w:tcPr>
          <w:p>
            <w:pPr>
              <w:spacing w:after="0"/>
              <w:rPr>
                <w:sz w:val="19"/>
                <w:szCs w:val="19"/>
                <w:color w:val="auto"/>
              </w:rPr>
            </w:pPr>
          </w:p>
        </w:tc>
      </w:tr>
      <w:tr>
        <w:trPr>
          <w:trHeight w:val="211"/>
        </w:trPr>
        <w:tc>
          <w:tcPr>
            <w:tcW w:w="5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19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Gross profit reconciliation: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gross profit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142,227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98,918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396,925</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294,533</w:t>
            </w: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8,304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24,363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25,224</w:t>
            </w: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2,875</w:t>
            </w:r>
          </w:p>
        </w:tc>
      </w:tr>
      <w:tr>
        <w:trPr>
          <w:trHeight w:val="212"/>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gross profit</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150,619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107,707</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422,743</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322,632</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4"/>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(loss) from operations reconciliation: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income (loss) from operations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(57,816)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(62,887)</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(155,585)</w:t>
            </w: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109,174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106,294</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2,209</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impact of assignment of lease agreement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w:t>
            </w:r>
          </w:p>
        </w:tc>
      </w:tr>
      <w:tr>
        <w:trPr>
          <w:trHeight w:val="237"/>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income (loss) from operations</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20,779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50,531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(33,059)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reconciliation:</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(loss)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(45,568)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(22,862)</w:t>
            </w:r>
          </w:p>
        </w:tc>
        <w:tc>
          <w:tcPr>
            <w:tcW w:w="8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(124,075)</w:t>
            </w: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35,019</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109,174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106,294</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5,521</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2,209</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fair value of strategic investment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strategic investment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impact of assignment of lease agreement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8,502</w:t>
            </w:r>
          </w:p>
        </w:tc>
      </w:tr>
      <w:tr>
        <w:trPr>
          <w:trHeight w:val="216"/>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(10,469)</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(29,289)</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(33,309)</w:t>
            </w:r>
          </w:p>
        </w:tc>
      </w:tr>
      <w:tr>
        <w:trPr>
          <w:trHeight w:val="212"/>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(loss)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21,664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60,456</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(33,584)</w:t>
            </w:r>
          </w:p>
        </w:tc>
      </w:tr>
      <w:tr>
        <w:trPr>
          <w:trHeight w:val="20"/>
        </w:trPr>
        <w:tc>
          <w:tcPr>
            <w:tcW w:w="5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14"/>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Tax provision (benefit) reconciliation:</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tax provision (benefit)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(22,860)</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(25,776)</w:t>
            </w: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97,554</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4,853</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2,018</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1,160</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fair value of strategic investment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sale of strategic investment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impact of assignment of lease agreement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r>
      <w:tr>
        <w:trPr>
          <w:trHeight w:val="213"/>
        </w:trPr>
        <w:tc>
          <w:tcPr>
            <w:tcW w:w="5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18,870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(75,472)</w:t>
            </w:r>
          </w:p>
        </w:tc>
      </w:tr>
      <w:tr>
        <w:trPr>
          <w:trHeight w:val="237"/>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tax provision (benefit)</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6,429</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0" w:type="dxa"/>
            <w:vAlign w:val="bottom"/>
          </w:tcPr>
          <w:p>
            <w:pPr>
              <w:spacing w:after="0"/>
              <w:rPr>
                <w:sz w:val="18"/>
                <w:szCs w:val="18"/>
                <w:color w:val="auto"/>
              </w:rPr>
            </w:pPr>
          </w:p>
        </w:tc>
        <w:tc>
          <w:tcPr>
            <w:tcW w:w="232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59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59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198"/>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 (loss) per share reconciliation:</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income (loss) per share — diluted</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(0.56)</w:t>
            </w:r>
          </w:p>
        </w:tc>
        <w:tc>
          <w:tcPr>
            <w:tcW w:w="8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8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adjustments: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Stock-based compensation</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Acquisition consideration holdback</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in fair value of strategic investment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Gain on sale of strategic investment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impact of assignment of lease agreement</w:t>
            </w:r>
          </w:p>
        </w:tc>
        <w:tc>
          <w:tcPr>
            <w:tcW w:w="2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Tax impact of non-GAAP adjustments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(0.43)</w:t>
            </w:r>
          </w:p>
        </w:tc>
        <w:tc>
          <w:tcPr>
            <w:tcW w:w="0" w:type="dxa"/>
            <w:vAlign w:val="bottom"/>
          </w:tcPr>
          <w:p>
            <w:pPr>
              <w:spacing w:after="0"/>
              <w:rPr>
                <w:sz w:val="1"/>
                <w:szCs w:val="1"/>
                <w:color w:val="auto"/>
              </w:rPr>
            </w:pPr>
          </w:p>
        </w:tc>
      </w:tr>
      <w:tr>
        <w:trPr>
          <w:trHeight w:val="162"/>
        </w:trPr>
        <w:tc>
          <w:tcPr>
            <w:tcW w:w="5980" w:type="dxa"/>
            <w:vAlign w:val="bottom"/>
          </w:tcPr>
          <w:p>
            <w:pPr>
              <w:ind w:left="220"/>
              <w:spacing w:after="0" w:line="162" w:lineRule="exact"/>
              <w:rPr>
                <w:sz w:val="20"/>
                <w:szCs w:val="20"/>
                <w:color w:val="auto"/>
              </w:rPr>
            </w:pPr>
            <w:r>
              <w:rPr>
                <w:rFonts w:ascii="Times New Roman" w:cs="Times New Roman" w:eastAsia="Times New Roman" w:hAnsi="Times New Roman"/>
                <w:sz w:val="16"/>
                <w:szCs w:val="16"/>
                <w:color w:val="auto"/>
              </w:rPr>
              <w:t>Non-GAAP dilutive shares excluded from GAAP net income (loss) per share</w:t>
            </w:r>
          </w:p>
        </w:tc>
        <w:tc>
          <w:tcPr>
            <w:tcW w:w="28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calculation</w:t>
            </w:r>
          </w:p>
        </w:tc>
        <w:tc>
          <w:tcPr>
            <w:tcW w:w="28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(loss) per share — diluted</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Shares used in computing Non-GAAP net income (loss) per share amounts: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weighted average shares — diluted</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82,500,109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81,832,244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82,105,357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82,407,950</w:t>
            </w:r>
          </w:p>
        </w:tc>
        <w:tc>
          <w:tcPr>
            <w:tcW w:w="0" w:type="dxa"/>
            <w:vAlign w:val="bottom"/>
          </w:tcPr>
          <w:p>
            <w:pPr>
              <w:spacing w:after="0"/>
              <w:rPr>
                <w:sz w:val="1"/>
                <w:szCs w:val="1"/>
                <w:color w:val="auto"/>
              </w:rPr>
            </w:pPr>
          </w:p>
        </w:tc>
      </w:tr>
      <w:tr>
        <w:trPr>
          <w:trHeight w:val="165"/>
        </w:trPr>
        <w:tc>
          <w:tcPr>
            <w:tcW w:w="5980" w:type="dxa"/>
            <w:vAlign w:val="bottom"/>
            <w:shd w:val="clear" w:color="auto" w:fill="CCEEFF"/>
          </w:tcPr>
          <w:p>
            <w:pPr>
              <w:ind w:left="220"/>
              <w:spacing w:after="0" w:line="165" w:lineRule="exact"/>
              <w:rPr>
                <w:sz w:val="20"/>
                <w:szCs w:val="20"/>
                <w:color w:val="auto"/>
              </w:rPr>
            </w:pPr>
            <w:r>
              <w:rPr>
                <w:rFonts w:ascii="Times New Roman" w:cs="Times New Roman" w:eastAsia="Times New Roman" w:hAnsi="Times New Roman"/>
                <w:sz w:val="16"/>
                <w:szCs w:val="16"/>
                <w:color w:val="auto"/>
              </w:rPr>
              <w:t>Non-GAAP dilutive shares excluded from GAAP net income (loss) per share</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1,453,086</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1,293,859</w:t>
            </w: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calculation</w:t>
            </w: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 forma weighted average shares — diluted</w:t>
            </w: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83,953,195</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81,832,244</w:t>
            </w:r>
          </w:p>
        </w:tc>
        <w:tc>
          <w:tcPr>
            <w:tcW w:w="8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83,399,216</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82,407,950</w:t>
            </w: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78"/>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Our principal sources of liquidity are as follows (in thousands):</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18"/>
        </w:trPr>
        <w:tc>
          <w:tcPr>
            <w:tcW w:w="7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April 30, 2024</w:t>
            </w:r>
          </w:p>
        </w:tc>
        <w:tc>
          <w:tcPr>
            <w:tcW w:w="320" w:type="dxa"/>
            <w:vAlign w:val="bottom"/>
          </w:tcPr>
          <w:p>
            <w:pPr>
              <w:spacing w:after="0"/>
              <w:rPr>
                <w:sz w:val="24"/>
                <w:szCs w:val="24"/>
                <w:color w:val="auto"/>
              </w:rPr>
            </w:pPr>
          </w:p>
        </w:tc>
        <w:tc>
          <w:tcPr>
            <w:tcW w:w="17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July 31, 2023</w:t>
            </w:r>
          </w:p>
        </w:tc>
      </w:tr>
      <w:tr>
        <w:trPr>
          <w:trHeight w:val="223"/>
        </w:trPr>
        <w:tc>
          <w:tcPr>
            <w:tcW w:w="7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934,182</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927,467</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376,704</w:t>
            </w:r>
          </w:p>
        </w:tc>
        <w:tc>
          <w:tcPr>
            <w:tcW w:w="8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726,342</w:t>
            </w:r>
          </w:p>
        </w:tc>
      </w:tr>
    </w:tbl>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Investments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cash and cash equivalents are comprised of cash and liquid investments with remaining maturities of 90 days or less from the date of purchase, primarily commercial paper and money market funds. Our investments primarily consist of corporate debt securities, U.S. government and agency debt securities, commercial paper, asset-backed securities, and non-U.S. government securities, which include state, municipal, and foreign government securities.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April 30, 2024, approximately $54.9 million of our cash and cash equivalents were domiciled in foreign jurisdictions. We may repatriate foreign earnings to the United States in the future to the extent that the repatriation is not restricted by local laws or there are no substantial incremental costs associated with such repatriation.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working capital decreased to $376.7 million as of April 30, 2024 compared to $726.3 million as of July 31, 2023, primarily due to the Convertible Senior Notes becoming current during the three months ended April 30, 2024. Our Convertible Senior Notes are due in March 2025. We have the ability to settle the principal and any conversion premium in cash, equity, or a combination of both.</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2022, our board of directors authorized and approved a share repurchase program of up to $400.0 million of our outstanding common stock. During the nine months ended April 30, 2024, we did not repurchase any shares of our common stock. As of April 30, 2024, $138.2 million remained available for future share repurchases.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cash flows from operations are significantly impacted by timing of invoicing and collections of accounts receivable, annual bonus payments, as well as payments of payroll, commissions, payroll taxes, and other taxes. We expect that we will generate positive cash flows from operations on an annual basis in the future, although this may fluctuate significantly on a quarterly basis. In particular, we typically use more cash during our first fiscal quarter, which is the quarter ending October 31, as we generally pay cash bonuses to our employees for the prior fiscal year and seasonally higher sales commissions from increased customer orders booked in our fourth fiscal quarter of the prior year. Additionally, our capital expenditures may fluctuate depending on future office build outs and development activities subject to capitalization.</w:t>
      </w:r>
    </w:p>
    <w:p>
      <w:pPr>
        <w:spacing w:after="0" w:line="13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existing cash and cash equivalents and sources of liquidity will be sufficient to fund our operations for at least the next 12 months. Our future cash requirements will depend on many factors, including our rate of revenue growth, the expansion of our sales and marketing activities, the timing and extent of our spending to support our research and development and cloud operations efforts, investments in cloud infrastructure, cybersecurity, and operating costs, and expansion into other markets. We also may invest in or acquire complementary businesses, applications or technologies, or may execute on a board-authorized share repurchase program, which may require the use of significant cash resources and/or additional financing.</w:t>
      </w:r>
    </w:p>
    <w:p>
      <w:pPr>
        <w:spacing w:after="0" w:line="1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summary of cash flows for the periods indicated has been derived from our condensed consolidated financial statements included elsewhere in this Quarterly Report on Form 10-Q (in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0" w:type="dxa"/>
            <w:vAlign w:val="bottom"/>
          </w:tcPr>
          <w:p>
            <w:pPr>
              <w:spacing w:after="0"/>
              <w:rPr>
                <w:sz w:val="20"/>
                <w:szCs w:val="20"/>
                <w:color w:val="auto"/>
              </w:rPr>
            </w:pPr>
          </w:p>
        </w:tc>
        <w:tc>
          <w:tcPr>
            <w:tcW w:w="344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Nine Months Ended April 30,</w:t>
            </w:r>
          </w:p>
        </w:tc>
        <w:tc>
          <w:tcPr>
            <w:tcW w:w="800" w:type="dxa"/>
            <w:vAlign w:val="bottom"/>
            <w:tcBorders>
              <w:bottom w:val="single" w:sz="8" w:color="auto"/>
            </w:tcBorders>
          </w:tcPr>
          <w:p>
            <w:pPr>
              <w:spacing w:after="0"/>
              <w:rPr>
                <w:sz w:val="20"/>
                <w:szCs w:val="20"/>
                <w:color w:val="auto"/>
              </w:rPr>
            </w:pPr>
          </w:p>
        </w:tc>
      </w:tr>
      <w:tr>
        <w:trPr>
          <w:trHeight w:val="223"/>
        </w:trPr>
        <w:tc>
          <w:tcPr>
            <w:tcW w:w="70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0" w:type="dxa"/>
            <w:vAlign w:val="bottom"/>
            <w:tcBorders>
              <w:bottom w:val="single" w:sz="8" w:color="auto"/>
            </w:tcBorders>
          </w:tcPr>
          <w:p>
            <w:pPr>
              <w:spacing w:after="0"/>
              <w:rPr>
                <w:sz w:val="19"/>
                <w:szCs w:val="19"/>
                <w:color w:val="auto"/>
              </w:rPr>
            </w:pPr>
          </w:p>
        </w:tc>
      </w:tr>
      <w:tr>
        <w:trPr>
          <w:trHeight w:val="223"/>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(134,842)</w:t>
            </w:r>
          </w:p>
        </w:tc>
      </w:tr>
      <w:tr>
        <w:trPr>
          <w:trHeight w:val="22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2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(45,067)</w:t>
            </w:r>
          </w:p>
        </w:tc>
        <w:tc>
          <w:tcPr>
            <w:tcW w:w="80" w:type="dxa"/>
            <w:vAlign w:val="bottom"/>
          </w:tcPr>
          <w:p>
            <w:pPr>
              <w:spacing w:after="0"/>
              <w:rPr>
                <w:sz w:val="19"/>
                <w:szCs w:val="19"/>
                <w:color w:val="auto"/>
              </w:rPr>
            </w:pPr>
          </w:p>
        </w:tc>
        <w:tc>
          <w:tcPr>
            <w:tcW w:w="12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3,854</w:t>
            </w:r>
          </w:p>
        </w:tc>
      </w:tr>
      <w:tr>
        <w:trPr>
          <w:trHeight w:val="229"/>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32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(213,766)</w:t>
            </w:r>
          </w:p>
        </w:tc>
      </w:tr>
    </w:tbl>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was $2.0 million for the nine months ended April 30, 2024 compared to net cash used in operating activities of $134.8 million during the nine months ended April 30, 2023. This $136.8 million increase in operating cash provided was attributable to a $85.1 million decrease in net loss, after excluding the impact of non-cash charges such as deferred taxes, stock-based compensation expense, depreciation and amortization expense, and other non-cash items, and by a $51.7 million decrease in cash used by working capital activities.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was $45.1 million for the nine months ended April 30, 2024 compared to net cash provided by investing activities of $3.9 million during the nine months ended April 30, 2023. The $48.9 million increase in cash used in investing activities was primarily due to net purchases in excess of maturities and sales of available-for-sale securities being higher compared to the same period a year ago by $60.5 million and higher capital expenditures and capitalized software development costs of $2.6 million. This increase in cash used in investing activities was partially offset by $6.5 million cash received from the sale of a strategic investment and a decrease in cash used to acquire strategic investments of $7.7 million.</w:t>
      </w:r>
    </w:p>
    <w:p>
      <w:pPr>
        <w:spacing w:after="0" w:line="1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April 30, 2024 was not significant compared to $213.8 million used in financing activities for the nine months ended April 30, 2023. This $213.8 million decrease in cash used was because of shares repurchased under the authorized and approved share repurchase program in the nine months ended April 30, 2023. No shares were repurchased during the nine months ended April 30, 2024.</w:t>
      </w:r>
    </w:p>
    <w:p>
      <w:pPr>
        <w:spacing w:after="0" w:line="1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Commitments and Contractual Obligations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contractual obligations and commitments other than in the ordinary course of business since our fiscal year ended July 31, 2023.</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our Annual Report on Form 10-K for the fiscal year ended July 31, 2023 for additional information regarding our contractual obligations.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Through April 30, 2024, we did not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w:t>
      </w:r>
    </w:p>
    <w:p>
      <w:pPr>
        <w:spacing w:after="0" w:line="11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Sensitivity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cash, cash equivalents, and investments. Our cash, cash equivalents, and investments as of April 30, 2024 and July 31, 2023 were $934.2 million and $927.5 million, respectively, primarily consisting of cash, money market funds, corporate debt securities, U.S. government and agency debt securities, commercial paper, asset-backed securities, and non-U.S. government securities, which include state, municipal, and foreign government securities. Changes in interest rates, primarily in the United States, affect the interest earned on our cash, cash equivalents, and investments, and their market value. A hypothetical one percent increase in interest rates is estimated to result in a decrease of $3.4 million and $3.0 million in the market value of our available-for-sale securities as of April 30, 2024 and July 31, 2023, respectively. Any realized gains or losses resulting from such interest rate changes would only occur if we sold the investments prior to maturity.</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results of operations, ARR, and cash flows are subject to fluctuations due to changes in foreign currency exchange rates, particularly changes in the Australian Dollar, British Pound, Canadian Dollar, Euro, Indian Rupee, and Polish Zloty, the currency of the locations within which we have significant operations. The volatility of exchange rates depends on many factors that we cannot forecast with reliable accuracy. We believe our operating activities act as a natural hedge for a substantial portion of our foreign currency exposure because we typically collect revenue and incur costs in the currency of the location in which we provide our services. However, our relationships with our customers are long-term in nature so it is difficult to predict if our operating activities will provide a natural hedge in the future. Additionally, changes in foreign currency exchange rates can affect our financial results due to transaction gains or losses related to revaluing certain monetary asset and monetary liability balances that are denominated in currencies other than the functional currency of the entity in which they are recorded. Our monetary assets and liabilities denominated in currencies other than the functional currency of the entity in which they are recorded consist primarily of trade accounts receivable, unbilled accounts receivable, trade accounts payable, and intercompany receivables and payables. For the nine months ended April 30, 2024 and 2023, we recorded a foreign currency loss of $11.5 million and $6.0 million, respectively, as a component of other income (expense) in our condensed consolidated statement of operations primarily due to currency exchange rate fluctuations. We will continue to experience fluctuations in foreign currency exchange rates. If a hypothetical ten percent change in foreign currency exchange rates were to occur in the future, the resulting transaction gain or loss is estimated to be approximately $23.3 million. As our international operations grow, we will continue to assess our approach to managing our risk relating to fluctuations in currency rates.</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do not have material exposure to market risk with respect to investments in financial instruments, as our investments primarily consist of high-quality liquid investments purchased with a remaining maturity of three years or less. We do not use derivative financial instruments for speculative or trading purposes. However, this current position does not preclude our adoption of specific hedging strategies in the future.</w:t>
      </w:r>
    </w:p>
    <w:p>
      <w:pPr>
        <w:spacing w:after="0" w:line="12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strategic investments in privately held securities are in various classes of equity. The particular securities we hold, and their rights and preferences relative to those of other securities within the capital structure, may impact the magnitude by which our investment value moves in relation to movements in the total enterprise value of the company in which we are invested. As a result, our investment in a specific company may move by more or less than any change in value of that overall company. In addition, the financial success of our investment in any company is typically dependent on a liquidity event, such as a public offering, acquisition, or other favorable market event reflecting appreciation to the value of our investment. All of our investments, particularly those in privately held companies, are therefore subject to a risk of partial or total loss of invested capital.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Quarterly Report on Form 10-Q. Based on such evaluation, our principal executive officer and principal financial officer have concluded that, as of such date, our disclosure controls and procedures were effective.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of Internal Controls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does not expect that our disclosure controls and procedures or our internal controls will prevent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April 30, 2024 identified in management’s evaluation pursuant to Rules 13a-15(d) or 15d-15(d) of the Exchange Act that materially affected, or are reasonably likely to materially affect, our internal control over financial reporting.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00" w:lineRule="exact"/>
        <w:rPr>
          <w:sz w:val="20"/>
          <w:szCs w:val="20"/>
          <w:color w:val="auto"/>
        </w:rPr>
      </w:pPr>
    </w:p>
    <w:p>
      <w:pPr>
        <w:spacing w:after="0" w:line="21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are involved in legal proceedings that arise in the ordinary course of our business. Any such proceedings, whether meritorious or not, could be time consuming, costly, and result in the diversion of significant operational resources and/or management time. Although the outcomes of legal proceedings are inherently difficult to predict, we are not currently involved in any legal proceeding in which the outcome, in our judgment based on information currently available, is likely to have a material adverse effect on our business or financial position.</w:t>
      </w:r>
    </w:p>
    <w:p>
      <w:pPr>
        <w:spacing w:after="0" w:line="12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described in Note 6 “Commitments and Contingencies,” to our condensed consolidated financial statements included elsewhere in this Quarterly Report on Form 10-Q, which are incorporated by reference herein, we are not party to any material pending legal proceedings.</w:t>
      </w:r>
    </w:p>
    <w:p>
      <w:pPr>
        <w:spacing w:after="0" w:line="34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00" w:lineRule="exact"/>
        <w:rPr>
          <w:sz w:val="20"/>
          <w:szCs w:val="20"/>
          <w:color w:val="auto"/>
        </w:rPr>
      </w:pPr>
    </w:p>
    <w:p>
      <w:pPr>
        <w:spacing w:after="0" w:line="37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such risks and uncertainties, together with the other information contained in this Quarterly Report on Form 10-Q, and in our other public filings. If any of such risks and uncertainties actually occurs, our business, financial condition or results of operations could differ materially from the plans, projections and other forward-looking statements included in the section titled “Management’s Discussion and Analysis of Financial Condition and Results of Operations” and elsewhere in this Quarterly Report on Form 10-Q and in our other public filings. In addition, if any of the following risks and uncertainties, or if any other risks and uncertainties, actually occurs, our business, financial condition or results of operations could be harmed substantially, which could cause the market price of our stock to decline, perhaps significantly.</w:t>
      </w:r>
    </w:p>
    <w:p>
      <w:pPr>
        <w:spacing w:after="0" w:line="127" w:lineRule="exact"/>
        <w:rPr>
          <w:sz w:val="20"/>
          <w:szCs w:val="20"/>
          <w:color w:val="auto"/>
        </w:rPr>
      </w:pPr>
    </w:p>
    <w:p>
      <w:pPr>
        <w:ind w:left="340" w:right="2400" w:firstLine="2529"/>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SUMMARY OF MATERIAL RISKS ASSOCIATED WITH OUR BUSINESS </w:t>
      </w:r>
      <w:r>
        <w:rPr>
          <w:rFonts w:ascii="Times New Roman" w:cs="Times New Roman" w:eastAsia="Times New Roman" w:hAnsi="Times New Roman"/>
          <w:sz w:val="18"/>
          <w:szCs w:val="18"/>
          <w:color w:val="auto"/>
        </w:rPr>
        <w:t>The principal risks and uncertainties affecting our business include (but are not limited to) the following:</w:t>
      </w:r>
    </w:p>
    <w:p>
      <w:pPr>
        <w:spacing w:after="0" w:line="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and timing of future sales, including the impact of seasonality;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developing market for cloud services and associated sales and delivery models, including the migration of our existing term license customers to cloud-based offerings on a subscription basis;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prospects of the property and casualty (“P&amp;C”) insurance industry;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orders from a relatively small number of customers in the P&amp;C insurance industry for a substantial portion of our revenue and Annual Recurring Revenue (“ARR”) and the related substantial negotiating leverage of these customers;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security breaches of our cloud-based products or unauthorized access to our customers’ or employees’ data;</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attributes of our applications, including developing and establishing our products to satisfy customer demands, maintain market acceptance, and meet local requirements of international markets;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political economies in which we operate internationally and the associated impact on interest rates, inflation, collection timeframes, and our revenue given the multi-year term for many of our international customer agreements;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color w:val="auto"/>
        </w:rPr>
        <w:t>exposure to market risks, including geographical and political events, supply chain disruptions, inflation, financial markets’ volatility, and the recent global pandemic and their impact on our stock price and its volatility and our customers, partners, vendors, or our business operations;</w:t>
      </w:r>
    </w:p>
    <w:p>
      <w:pPr>
        <w:spacing w:after="0" w:line="107" w:lineRule="exact"/>
        <w:rPr>
          <w:rFonts w:ascii="Times New Roman" w:cs="Times New Roman" w:eastAsia="Times New Roman" w:hAnsi="Times New Roman"/>
          <w:sz w:val="18"/>
          <w:szCs w:val="18"/>
          <w:b w:val="1"/>
          <w:bCs w:val="1"/>
          <w:i w:val="1"/>
          <w:iCs w:val="1"/>
          <w:color w:val="auto"/>
          <w:strike w:val="1"/>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existing and hiring new personnel, including managing personnel in a hybrid work environment;</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lengthy and variable sales and implementation cycles, with factors beyond our control including competitive pressures, potentially causing expenditure of significant time and resources prior to revenue generation;</w:t>
      </w:r>
    </w:p>
    <w:p>
      <w:pPr>
        <w:spacing w:after="0" w:line="107" w:lineRule="exact"/>
        <w:rPr>
          <w:rFonts w:ascii="Times New Roman" w:cs="Times New Roman" w:eastAsia="Times New Roman" w:hAnsi="Times New Roman"/>
          <w:sz w:val="18"/>
          <w:szCs w:val="18"/>
          <w:color w:val="auto"/>
          <w:strike w:val="1"/>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to growing our business including increasing our sales, revenue, and international operations, and its impact on our stock price;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factors that could affect our gross and operating margins, including revenue mix and costs related to operating, securing, and enhancing our subscription services;</w:t>
      </w:r>
    </w:p>
    <w:p>
      <w:pPr>
        <w:sectPr>
          <w:pgSz w:w="11900" w:h="16838" w:orient="portrait"/>
          <w:cols w:equalWidth="0" w:num="1">
            <w:col w:w="11240"/>
          </w:cols>
          <w:pgMar w:left="320" w:top="283"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number of professional services engagements and the billing rates and utilization of our professional services employees and contractors;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customer renewals and expansions of their license, support, and subscription contracts for our products, which may not occur;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required compliance with current and evolving local data privacy laws in all jurisdictions where we have customers, and our ability to maintain the security of our customers’ data and our cloud-based products, limit the use of information, and manage related costs and liabilities incurred.</w:t>
      </w:r>
    </w:p>
    <w:p>
      <w:pPr>
        <w:spacing w:after="0" w:line="347"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Business and Industry</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significant quarterly and annual fluctuations in our results of operations due to a number of factors.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quarterly and annual results of operations may fluctuate significantly due to a variety of factors, many of which are outside of our control. This variability may lead to volatility in our stock price as investors and research analysts respond to quarterly fluctuations. In addition, comparing our results of operations on a period-to-period basis, particularly on a sequential quarterly basis, may not be meaningful. You should not rely on our past results as an indication of our future performance.</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that may affect our results of operations include:</w:t>
      </w:r>
    </w:p>
    <w:p>
      <w:pPr>
        <w:spacing w:after="0" w:line="171" w:lineRule="exact"/>
        <w:rPr>
          <w:sz w:val="20"/>
          <w:szCs w:val="20"/>
          <w:color w:val="auto"/>
        </w:rPr>
      </w:pPr>
    </w:p>
    <w:p>
      <w:pPr>
        <w:jc w:val="both"/>
        <w:ind w:left="1100" w:right="20" w:hanging="323"/>
        <w:spacing w:after="0" w:line="266" w:lineRule="auto"/>
        <w:tabs>
          <w:tab w:leader="none" w:pos="1095" w:val="left"/>
        </w:tabs>
        <w:numPr>
          <w:ilvl w:val="0"/>
          <w:numId w:val="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impact of economic downturns and related market volatility caused by economic volatility, inflation, bank failures and associated financial instability and crises, or other national and worldwide events on our business and the businesses of our customers, partners, and vendors;</w:t>
      </w:r>
    </w:p>
    <w:p>
      <w:pPr>
        <w:spacing w:after="0" w:line="121" w:lineRule="exact"/>
        <w:rPr>
          <w:rFonts w:ascii="Times New Roman" w:cs="Times New Roman" w:eastAsia="Times New Roman" w:hAnsi="Times New Roman"/>
          <w:sz w:val="18"/>
          <w:szCs w:val="18"/>
          <w:b w:val="1"/>
          <w:bCs w:val="1"/>
          <w:i w:val="1"/>
          <w:iCs w:val="1"/>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domestic and international customers and renew existing customers;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of our potential customers and our ability to sell additional software and services to existing customers;</w:t>
      </w:r>
    </w:p>
    <w:p>
      <w:pPr>
        <w:spacing w:after="0" w:line="171"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and timing of subscription sales as opposed to term or perpetual software licenses, and the variations in revenue recognition between these contract types;</w:t>
      </w:r>
    </w:p>
    <w:p>
      <w:pPr>
        <w:spacing w:after="0" w:line="94"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contract durations of term software licenses and renewals or modifications of customer contracts;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related to cloud operations, cybersecurity, product development, and services;</w:t>
      </w:r>
    </w:p>
    <w:p>
      <w:pPr>
        <w:spacing w:after="0" w:line="171" w:lineRule="exact"/>
        <w:rPr>
          <w:rFonts w:ascii="Times New Roman" w:cs="Times New Roman" w:eastAsia="Times New Roman" w:hAnsi="Times New Roman"/>
          <w:sz w:val="18"/>
          <w:szCs w:val="18"/>
          <w:color w:val="auto"/>
        </w:rPr>
      </w:pPr>
    </w:p>
    <w:p>
      <w:pPr>
        <w:ind w:left="1100" w:right="2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achieve market adoption of cloud-based services, including the impact of our customers transitioning from term software licenses to subscription services;</w:t>
      </w:r>
    </w:p>
    <w:p>
      <w:pPr>
        <w:spacing w:after="0" w:line="107"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erosion in services margins or significant fluctuations in services revenue caused by changing customer demand, negotiated professional services billing rates, investments in customer implementation and migration projects, or fixed fee contracts;</w:t>
      </w:r>
    </w:p>
    <w:p>
      <w:pPr>
        <w:spacing w:after="0" w:line="107"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on favorable terms, including terms related to price, payment timing, service levels, acceptance, and product delivery, especially with customers and prospects that possess substantial negotiating leverage and procurement expertise;</w:t>
      </w:r>
    </w:p>
    <w:p>
      <w:pPr>
        <w:spacing w:after="0" w:line="107"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penalties or having to renegotiate contract terms for failing to meet certain contractual obligations, including service levels, product development cycles and functionality, and implementation times and objectives;</w:t>
      </w:r>
    </w:p>
    <w:p>
      <w:pPr>
        <w:spacing w:after="0" w:line="107"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privacy concerns related to employee data, customer data, and systems that are accessed or otherwise used by our hybrid workforce and customers;</w:t>
      </w:r>
    </w:p>
    <w:p>
      <w:pPr>
        <w:spacing w:after="0" w:line="107"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retention, the ability to hire and onboard appropriate personnel, and the timing of hiring personnel and employee related expenses;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expected benefits from our acquisitions and other strategic business transactions;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customers’ budgets for information technology purchases and delays in their purchasing decisions;</w:t>
      </w:r>
    </w:p>
    <w:p>
      <w:pPr>
        <w:spacing w:after="0" w:line="171"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recession or any other adverse global economic condition on our business, including pandemics, geographic and political conflicts, trade tariffs, trade agreements, and other uncertainties that may cause a delay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entering into, a failure to enter into, or cancel significant customer agreements or the fulfillment of professional service arrangements;</w:t>
      </w:r>
    </w:p>
    <w:p>
      <w:pPr>
        <w:spacing w:after="0" w:line="171" w:lineRule="exact"/>
        <w:rPr>
          <w:sz w:val="20"/>
          <w:szCs w:val="20"/>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dispute-related settlement payments, or litigation-related costs;</w:t>
      </w:r>
    </w:p>
    <w:p>
      <w:pPr>
        <w:spacing w:after="0" w:line="157" w:lineRule="exact"/>
        <w:rPr>
          <w:rFonts w:ascii="Times New Roman" w:cs="Times New Roman" w:eastAsia="Times New Roman" w:hAnsi="Times New Roman"/>
          <w:sz w:val="18"/>
          <w:szCs w:val="18"/>
          <w:color w:val="auto"/>
        </w:rPr>
      </w:pPr>
    </w:p>
    <w:p>
      <w:pPr>
        <w:ind w:left="1100" w:right="780" w:hanging="323"/>
        <w:spacing w:after="0" w:line="266" w:lineRule="auto"/>
        <w:tabs>
          <w:tab w:leader="none" w:pos="10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changes in accounting rules, new tax laws or regulations, or tax interpretations and our related accounting policies, interpretations, and controls;</w:t>
      </w:r>
    </w:p>
    <w:p>
      <w:pPr>
        <w:spacing w:after="0" w:line="12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w:t>
      </w:r>
    </w:p>
    <w:p>
      <w:pPr>
        <w:spacing w:after="0" w:line="157" w:lineRule="exact"/>
        <w:rPr>
          <w:rFonts w:ascii="Times New Roman" w:cs="Times New Roman" w:eastAsia="Times New Roman" w:hAnsi="Times New Roman"/>
          <w:sz w:val="18"/>
          <w:szCs w:val="18"/>
          <w:color w:val="auto"/>
        </w:rPr>
      </w:pPr>
    </w:p>
    <w:p>
      <w:pPr>
        <w:ind w:left="1100" w:right="140" w:hanging="323"/>
        <w:spacing w:after="0" w:line="266" w:lineRule="auto"/>
        <w:tabs>
          <w:tab w:leader="none" w:pos="10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inflation or deflation in the economies in which we operate, including Argentina, and their impact on interest rates, collection timeframes, and our revenue given the multi-year term of most customer agreements.</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factors are difficult to forecast, and these, as well as other factors, could materially adversely affect our quarterly and annual results of operations. Further, due to multi-year term licenses and multi-year term license renewals, increased cloud-based subscription services, timing of and billing rates for professional services engagements, and other ongoing changes to our business, it is challenging to forecast our quarterly and annual results.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ability to adjust spending quickly enough to compensate for a potential revenue shortfall is very limited and our inability to do so could magnify the adverse impact of a potential revenue shortfall on our results of operations. If we fail to achieve our quarterly forecasts, if our forecasts fall below the expectations of investors or research analysts, or if our actual results fail to meet the expectations of investors or research analysts, our stock price may decline.</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 sales patterns may cause significant fluctuations in our results of operations and cash flows and may prevent us from achieving our quarterly or annual forecasts, which may cause our stock price to decline.</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generally see increased new orders in our fourth fiscal quarter, which is the quarter ending July 31, due to efforts by our sales team to achieve annual incentives. As a result, a significantly higher percentage of our annual license revenue and cash receipts have historically been recognized in our fourth fiscal quarter. Since a substantial majority of our license revenue has annual renewals after the initial term of the contract, we expect to continue to experience this seasonality effect in subsequent years. Generally, accounting under ASC 606 has and may continue to heighten or change the seasonal impact due to license revenue for the entire committed term of our new term licenses and multi-year term license renewals being recognized at the beginning of the agreement. Because of the upfront nature of revenue recognition for new multi-year term licenses and multi-year term license renewals, any quarter in which a significant agreement of this nature is signed, renewed, cancelled, or not renewed when scheduled to do so may be impacted.</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currently anticipate that sales of, and revenue from, subscription services will continue to increase in the future. Subscriptions are recognized ratably over the term of the agreement after provisioning of the service. Over time, this may reduce the impact of our historic revenue seasonality, but in the near term the introduction of proportionally more subscription services into our revenue stream, together with their delayed and ratable recognition, will likely impact quarter-over-quarter and year-over-year revenue growth comparisons. Cash flow expectations and comparisons could also be impacted because of the ramped nature of the annual installments of these multi-year subscription services arrangements but will most likely remain concentrated in the fourth fiscal quarter. Additionally, ARR, which reflects the annualized recurring value of active customer contracts at the end of a reporting period, will be impacted by the seasonality of new sales orders, even if the revenue is recognized ratably.</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quarterly growth in revenue or ARR also may not coincide with new orders or cash flows in a given quarter, which could mask the impact of seasonal variations. This mismatch is primarily due to the following reasons:</w:t>
      </w:r>
    </w:p>
    <w:p>
      <w:pPr>
        <w:spacing w:after="0" w:line="108" w:lineRule="exact"/>
        <w:rPr>
          <w:sz w:val="20"/>
          <w:szCs w:val="20"/>
          <w:color w:val="auto"/>
        </w:rPr>
      </w:pPr>
    </w:p>
    <w:p>
      <w:pPr>
        <w:ind w:left="1100" w:hanging="323"/>
        <w:spacing w:after="0" w:line="281" w:lineRule="auto"/>
        <w:tabs>
          <w:tab w:leader="none" w:pos="109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our subscription arrangements are recognized ratably and only a portion, if any, of the revenue from an order is recognized in the same fiscal period of the order;</w:t>
      </w:r>
    </w:p>
    <w:p>
      <w:pPr>
        <w:spacing w:after="0" w:line="108" w:lineRule="exact"/>
        <w:rPr>
          <w:rFonts w:ascii="Arial" w:cs="Arial" w:eastAsia="Arial" w:hAnsi="Arial"/>
          <w:sz w:val="18"/>
          <w:szCs w:val="18"/>
          <w:color w:val="auto"/>
        </w:rPr>
      </w:pPr>
    </w:p>
    <w:p>
      <w:pPr>
        <w:ind w:left="1100" w:right="20" w:hanging="323"/>
        <w:spacing w:after="0" w:line="281" w:lineRule="auto"/>
        <w:tabs>
          <w:tab w:leader="none" w:pos="109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subscription arrangements generally have ramped invoicing schedules over the initial term, which affects ARR, but revenue is recognized ratably over the initial term;</w:t>
      </w:r>
    </w:p>
    <w:p>
      <w:pPr>
        <w:spacing w:after="0" w:line="108"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our term license agreements and multi-year term license renewals generally have annual billing arrangements even though revenue is recognized upfront for the entire committed term;</w:t>
      </w:r>
    </w:p>
    <w:p>
      <w:pPr>
        <w:spacing w:after="0" w:line="108" w:lineRule="exact"/>
        <w:rPr>
          <w:rFonts w:ascii="Arial" w:cs="Arial" w:eastAsia="Arial" w:hAnsi="Arial"/>
          <w:sz w:val="18"/>
          <w:szCs w:val="18"/>
          <w:color w:val="auto"/>
        </w:rPr>
      </w:pPr>
    </w:p>
    <w:p>
      <w:pPr>
        <w:jc w:val="both"/>
        <w:ind w:left="1100" w:right="20" w:hanging="323"/>
        <w:spacing w:after="0" w:line="265" w:lineRule="auto"/>
        <w:tabs>
          <w:tab w:leader="none" w:pos="109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as customers enter into a subscription agreement to migrate from an existing term license agreement or as we invest in certain cloud implementations to assist our customers with their migration to our cloud services, the timing of revenue recognition may be impacted by the allocation of revenue between different performance obligations;</w:t>
      </w:r>
    </w:p>
    <w:p>
      <w:pPr>
        <w:spacing w:after="0" w:line="123" w:lineRule="exact"/>
        <w:rPr>
          <w:rFonts w:ascii="Arial" w:cs="Arial" w:eastAsia="Arial" w:hAnsi="Arial"/>
          <w:sz w:val="18"/>
          <w:szCs w:val="18"/>
          <w:color w:val="auto"/>
        </w:rPr>
      </w:pPr>
    </w:p>
    <w:p>
      <w:pPr>
        <w:ind w:left="1100" w:hanging="323"/>
        <w:spacing w:after="0" w:line="281" w:lineRule="auto"/>
        <w:tabs>
          <w:tab w:leader="none" w:pos="1095" w:val="left"/>
        </w:tabs>
        <w:numPr>
          <w:ilvl w:val="0"/>
          <w:numId w:val="11"/>
        </w:numPr>
        <w:rPr>
          <w:rFonts w:ascii="Arial" w:cs="Arial" w:eastAsia="Arial" w:hAnsi="Arial"/>
          <w:sz w:val="18"/>
          <w:szCs w:val="18"/>
          <w:color w:val="auto"/>
        </w:rPr>
      </w:pPr>
      <w:r>
        <w:rPr>
          <w:rFonts w:ascii="Times New Roman" w:cs="Times New Roman" w:eastAsia="Times New Roman" w:hAnsi="Times New Roman"/>
          <w:sz w:val="18"/>
          <w:szCs w:val="18"/>
          <w:color w:val="auto"/>
        </w:rPr>
        <w:t>we may enter into agreements with future product delivery requirements, specified terms for product upgrades or functionality, acceptance terms, early termination rights, or unconditional return rights, which may require us to delay revenue recognition for a period of time;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0" w:hanging="323"/>
        <w:spacing w:after="0" w:line="281" w:lineRule="auto"/>
        <w:tabs>
          <w:tab w:leader="none" w:pos="1095"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8"/>
          <w:szCs w:val="18"/>
          <w:color w:val="auto"/>
        </w:rPr>
        <w:t>revenue recognition may not occur in the period when the order is placed due to certain revenue recognition criteria not being met, such as delivery of the software or providing access to the subscription services.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seasonal patterns may be affected by the timing of particularly large transactions and the number of renewals in a given quarter. Seasonal and other variations may cause significant fluctuations in our revenue, ARR, results of operations and cash flows, may make it challenging for an investor to predict our performance on a quarterly basis, and may prevent us from achieving our quarterly or annual forecasts or meeting or exceeding the expectations of research analysts or investors, which in turn may cause our stock price to decline.</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successfully manage our transition to a business model focused on delivering cloud-based offerings on a subscription basis or fail to meet stipulated service levels with our subscription services, our results of operations could be harmed.</w:t>
      </w:r>
    </w:p>
    <w:p>
      <w:pPr>
        <w:spacing w:after="0" w:line="105"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To address demand trends in the P&amp;C insurance industry, we now offer customers the use of our software products through a cloud-based offering sold on a subscription basis in addition to our self-managed offering. This change to our business model requires a considerable investment of technical,</w:t>
      </w:r>
    </w:p>
    <w:p>
      <w:pPr>
        <w:spacing w:after="0" w:line="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operational, financial, legal, and sales resources. Our software and cloud services involve the storage and transmission of customer data, including in some cases, personal data, and security breaches could result in the loss of this information, which in turn could result in litigation, breach of contract claims, indemnity obligations, harm to our reputation, and other liabilities for us. Our transition to cloud offerings will continue to be the focus of existing resources, require us to hire additional resources, and increase costs, especially in cost of subscription and support revenue, cost of services revenue, and research and development, in any given period. We may not be able to efficiently scale such investments to meet customer demand and expectations, which may impact our long-term growth and results of operations. Further, the increase in some costs associated with our cloud services, such as the cost of third-party infrastructure in which we rely to host our subscription services, may be difficult to predict over time, especially in light of our limited experience with the costs of delivering cloud-based versions of our applications. Furthermore, we may assume greater responsibilities for implementation of subscription services due to our operating and maintaining the cloud environment for our customers. As a result, we may face risks associated with new and complex implementations or migrations, the cost of which may differ from original estimates. Our subscription contracts also contain penalty clauses, for matters such as failing to meet stipulated service levels or other contractual provisions, which represent new risks we are not accustomed to managing. Should these penalties be triggered, our results of operations may be adversely affected. These penalties and costs could take the form of monetary credits for current or future service engagements, reduced fees for additional services or products or upon renewal of existing agreements, and a customer’s renegotiation or refusal to pay its contractually obligated subscription or service fees.</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Revenue under our cloud-based subscription model will generally be recognized ratably over the term of the contract. The transition to ratable revenue recognition will result in lower revenue than we otherwise would have recognized in the initial period of the customer agreement under term license agreements. This effect on recognized revenue may be magnified in any fiscal year due to the concentration of our orders in the fourth fiscal quarter. A combination of increased costs and delayed recognition of revenue would adversely impact our gross and operating margins compared to prior periods. Additionally, the change in our business model and the timing of our customers’ decision to transition from self-managed licenses to cloud-based subscription services could negatively affect our ability to forecast the timing and amount of our revenue in any period.</w:t>
      </w:r>
    </w:p>
    <w:p>
      <w:pPr>
        <w:spacing w:after="0" w:line="13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market acceptance of our cloud-based offerings may be affected by a variety of factors, including, but not limited to, price, security, reliability, performance, customer preference, public concerns regarding privacy, and the enactment of restrictive laws or regulations. We are continually updating our existing products and developing new products in an effort to offer customers greater choices on how they utilize our software. As our business practices in this area develop and evolve over time, we may be required to revise our current subscription agreements, which may result in revised terms and conditions that impact how we recognize revenue and the costs and risks associated with these offerings. Whether our product development efforts or business model transition will prove successful and accomplish our business objectives is subject to numerous uncertainties and risks, including, but not limited to, customer demand, our ability to further develop, manage, and scale infrastructure, our ability to include functionality and usability in such offerings that address customer requirements, our customers’ ability to successfully migrate to and implement our subscription services, tax and accounting implications, and our costs.</w:t>
      </w:r>
    </w:p>
    <w:p>
      <w:pPr>
        <w:spacing w:after="0" w:line="13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metrics we and our investors use to gauge the status of our business model transition may evolve over the course of the transition as significant trends emerge. It may be difficult, therefore, to accurately determine the impact of this transition on our business on a contemporaneous basis, or to clearly communicate the appropriate metrics to our investors. If we are unable to successfully establish these new cloud offerings and navigate our business model transition in light of the foregoing risks and uncertainties, our reputation could suffer and our results of operations could be harmed, which may cause our stock price to decline.</w:t>
      </w:r>
    </w:p>
    <w:p>
      <w:pPr>
        <w:spacing w:after="0" w:line="125"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relied and expect to continue to rely on orders from a relatively small number of customers in the P&amp;C insurance industry for a substantial portion of our revenue and ARR, and the loss of any of these customers would significantly harm our business, results of operations, and financial condition.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9" w:name="page50"/>
    <w:bookmarkEnd w:id="4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revenue and ARR are dependent on orders from customers in the P&amp;C insurance industry, which may be adversely affected by worldwide economic, environmental, public health, and political conditions. A relatively small number of customers have historically accounted for a significant portion of our revenue. The composition of our individual top customers has and will vary from year to year. In fiscal years 2022 and 2023, our ten largest customers in each fiscal year accounted for 23% of our revenue. Additionally, our ten largest customers based on ARR accounted for 24% of total ARR at July 31, 2023. Customers for these metrics are calculated at the parent corporation level, while our total customer count is based on entities that have placed orders for our services or products. While we expect this reliance to decrease over time as our revenue, customer base and subscription services as a percentage of revenue grows, we expect that we will continue to depend upon a relatively small number of customers for a significant portion of our revenue and ARR for the foreseeable future. As a result, if we fail to successfully sell our products to one or more of these anticipated customers in any particular period or fail to identify additional potential customers or such customers purchase fewer of our products or professional services, defer or cancel orders, fail to renew their license or subscription agreements or otherwise terminate or reduce their relationship with us, our business, results of operations, and financial condition would be harmed. Additionally, if one or more of these anticipated customers enters into or transitions to a subscription agreement in any particular period, or if we fail to achieve the required performance or acceptance criteria for one or more of this relatively small number of customers, our quarterly and annual results of operations may fluctuate significantly.</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global events have adversely affected, and may continue to adversely affect, our business, results of operations, and financial condition.</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Recent global events have adversely affected and are continuing to adversely affect workforces, organizations, economies, and financial markets globally, leading to economic downturns, inflation, and increased market volatility. Ongoing conflicts such as the wars between Israel and Hamas and between Russia and Ukraine, escalating tensions in the South China Sea, high inflation, increasing interest rates, bank failures and associated financial instability and crises, and supply chain issues have added to global economic and market volatility. Our past business and financial results, including our ARR growth rates, services revenue, and margins, were adversely impacted due to the disruptions resulting from these events. These global events have also disrupted the normal operations of our customers’ businesses and our SI partners’ businesses. The related impacts of recent global events on the global economy could decrease or delay technology spending and adversely affect demand for our products. Further, our sales and implementation cycles have increased and could continue to increase, which has resulted in and could result in contract terms more favorable to customers and a potentially longer delay between incurring operating expenses and the generation of corresponding revenue, if any, or difficulty in accurately forecasting our financial results. Additionally, our customers may be unable to pay outstanding invoices or may request amended payment terms due to the economic impacts from these global events and related implementation delays. As a result of these developments and the related economic impact to our business, we may be required to record impairment related to our operating lease assets, investments, long-lived assets, or goodwill. We may experience further operational challenges, including increased costs, as a portion of our workforce returns to working in person and gradually shifts to assisting customers in person, difficulty in hiring necessary personnel, and higher employee attrition. Due to the continuing and evolving nature of these global events, it is not possible for us to accurately predict the duration or magnitude of the adverse impacts and effects on our business, results of operations, or financial condition. Further, to the extent recent global events adversely affects our business, results of operations, or financial condition, it may also have the effect of heightening many of the other risks described in this “Risk Factors” section.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0" w:name="page51"/>
    <w:bookmarkEnd w:id="5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transitioned to a hybrid in-person and remote workforce, which will subject us to certain operational challenges and risks and potential harm to our business.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transitioned to a hybrid work environment in which a significant portion of our workforce works either in-person on a part-time basis or remotely on a permanent basis. As a result, we expect to continue to be subject to the challenges and risks of having a remote workforce, as well as new challenges and risks from operating with a hybrid workforce. For example, certain security systems in homes or other remote workplaces may be less secure than those used in our offices, which may subject us to increased security risks, including cybersecurity-related events, and expose us to risks of data or financial loss and associated disruptions to our business operations. Members of our workforce who work remotely may not have access to technology that is as robust as that in our offices, which could cause the networks, information systems, applications, and other tools available to those remote workers to be more limited or less reliable than in our offices. We may also be exposed to risks associated with the locations of remote workers, including compliance with local laws and regulations or exposure to compromised internet infrastructure. Allowing members of our workforce to work remotely may create intellectual property risk if employees create intellectual property on our behalf while residing in a jurisdiction with unenforced or uncertain intellectual property laws. Further, if employees fail to inform us of changes in their work location, we may be exposed to additional risks without our knowledge. The transition to hybrid in-person as well as remote working may also subject us to other operational challenges and risks. For example, our shift to hybrid working may adversely affect our ability to recruit and retain personnel who prefer a fully remote or fully in-person work environment. Operating our business with both remote and in-person workers, or workers who work in flexible locations and on flexible schedules, could have a negative impact on our corporate culture, decrease the ability of our workforce to collaborate and communicate effectively, decrease innovation and productivity, or negatively affect workforce morale and retention rates. In addition, we expect to incur costs related to the transition to a hybrid workforce to, among other things, facilitate permanent remote work for a portion of our workforce and update our offices to offer more collaborative workspaces. If we are unable to effectively transition to a hybrid workforce, manage the cybersecurity and other risks of remote work, and maintain our corporate culture and workforce morale, our business could be harmed or otherwise negatively impacted.</w:t>
      </w:r>
    </w:p>
    <w:p>
      <w:pPr>
        <w:spacing w:after="0" w:line="134"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intense competition in our market, which could negatively impact our business, results of operations, and financial condition and cause our market share to decline.</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market for our products is intensely competitive. The competitors we face in any sale opportunity may change depending on, among other things, the line of business purchasing the software, the application or service being sold, the geography in which the customer is operating, and the size of the insurance carrier to which we are selling. For example, we are more likely to face competition from small independent firms when addressing the needs of small insurers. These competitors may compete on the basis of price, the time and cost required for implementation, custom development, or unique product features or functions. Outside of the United States, we are more likely to compete against vendors that may differentiate themselves based on local advantages in language, market knowledge, and pre-built content applicable to that jurisdiction. We also compete with vendors of horizontal software products that may be customized to address needs of the P&amp;C insurance industry.</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many of our prospective customers operate firmly entrenched legacy systems, some of which have been in operation for decades. Our implementation cycles may be lengthy, variable, and require the investment of significant time and expense by our customers. These expenses and associated operating risks attendant on any significant process re-engineering and new technology implementation, may cause customers to prefer maintaining legacy systems. Also, maintaining these legacy systems may be so time consuming and costly for our potential customers that they do not have adequate resources to devote to the purchase and implementation of our products. We also compete against technology consulting firms that either helped create such legacy systems or may own, in full or in part, subsidiaries that develop software and systems for the P&amp;C insurance industry.</w:t>
      </w:r>
    </w:p>
    <w:p>
      <w:pPr>
        <w:spacing w:after="0" w:line="13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we expand our product portfolio, we may begin to compete with software and service providers we have not competed against previously. Such potential competitors offer data and analytics tools that may, in time, become more competitive with our offerings.</w:t>
      </w:r>
    </w:p>
    <w:p>
      <w:pPr>
        <w:spacing w:after="0" w:line="1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our competitors’ products, services, or technologies become more accepted than our solutions, if they are successful in bringing their products or services to market earlier than we are, if their products or services are more technologically capable than ours (including, without limitation, as a result of new or better use of evolving AI technologies, such as generative AI), or if customers replace our solutions with custom-built software, then our revenue could be adversely affected.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expect the intensity of competition to remain high in the future, as the amount of capital invested in current and potential competitors, including insurtech companies, has increased significantly in recent years. As a result, our competitors or potential competitors may develop improved product or sales capabilities, or even a technology breakthrough that disrupts our market. Continuing intense competition could result in increased pricing pressure, increased sales and marketing expenses, and greater investments in research and development, each of which could negatively impact our profitability. In addition, the failure to increase, or the loss of, market share would harm our business, results of operations, financial condition, and/or future prospects. Our larger current and potential competitors may be able to devote greater resources to the development, promotion, and sale of their services and products than we can devote to ours, which could allow them to respond more quickly than we can to new technologies and changes in customer needs, thus leading to their wider market acceptance. We may not be able to compete effectively and competitive pressures may prevent us from acquiring and maintaining the customer base necessary for us to increase our revenue and profitability.</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insurance industry is evolving rapidly, and we anticipate the market for cloud-based solutions will become increasingly competitive. If our current and potential customers move a greater proportion of their data and computational needs to the cloud, new competitors may emerge that offer services either comparable or better suited than ours to address the demand for such cloud-based solutions, which could reduce demand for our offerings. To compete effectively we will likely be required to increase our investment in research and development, as well as the personnel and third-party services required to improve reliability and security and lower the cost of delivery of our cloud-based solutions. New competitors are able to develop cloud-based solutions without the cost of maintaining or migrating existing solutions and satisfying existing customer requirements, which may allow them to introduce new services and products more quickly and on more efficient technologies than us. This may increase our costs more than we anticipate and may adversely impact our results of operations.</w:t>
      </w:r>
    </w:p>
    <w:p>
      <w:pPr>
        <w:spacing w:after="0" w:line="13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current and potential competitors may also establish cooperative relationships among themselves or with third parties to further enhance their resources and offerings. Current or potential competitors may be acquired by other vendors or third parties with greater available resources. As a result of such acquisitions, our current or potential competitors might be more able than we are to adapt quickly to new technologies and customer needs, to devote greater resources to the promotion or sale of their services and products, to initiate or withstand substantial price competition, or to take advantage of emerging opportunities by developing and expanding their product and service offerings more quickly than we can. Additionally, they may hold larger portfolios of patents and other intellectual property rights as a result of such relationships or acquisitions. If we are unable to compete effectively with these evolving competitors for market share, our business, results of operations, and financial condition could be materially and adversely affected.</w:t>
      </w:r>
    </w:p>
    <w:p>
      <w:pPr>
        <w:spacing w:after="0" w:line="131"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and implementation cycles are lengthy and variable, depend upon factors outside our control, and could cause us to expend significant time and resources prior to generating revenue.</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typical sales cycle for our products is lengthy and unpredictable, requires pre-purchase evaluation by a significant number of employees in our customers’ organizations, often involves a significant operational decision by our customers, and could be affected by factors outside of our control. Our sales efforts involve educating our customers about the use and benefits of our products, including the technical capabilities of our products, the potential cost savings achievable by organizations deploying our products, and the benefits and risks associated with cloud-based services. Customers typically undertake a significant evaluation process, which frequently involves not only our products, but also those of our competitors. We spend substantial time, effort, and money in our sales efforts without any assurance that our efforts will produce sales, and our customers have significant negotiating power during the sales process which may result in a lengthy sales cycle and significant contractual complexity. Additionally, we may be unable to predict the size and terms of the initial contract until very late in the sales cycle, which affects our ability to accurately forecast revenue and ARR. In addition, we sometimes commit to include specific functions in our base product offering at the request of a customer or group of customers and are unable to recognize revenue until the specific functions have been added to our products. Providing this additional functionality may be time consuming and may involve factors that are outside of our control. Customers may also insist that we commit to certain time frames in which systems built around our products will be operational or that once implemented our products will be able to meet certain operational requirements. Our ability to meet such timeframes and requirements may involve factors that are outside of our control, and failure to meet such timeframes and requirements could result in us incurring penalties and costs and/or making additional resource commitments, which would adversely affect our business and results of operations.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implementation and testing of our products by our customers typically lasts six to 24 months or longer and unexpected implementation delays and difficulties can occur. Implementing our products typically involves integration with our customers’ and third parties’ systems and creating or updating the digital experience, as well as adding customer and third-party data to our platform. This process can be complex, time consuming, and expensive for our customers and can result in delays in the implementation and deployment of our products. Failing to meet the expectations of our customers during the implementation of our products could result in a loss of customers and negative publicity about us and our products. Such failure could result from deficiencies in our product capabilities, performance issues, or inadequate service engagements by us, our SI partners, or our customers’ employees, the latter two of which are beyond our direct control. The consequences of such failure could include, and have included, monetary credits for current or future service engagements, reduced fees for additional products or upon renewal of existing products, potential reversals of previously recognized revenue, renegotiating existing customers’ contractual terms, and a customer’s refusal to pay their contractually obligated license, subscription, support, or service fees. In addition, time-consuming and delayed implementations may also increase the amount of services personnel we must allocate to the implementation for it to be successful, thereby increasing our costs and adversely affecting our business, results of operations, and financial condition.</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Furthermore, our sales and implementation cycles could be interrupted or affected by other factors outside of our control. We have had, and may in the future have, restrictions on travel, which are in accordance with recommendations by the U.S. government, The Centers for Disease Control and Prevention, and other equivalent agencies in the locations in which we operate, and our customers, SI partners, and prospects have likewise enacted their own preventative policies and travel restrictions. Widespread restrictions on travel and in-person meetings have affected and could, in the future, affect services delivery, delay implementations, and interrupt sales activity. We cannot predict the duration or the extent of adverse impacts from pandemics and other global events on our business, results of operations, and financial condition.</w:t>
      </w:r>
    </w:p>
    <w:p>
      <w:pPr>
        <w:spacing w:after="0" w:line="1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manage our expanding operations effectively could harm our 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experienced consistent growth and expect to continue to expand our operations, including the number of employees and the locations and scope of our international operations. Additionally, we have transitioned to a hybrid work environment in which a large portion of our workforce works either in-person on a part-time basis or remotely on a permanent basis, which brings new challenges to managing our business and workforce. This expansion and changing work environment has placed, and will continue to place, a significant strain on our operational and financial resources and our personnel. To manage our anticipated future operational expansion effectively, we must continue to maintain and may need to enhance our information technology and cybersecurity infrastructure and financial and accounting systems and controls, and manage expanded operations and employees in geographically distributed locations. Our growth could require significant capital expenditures and may divert financial resources from other projects, such as the development of new, enhanced, or more secure products or investments in cloud operations. If we increase the size of our organization without experiencing an increase in sales of our products, we will experience reductions in our gross and operating margins and net income. If we are unable to effectively manage our expanding operations or hybrid work environment, our expenses may increase more than expected, our revenue could decline or grow more slowly than expected, and we may be unable to implement our business strategy.</w:t>
      </w:r>
    </w:p>
    <w:p>
      <w:pPr>
        <w:spacing w:after="0" w:line="13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 mix, as well as declines in our subscription and support gross margin or our services gross margin, could adversely affect our overall gross margin and profitability.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subscription and support revenue was 48% and 42% of total revenue for fiscal years 2023 and 2022, respectively. Our subscription and support revenue produces lower gross margins than our license revenue. The gross margin of our subscription and support revenue was 51% and 41% for fiscal years 2023 and 2022, respectively, while the gross margin for license revenue was 98% and 97% for fiscal years 2023 and 2022, respectively. As our cloud transition continues, we expect that subscription revenue will continue to increase as a percentage of total revenue as we contract with new cloud customers and existing customers migrate from term licenses to subscription services. Additionally, we are incurring significant expenses to develop our cloud services and scale our cloud operations which may not result in an improvement of our subscription and support gross margin. These trends, along with other factors, some of which may be beyond our control, may adversely affect our overall gross and operating margins. These other factors include the percentage of new customers that enter into subscription services agreements as compared to term license agreements, the revenue impact of allocating total contract consideration between license revenue and subscription and support revenue when existing customers transition from term license to subscription services agreements, investments in certain cloud implementations to assist our customers with their migration to our cloud services, continued growth and efficiency of our cloud operations and technical support teams, and the impact on the global economy as a result of economic volatility, inflation, or other global events and disasters.</w:t>
      </w:r>
    </w:p>
    <w:p>
      <w:pPr>
        <w:spacing w:after="0" w:line="13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our services revenue was 23% and 26% of total revenue for fiscal years 2023 and 2022, respectively. Our services revenue produces lower gross margin than either our license revenue or our subscription and support revenue. The gross margin of our services revenue was negative in both fiscal years 2023 and 2022. If we experience an increase in the percentage of total revenue represented by services revenue, due to acquisitions or other factors, such increase could reduce our overall gross and operating margins. Fluctuation in our services revenue can result from several factors, some of which may be beyond our control, including the pace of our customers’ migration from term license to subscription services as we continue our cloud transition, change in customer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demand for our services team’s involvement in the implementation of new products, the rates we charge or discounts we offer for our services, our ability to bill our customers for all time incurred to complete a project, the extent and quality of implementations and migrations provided by our SI partners, and the impact on the global economy as a result of economic volatility, inflation, or other global events and disasters. Additionally, the failure to improve, or the erosion of, our services margin, whether due to discounts related to encouraging clients to accelerate their cloud transition or otherwise, particularly in combination with any increase in services revenue, could adversely affect our overall gross and operating margins. Our services margin may erode if we hire and train additional services personnel to support cloud-based services or markets prior to having customer engagements, if we make investments in customer migrations from self-managed term licenses to subscription services, if we enter into fixed fee services arrangements, if our services personnel are underutilized, or if we require additional personnel on unexpectedly difficult projects to ensure customer success, perhaps without receiving commensurate compensation.</w:t>
      </w:r>
    </w:p>
    <w:p>
      <w:pPr>
        <w:spacing w:after="0" w:line="13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large customers have substantial negotiating leverage, which may require that we agree to terms and conditions that result in increased cost of sales, decreased revenue, and lower average selling prices and gross margins, all of which could harm our results of operations.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Some of our customers include the world’s largest P&amp;C insurers. These customers have significant bargaining power when negotiating new licenses or subscriptions or renewals of existing agreements, and have the ability to buy similar products from other vendors or develop such systems internally. These customers have and may continue to seek advantageous pricing and other commercial and performance terms that may require us to develop additional features in the products we sell to them or add complexity to our customer agreements. These customers may also delay making payments under existing agreements, or at renewal, in an attempt to obtain more favorable terms from us. We have been required to, and may continue to be required to, reduce the average selling price and ARR of our products, along with agreeing to steeper ramps that delay reaching fully ramped ARR, in response to these pressures. If we are unable to avoid reducing our average selling prices or ARR, our results of operations could be harmed.</w:t>
      </w:r>
    </w:p>
    <w:p>
      <w:pPr>
        <w:spacing w:after="0" w:line="13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customers renewing and expanding their license, support, and subscription contracts for our products. A decline in our customer renewals and expansions could harm our future results of operations.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customers have no obligation to renew their term licenses or subscriptions after their contract period expires, and these licenses and subscriptions, if renewed, may be done so on less favorable terms. Moreover, under certain circumstances, our customers have the right to cancel their licenses or subscriptions before they expire. We may not accurately predict future trends in customer renewals. In addition, our perpetual license customers have no obligation to renew their support arrangements after the expiration of the initial contractual period. Our customers’ renewal rates may fluctuate or decline because of several factors, including their satisfaction or dissatisfaction with our products, the prices of our products, the prices of products offered by our competitors, reduction in our customers’ business including their DWP, reductions in our customers’ spending levels due to the macroeconomic environment or other factors, or the sale of their operations to a buyer that is not a current customer.</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Also, in some cases, our customers have a right to exercise a perpetual buyout of their term licenses at the end of the initial contract term, which if exercised would eliminate future term license revenue. If our customers do not renew their term licenses or subscriptions for our solutions or renew on less favorable terms, our revenue may decline or grow more slowly than expected and our profitability may be harmed.</w:t>
      </w:r>
    </w:p>
    <w:p>
      <w:pPr>
        <w:spacing w:after="0" w:line="11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any of our established services or products to satisfy customer demands or to maintain market acceptance could harm our business, results of operations, financial condition, and growth prospects.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derive a significant majority of our revenue and cash flows from our established product offerings, including Guidewire InsuranceSuite Cloud, Guidewire InsuranceNow, Guidewire InsuranceSuite for self-managed installations, and our digital and data products. We expect to continue to derive a substantial portion of our revenue from these sources. As such, continued market acceptance of these products is critical to our growth and success. Demand for our products is affected by a number of factors, some of which are beyond our control, including the successful implementation of our products, the timing of development and release of product upgrades, enhancements, and new products by us and our competitors, the cost and effort to migrate from self-managed products to subscription services, the ease of integrating our software to third-party software and services, technological advances that reduce the appeal of our products, changes in the regulations that our customers must comply with in the jurisdictions in which they operate, and the growth or contraction in the worldwide market for technological solutions for the P&amp;C insurance industry. If we are unable to continue to meet customer demands, to achieve and maintain a technological advantage over competitors, or to maintain market acceptance of our products, our business, results of operations, financial condition and growth prospects may be adversely affected.</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develop, introduce, and market new and enhanced versions of our products, we may be put at a competitive disadvantage.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Our success depends on our continued ability to develop, introduce, and market new and enhanced versions of our products to meet evolving customer requirements. Because some of our products are complex and require rigorous testing, new features, new functionality, and updates to our existing products</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 take significant time and resources to develop and bring to market. As we expand internationally, our products must be modified and adapted to comply with regulations and other requirements of the countries in which our customers do business. Additionally, market conditions may dictate that we change the delivery method of our products or the technology platform underlying our existing products or that new products be developed on different technology platforms, potentially adding material time and expense to our development cycles. The nature of these development cycles may cause us to experience delays between the time we incur expenses associated with research and development and the time we generate revenue, if any, from such expenses.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fail to develop new products, enhance our existing products, or manage our products in the cloud, our business could be adversely affected, especially if our competitors are able to introduce products with enhanced functionality in the cloud. It is critical to our success for us to anticipate changes in technology, industry standards and regulations, and customer requirements and to successfully introduce new, enhanced, and competitive products to meet our customers’ and prospective customers’ needs on a timely basis. We have invested and intend to increase investments in research and development</w:t>
      </w:r>
    </w:p>
    <w:p>
      <w:pPr>
        <w:spacing w:after="0" w:line="4"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and cloud operations to meet these challenges. Revenue may not be sufficient to support the future product development that is required for us to remain competitive. If we fail to develop products in a timely manner that are competitive in technology and price or develop products that fail to meet customer</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demands, our market share will decline and our business and results of operations could be harmed. If our development efforts do not develop services, products or features that our customers find valuable, then we might incur impairment charges related to our capitalized software development costs.</w:t>
      </w:r>
    </w:p>
    <w:p>
      <w:pPr>
        <w:spacing w:after="0" w:line="91"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or failures in our products and professional services, including implementation services, may affect our reputation, cause us to lose customers, and reduce sales and renewal rates, which may harm our business and results of operations and subject us to liability for breach of warranty claims.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Because we offer complex products, undetected errors or failures may exist or occur, especially when products are first introduced or when new versions or updates are released. Our products are often installed and used in large-scale computing environments with different operating systems, system management software, and equipment and networking configurations, which may cause errors or failures in our products or may expose undetected errors, failures, or bugs in our products. Despite testing by us, we may not identify all errors, failures, or bugs in new products or releases until after commencement of commercial sales or installation. In the past, we have discovered software errors, failures, and bugs in some of our offerings after their</w:t>
      </w:r>
    </w:p>
    <w:p>
      <w:pPr>
        <w:spacing w:after="0" w:line="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introduction. Additionally, our Guidewire Cloud offerings rely on third-party hosting services, primarily AWS. Any material disruption or slowdown in these services or the systems of third parties who we depend upon could cause outages or delays in our products, which could harm our reputation and adversely affect our results of operations.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provide our customers with upfront estimates regarding the duration, resources, and costs associated with the migration and implementation of our products. Failure to meet these upfront estimates and the expectations of our customers could result from our product capabilities or professional service engagements performed by us, our SI partners, or our customers’ employees, the latter two of which are beyond our direct control. The consequences could include, and have included, monetary credits for current or future service engagements, reduced fees for additional products or upon renewal of existing products, renegotiation or modification of existing contracts that could potentially result in reversals of previously recognized revenue, or a customer’s refusal to pay its contractually obligated fees. In addition, time-consuming or difficult migrations and implementations may also increase the amount of services personnel we must allocate to the project, potentially without commensurate compensation, thereby increasing our costs, lowering our services margin, and adversely affecting our business, results of operations, and financial condition.</w:t>
      </w:r>
    </w:p>
    <w:p>
      <w:pPr>
        <w:spacing w:after="0" w:line="1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license, subscription, and support of our products creates the risk of significant liability claims against us. Our license and subscription agreements with our customers contain provisions designed to limit our exposure to potential liability claims. It is possible, however, that the limitation of liability provisions contained in such agreements may not be enforced as a result of international, federal, state, and local laws or ordinances or unfavorable judicial decisions. Breach of warranty or damage liability, or injunctive relief resulting from such claims, could harm our results of operations and financial condition.</w:t>
      </w:r>
    </w:p>
    <w:p>
      <w:pPr>
        <w:spacing w:after="0" w:line="125"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ability to sell our services and products is highly dependent on the quality of our professional services and technical support services and the support of our SI partners, and the failure of us or our SI partners to offer high-quality professional services or technical support services could damage our reputation and adversely affect our ability to sell our services and products to new customers and renew agreements with our existing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If we or our SI partners do not effectively assist our customers in deploying our products, successfully help our customers quickly resolve post-deployment issues, assist our customers in migrating from self-managed licenses to subscription services, and provide effective ongoing support, our ability to renew existing agreements and sell additional products to existing customers would be adversely affected and our reputation with potential customers could be damaged. Once our products are deployed and integrated with our customers’ existing information technology environment, our customers may depend on our technical support services and/or the support of SI partners or internal resources to resolve any issues relating to our products. High-quality support is critical for the continued successful marketing and sale of our products. In addition, as we continue to expand our operations internationally, our support organization will face additional challenges, including those associated with delivering support, training, and documentation in multiple languages. Many enterprise customers require higher levels of support than smaller customers. If we fail to meet the requirements of our larger customers, it may be more difficult to sell additional products to these customers or to transition existing license customers to subscription services, a key strategy for the growth of our revenue and profitability. In addition, as we further expand our cloud-based products, our professional services, cloud operations and support organizations will face new challenges, including hiring, training, and integrating a large number of new personnel with experience in delivering high-quality services and support for cloud-based offerings. Further, as we continue to rely on SIs to provide deployment, migration, and on-going services, our ability to ensure a high level of quality in addressing customer issues and providing a maintainable and efficient cloud environment could be diminished as we may be unable to control the quality or timeliness of the implementation of our products by our SI partners. Our failure to maintain high-quality implementation and support services, or to ensure that SIs provide the same, could have a material adverse effect on our business, results of operations, financial condition, and growth prospects.</w:t>
      </w:r>
    </w:p>
    <w:p>
      <w:pPr>
        <w:spacing w:after="0" w:line="137"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and use of AI, combined with an uncertain regulatory environment, may result in reputational harm, liability, or other adverse consequences to our business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use machine learning and AI technologies in our offerings and business, and we are making investments in expanding our AI capabilities in our products, professional services, and tools, including ongoing deployment and improvement of existing machine learning and AI technologies, as well as developing new product features using generative AI technologies. AI technologies are complex and generative AI technologies, in particular, are rapidly evolving. We face significant competition from other companies as well as an evolving regulatory landscape in relation to these technologies. The introduction of AI technologies, including generative AI, into new or existing products may result in new or enhanced governmental or regulatory scrutiny, litigation, confidentiality or security risks, ethical concerns, or other complications that could adversely affect our business, reputation, or financial results. The intellectual property ownership and license rights, including without limitation copyright, surrounding AI technologies generally, and generative AI technologies specifically, has not been fully addressed by competent legal tribunals or applicable laws or regulations. Further, the use or adoption of third-party AI technologies, including generative AI technologies, into our products and services may result in exposure to claims of copyright infringement or other intellectual property-related causes of action.</w:t>
      </w:r>
    </w:p>
    <w:p>
      <w:pPr>
        <w:spacing w:after="0" w:line="14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Uncertainty around new and emerging AI technologies, such as generative AI, may require additional investment in the development and maintenance of proprietary datasets and machine learning models, development of new approaches and processes to provide attribution or remuneration to creators of training data, and development of appropriate protections and safeguards for handling the use of customer data with such technologies, which may be costly and could impact our expenses if we decide to expand AI technologies, including generative AI, into our product offerings. AI technologies, including without limitation generative AI, may create content that appears facially correct but is factually inaccurate or flawed. Our customers or others may rely on or use such factually incorrect or flawed content to their detriment, which may expose us to brand or reputational harm, competitive harm, and/or legal liability. In all events, the development, marketing and use of AI technologies, including, in particular, generative AI, presents emerging ethical and social issues, and if we enable or offer solutions that draw scrutiny or controversy due to their perceived or actual impact on customers or on society as a whole, we may experience brand or reputational harm, competitive harm, and/or legal liability.</w:t>
      </w:r>
    </w:p>
    <w:p>
      <w:pPr>
        <w:spacing w:after="0" w:line="13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through acquisitions or partnerships with other companies, which may divert our management’s attention and result in unexpected operating and technology integration difficulties, increased costs, and dilution to our stockholders.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business strategy includes the potential acquisition of shares or assets of companies with software, cloud-based services, technologies, or businesses complementary to ours. Our strategy also includes alliances with such companies. For example, we have made several acquisitions in the past, including most recently in August 2021, we acquired HazardHub, Inc., a leading insurtech provider of property risk insights. Acquisitions and alliances, such as our strategic partnerships with One Inc. and Smart Communications, may result in unforeseen operating difficulties and expenditures, be dilutive to earnings, and may not result in the benefits anticipated by such corporate activity. In particular, we may fail to assimilate or integrate the businesses, technologies, services, products, personnel, or operations of the acquired companies, retain key personnel necessary to favorably execute the combined companies’ business plan, or retain existing customers or sell acquired products to new customers. Acquisitions and alliances may also disrupt our ongoing business, divert our resources, and require significant management attention that would otherwise be available for ongoing development of our current business. In addition, we may be required to make additional capital investments or undertake remediation efforts to ensure the success of our acquisitions, which may reduce the benefits of such acquisitions. We also may be required to use a substantial amount of our cash or issue debt or equity securities to complete an acquisition or realize the potential of an alliance, which could deplete our cash reserves and/or dilute our existing stockholders.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an acquisition or the establishment of an alliance offering new products, the timing of revenue from the sale of products that we acquired or that result from the alliance, or from the sale of a bundle of products that includes such new products, may be different than the timing of revenue from existing products. In addition, our ability to maintain favorable pricing of new products may be challenging if we bundle such products with existing products. A delay in the recognition of revenue from sales of acquired or alliance products, or reduced pricing due to bundled sales, may cause fluctuations in our quarterly financial results, may adversely affect our operating margins, and may reduce the benefits of such acquisitions or alliances.</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Additionally, competition within the software industry for acquisitions of businesses, technologies, and assets has been, and may continue to be, intense. As such, even if we are able to identify an acquisition that we would like to pursue, the target may be acquired by another strategic buyer or financial buyer such as a private equity firm, or we may otherwise not be able to complete the acquisition on commercially reasonable terms, if at all. Moreover, in addition to our failure to realize the anticipated benefits of any acquisition, including our revenue or return on investment assumptions, we may be exposed to unknown liabilities or impairment charges to acquired intangible assets and goodwill as a result of acquisitions we do complete.</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the successful development of our global direct sales force and the expansion of our relationships with our strategic partners, sales of our products will suffer and our growth could be slower than we project.</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future growth will depend on the continued recruiting, retention, and training of our global direct sales force and their ability to obtain new customers, both large and small P&amp;C insurers, and to manage our existing customer base. New hires require significant training and may, in some cases, take more than a year before becoming productive, if at all. If we are unable to hire and develop sufficient numbers of productive global direct sales personnel, sales of our products will suffer and our growth will be impeded.</w:t>
      </w:r>
    </w:p>
    <w:p>
      <w:pPr>
        <w:spacing w:after="0" w:line="12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SI partners help us reach additional customers. We believe our future growth also will depend on the retention and expansion of successful relationships with SI partners, including with SI partners that will focus on products we may acquire in the future. Our growth in revenue, particularly in international markets, will be influenced by the development and maintenance of relationships with SI partners, including regional and local SI partners. Although we have established relationships with some of the leading SI partners, our products may compete directly against products that such leading SI partners support or market. Additionally, we are unable to control the quantity or quality of resources that our SI partners commit to migrating or implementing our products, the quality or timeliness of such migrations and implementations, or the effects of global events on our SI partners. If our partners do not commit sufficient or qualified resources to these activities, our customers will be less satisfied, be less supportive with references, or may require the investment of our resources at discounted rates. These, and other failures by our partners to successfully implement our products, would have an adverse effect on our business and our results of operations could fail to grow in line with our projections.</w:t>
      </w:r>
    </w:p>
    <w:p>
      <w:pPr>
        <w:spacing w:after="0" w:line="13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international sales and operations subject us to additional risks that can adversely affect our business, results of operations, and financial condition.</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sell our products to customers located outside the United States, and we are continuing to expand our international operations as part of our growth strategy. In fiscal years 2023, 2022, and 2021, $331.5 million, $296.2 million, and $271.1 million of our revenue, respectively, was from customers outside of the United States. Our current international operations and our plans to expand our international operations subject us to a variety of risks, including:</w:t>
      </w:r>
    </w:p>
    <w:p>
      <w:pPr>
        <w:spacing w:after="0" w:line="122" w:lineRule="exact"/>
        <w:rPr>
          <w:sz w:val="20"/>
          <w:szCs w:val="20"/>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management, travel, infrastructure, legal, and compliance costs associated with having multiple international operations;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unique terms and conditions in contract negotiations imposed by customers in foreign countries;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and difficulties in enforcing contracts and collecting accounts receivable;</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localize our contracts and our products for international customers;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with and unexpected changes in foreign regulatory requirements;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exposure to fluctuations in currency exchange rates, especially on revenue and ARR;</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highly inflationary international economies and related governments, such as Argentina;</w:t>
      </w:r>
    </w:p>
    <w:p>
      <w:pPr>
        <w:spacing w:after="0" w:line="171"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geographic and political conflicts, such as the wars between Israel and Hamas and between Russia and Ukraine and the escalating tensions in the South China Sea;</w:t>
      </w:r>
    </w:p>
    <w:p>
      <w:pPr>
        <w:spacing w:after="0" w:line="107" w:lineRule="exact"/>
        <w:rPr>
          <w:rFonts w:ascii="Times New Roman" w:cs="Times New Roman" w:eastAsia="Times New Roman" w:hAnsi="Times New Roman"/>
          <w:sz w:val="18"/>
          <w:szCs w:val="18"/>
          <w:b w:val="1"/>
          <w:bCs w:val="1"/>
          <w:i w:val="1"/>
          <w:iCs w:val="1"/>
          <w:color w:val="auto"/>
        </w:rPr>
      </w:pPr>
    </w:p>
    <w:p>
      <w:pPr>
        <w:ind w:left="1100" w:right="640" w:hanging="323"/>
        <w:spacing w:after="0" w:line="282" w:lineRule="auto"/>
        <w:tabs>
          <w:tab w:leader="none" w:pos="10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burdens and costs of complying with a wide variety of foreign laws and legal standards, including without limitation any new or evolving laws and regulations relating to the use of data in AI, generative AI, machine learning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technologies, climate-related disclosures, and the General Data Protection Regulation in the European Union (“EU”) and the U.K.;</w:t>
      </w:r>
    </w:p>
    <w:p>
      <w:pPr>
        <w:spacing w:after="0" w:line="171" w:lineRule="exact"/>
        <w:rPr>
          <w:sz w:val="20"/>
          <w:szCs w:val="20"/>
          <w:color w:val="auto"/>
        </w:rPr>
      </w:pPr>
    </w:p>
    <w:p>
      <w:pPr>
        <w:ind w:left="1100" w:hanging="323"/>
        <w:spacing w:after="0" w:line="282"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U.S. Foreign Corrupt Practices Act of 1977, as amended, the U.K. Bribery Act of 2010 and other anti-corruption regulations, particularly in emerging market countries;</w:t>
      </w:r>
    </w:p>
    <w:p>
      <w:pPr>
        <w:spacing w:after="0" w:line="107"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international staff with accounting practices generally accepted in the United States, including adherence to our accounting policies and internal controls;</w:t>
      </w:r>
    </w:p>
    <w:p>
      <w:pPr>
        <w:spacing w:after="0" w:line="107"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license requirements, tariffs, taxes and other trade barriers;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financial accounting, tax and reporting burdens and complexities;</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intellectual property rights in some countries;</w:t>
      </w:r>
    </w:p>
    <w:p>
      <w:pPr>
        <w:spacing w:after="0" w:line="171"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and possibly overlapping tax regimes, including certain Organization for Economic Cooperation and Development (“OECD”) proposals, including the implementation of the global minimum tax under the Pillar Two model rules;</w:t>
      </w:r>
    </w:p>
    <w:p>
      <w:pPr>
        <w:spacing w:after="0" w:line="107"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sanctions that may interfere with our ability to sell into particular countries, such as Russia;</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our operations caused by epidemics or pandemics; and</w:t>
      </w:r>
    </w:p>
    <w:p>
      <w:pPr>
        <w:spacing w:after="0" w:line="171"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social, and economic instability abroad, terrorist attacks, and security concerns in general.</w:t>
      </w:r>
    </w:p>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increase the number of products we offer, increase the number of countries in which we operate, and incorporate new technologies and capabilities into our products (including, without limitation, the use of AI, generative AI and machine learning technologies), the complexity of adjusting our offerings to comply with legal and regulatory changes will increase.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we continue to expand our business globally, our success will depend, in large part, on our ability to anticipate and effectively manage these and other risks associated with our international operations. Any of these risks could harm our international operations and reduce our international sales, adversely affecting our business, results of operations, financial condition and growth prospects.</w:t>
      </w:r>
    </w:p>
    <w:p>
      <w:pPr>
        <w:spacing w:after="0" w:line="11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Incorrect or improper use of our products or our failure to properly train customers on how to utilize our products could result in customer dissatisfaction and negatively affect our business, results of operations, financial condition, and growth prospects.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products are complex and are deployed in a wide variety of environments. The proper use of our products requires training of the customer. If our products are not used correctly or as intended, inadequate performance may result. Our products may also be intentionally misused or abused by customers or their employees or third parties who are able to access or use our products. Because our customers rely on our services, products, and support to manage a wide range of operations, the incorrect or improper use of our products, our failure to properly train customers on how to efficiently and effectively use our products, or our failure to properly provide services to our customers may result in negative publicity or legal claims against us. Also, any failure by us to properly provide training or other services to existing customers will likely result in lost opportunities for follow-on and increased sales of our products.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if there is substantial turnover of customer personnel responsible, especially at the executive level, for the use and support of our products, or if customer personnel are not well trained in the use and support of our products, customers may defer the deployment of our products, may deploy them in a more limited manner than originally anticipated, or may not deploy them at all. Further, if there is substantial turnover of the customer personnel responsible for use of our products, our ability to renew existing licenses and make additional sales may be substantially limited.</w:t>
      </w:r>
    </w:p>
    <w:p>
      <w:pPr>
        <w:spacing w:after="0" w:line="122"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and we may not be able to obtain capital or complete acquisitions through the use of equity without dilution to our stockholders.</w:t>
      </w:r>
    </w:p>
    <w:p>
      <w:pPr>
        <w:spacing w:after="0" w:line="10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may need additional financing to execute on our current or future business strategies, including to develop new or enhance existing products, acquire businesses and technologies, service our existing debt, or otherwise to respond to competitive pressures.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raise additional funds through the issuance of equity or convertible debt securities, the percentage ownership of our existing stockholders could be significantly diluted, and newly issued securities may have rights, preferences, or privileges senior to those of existing stockholders. If we accumulate additional funds through debt financing, a substantial portion of our operating cash flow may be dedicated to the payment of principal and interest on such indebtedness, thus limiting funds available for our business activities. We cannot be assured that additional financing will be available on terms favorable to us, or at all. If adequate funds are not available, or are not available on acceptable terms, when we desire them, our ability to fund our operations, take advantage of unanticipated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opportunities, develop or enhance our products, or otherwise respond to competitive pressures would be significantly limited. Any of these factors could harm our results of operations.</w:t>
      </w:r>
    </w:p>
    <w:p>
      <w:pPr>
        <w:spacing w:after="0" w:line="104"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Data Security and Privacy, Intellectual Property, and Information Technology</w:t>
      </w:r>
    </w:p>
    <w:p>
      <w:pPr>
        <w:spacing w:after="0" w:line="171"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products experience cybersecurity breaches, there is unauthorized access to our customers’ data, or unauthorized use of our products or any of these events are perceived to happen, we may lose current or future customers and our reputation and business may be harmed.</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our security measures are breached, unauthorized access to our or our customers’ data, or unauthorized use of our products or any of these events are perceived to happen, our cloud services may be perceived as not being secure, customers may reduce the use of or stop using our products, we may incur significant liabilities, and our reputation could be harmed. Our products involve the storage and transmission of customer data (including, in some cases, personal data), are involved in the collection and distribution of funds, and may provide business critical analytics necessary for our customers’ operations. Security breaches could result in public disclosure of confidential information, loss or modification of data affecting our customers’ operations, fraud or theft, ransom demands, or other misuse of confidential information, which in turn could result in litigation, breach of contract claims, indemnity</w:t>
      </w:r>
    </w:p>
    <w:p>
      <w:pPr>
        <w:spacing w:after="0" w:line="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obligations, additional reporting requirements and/or oversight, restrictions on processing customer data, and other liabilities for our Company. While we have taken, and are continually updating and enhancing, steps to protect the confidential information and customer data to which we have access, including confidential information we may obtain through our customer support services or customer usage of our cloud-based services, our security measures or the security measures of companies we rely on, such as AWS, could be breached. We rely on third-party technology and systems for a variety of services, including, without limitation, encryption and authentication technology, employee email, content delivery to customers, back-office support, and other functions, and our ability to control or prevent breaches of any of these systems may be beyond our control. Because techniques used to obtain unauthorized access or infiltrate systems change frequently and generally are not identified until they are launched against a target, we may be unable to anticipate these techniques or to implement adequate preventative measures despite our efforts in implementing and deploying security measures. The use of constantly evolving technologies by threat actors, such as the increased use of AI technologies, are sophisticated and complex and may increase the velocity of such threats, frequency of incident cases, and otherwise magnifying the risks associated with these types of attacks. Although we have developed systems and processes designed to protect our and our customers’ data, prevent loss or unauthorized modification of data, ensure only authorized use of services, and other cybersecurity breaches, including systems and processes designed to reduce the impact of a security breach at a third-party vendor, such measures cannot provide absolute security. Any or all of these issues could negatively impact our ability to attract new customers or to increase engagement with existing customers, could cause existing customers to elect not to renew their term licenses or subscription agreements, or could subject us to third-party lawsuits, regulatory fines or other action or liability, thereby adversely affecting our results of operations and reputation.</w:t>
      </w:r>
    </w:p>
    <w:p>
      <w:pPr>
        <w:spacing w:after="0" w:line="13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Privacy concerns could result in regulatory changes and impose additional costs and liabilities on us, limit our use of information, and adversely affect our business.</w:t>
      </w:r>
    </w:p>
    <w:p>
      <w:pPr>
        <w:spacing w:after="0" w:line="1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adoption of our cloud-based products occurs, the amount of customer data, including customer personal information, that we manage, hold, and/or</w:t>
      </w:r>
    </w:p>
    <w:p>
      <w:pPr>
        <w:spacing w:after="0" w:line="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collect continues to increase. In addition, our products may collect, process, store, and use transaction-level data aggregated across insurers using our common data model. We anticipate that over time we will continue to expand the use and collection of personal information as greater amounts of such personal information may be transferred from our customers to us and we recognize that privacy and data security has become a significant issue in the United States, Europe, the U.K., and many other jurisdictions where we operate.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Many federal, state, and foreign legislatures and government agencies have imposed, are considering imposing, or are considering changing restrictions and requirements about the collection, use, and disclosure of personal information. Changes to laws or regulations affecting privacy could impose additional costs and liabilities, including fines, on us and could limit our use of such information to add value for customers, including, for example, the California Consumer Privacy Act and the California Privacy Rights Act, which substantially went into effect on January 1, 2023, other state privacy laws enacted in recent years, and the Court of Justice of the EU’s invalidation of the Privacy Shield framework in July 2020. On July 16, 2020, the Court of Justice of the EU issued a verdict that ruled that the EU-US Privacy Shield, on which many companies relied on to transfer their data between the EU and the U.S., was invalidated due to concerns around surveillance by U.S. state and law enforcement agencies, known as the Schrems II decision. Schrems II now requires companies to conduct case-by-case assessments of each data transfer to a non-EU country in order to ensure that such data is adequately protected. In July of 2023, the European Commission adopted a new adequacy decision in relation to the EU-US Data Privacy Framework (“DPF”), rendering the DPF effective as a General Data Protection Regulation 2016/679 (“GDPR”) transfer mechanism to U.S. entities self-certified under the DPF. We expect the DPF Adequacy Decision to be challenged and international transfers to the U.S. and to other jurisdictions more generally to continue to be subject to enhanced scrutiny by regulators. If we were required to change our business activities or revise or eliminate services, or to implement burdensome compliance measures, our business and results of operations could be harmed. We may be subject to fines, penalties, and potential litigation if we fail to comply with applicable privacy and/or data security laws, regulations, standards, and other requirements. The costs of compliance with and other burdens imposed by privacy-related laws, regulations, and standards may limit the use and adoption of our products and reduce overall demand.</w:t>
      </w:r>
    </w:p>
    <w:p>
      <w:pPr>
        <w:spacing w:after="0" w:line="14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concerns regarding data privacy and/or security may cause our customers’ customers to resist providing the data and information necessary to allow our customers to use our products effectively. Even the perception that the privacy and/or security of personal information is not satisfactorily managed, or does not meet applicable legal, regulatory, and other requirements, could inhibit sales of our services or products, and could limit adoption of our solutions, resulting in a negative impact on our sales, reputation, and results from operations.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Emerging policy and regulatory responses to AI and machine learning and their potential implications for the fields of information technology, data privacy and security may result in increased compliance costs and associated concerns for us.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At present, multiple jurisdictions are taking a heightened interest in AI and machine learning, which we make use of. There has been a recent wave of policy and regulatory responses from various governments rolling out action plans for risk mitigation to legislation being introduced to generally oversee the use of AI. For example, on October 30, 2023, the President of the United States issued an executive order on the Safe, Secure, and Trustworthy Development and Use of Artificial Intelligence, which issued guidelines and standards to certain executive departments for development and deployment of AI. In the EU, the Council of the EU cast its final vote on the EU Artificial Intelligence Act (“EU AI Act”) on May 21, 2024. The EU AI Act establishes a comprehensive, risk-based governance framework for AI in the EU market. The EU AI Act will enter into force twenty days after its publication in the Official Journal of the EU, with entry into force currently expected in June 2024, and the majority of the substantive requirements will apply two years later. The EU AI Act will apply to companies that develop, use and/or provide AI in the EU and includes requirements around transparency, conformity assessments and monitoring, risk assessments, human oversight, security, accuracy, general purpose AI and foundation models, and proposes fines for breach of up to 7% of worldwide annual turnover (revenue). In addition, in 2022, the European Commission proposed two directives seeking to establish a harmonized civil liability regime for AI in the EU, in order to facilitate civil claims in respect of harm caused by AI and to include AI-enabled products within the scope of the EU’s existing strict liability regime.</w:t>
      </w:r>
    </w:p>
    <w:p>
      <w:pPr>
        <w:spacing w:after="0" w:line="13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Compliance with such global laws and regulations, including those relating to rapidly evolving generative AI, has and will continue to require valuable management and employee time and resources, and any actual or perceived failure to comply with these laws and regulations could include severe penalties, reputational harm, and reduce demand for our products.</w:t>
      </w:r>
    </w:p>
    <w:p>
      <w:pPr>
        <w:spacing w:after="0" w:line="118"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concerns in the EU and the U.K. are evolving and we may face fines and other penalties, as well as reputational harm, if we fail to comply with these current and evolving laws, and compliance with these laws may increase our expenses and adversely affect our business and results of operations.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April 27, 2016, the EU adopted the GDPR, that took effect on May 25, 2018. The GDPR applies to any company established in the European Economic Area (“EEA”) as well as to those outside the EEA if they carry out processing of personal data of individuals in the EEA that is related to the offering of goods or services to them or the monitoring of their behavior. The GDPR has enhanced data protection obligations for processors and controllers of personal data, including, for example, expanded disclosures about how personal data is to be used, limitations on retention of personal data, enhanced data subject rights, mandatory data breach notification requirements, and onerous new obligations on data processors. Non-compliance with the GDPR can trigger fines of up to €20 million, or 4% of total worldwide annual revenues, whichever is higher. Given the breadth and depth of changes in data protection obligations, complying with GDPR requirements has caused us to expend significant resources and such expenditures are likely to continue into the near future as we respond to new interpretations, regulatory guidance, and enforcement decisions and as we continue to negotiate data processing agreements with our customers and business partners.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In addition, the GDPR restricts transfers of personal data outside of the EEA to countries deemed to lack adequate privacy protections, including the U.S., unless an appropriate safeguard specified by the GDPR is implemented, such as the Standard Contractual Clauses (“SCCs”) approved by the European Commission and, until July 16, 2020, the Privacy Shield for EU–U.S. data transfers. On July 16, 2020, the European Court of Justice (“ECJ”) invalidated the EU-U.S. Privacy Shield, but it deemed that SCCs are valid, provided additional safeguards are in place. However, the ECJ ruled that transfers made pursuant to SCCs and other alternative transfer mechanisms need to be analyzed on a case-by-case basis to ensure EU standards of data protection are met in the jurisdiction where the data importer is based, and there continue to be concerns about whether SCCs will face additional</w:t>
      </w:r>
    </w:p>
    <w:p>
      <w:pPr>
        <w:spacing w:after="0" w:line="12"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7"/>
          <w:szCs w:val="17"/>
          <w:color w:val="auto"/>
        </w:rPr>
        <w:t>challenges. For transfers to the U.S., the European Commission has now adopted an Adequacy Decision for entities self-certified under the new DPF, rendering the DPF effective as a GDPR transfer mechanism for such entities. However, we expect the existing legal complexity and uncertainty regarding international personal data transfers to continue. In particular, we expect the DPF Adequacy Decision to be challenged and international transfers to the United States and to other jurisdictions more generally to continue to be subject to enhanced scrutiny by regulators. Moreover, on September 8, 2020, the Swiss Federal Data Protection and Information Commissioner announced that it no longer considers the Swiss-U.S. Privacy Shield to provide adequate protections for transfers of Swiss personal data to the U.S., following the invalidation of the EU-U.S. Privacy Shield by the ECJ. Further, on June 4, 2021, the European Commission published revised standard contractual clauses for data transfers from the EEA. We are required to implement the revised standard contractual clauses in relation to our customer arrangements within the relevant time frames, which could increase our compliance costs and adversely affect our business. We (and many other companies) may be required to adopt additional measures to accomplish and maintain legitimate means</w:t>
      </w:r>
    </w:p>
    <w:p>
      <w:pPr>
        <w:spacing w:after="0" w:line="5"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for the transfer and receipt of personal data from the EU to the United States and other countries. As data protection authorities continue to issue further guidance and orders on personal data export mechanisms and/or continue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experience hesitancy, reluctance, or refusal by European or multi-national customers to continue to use our products due to the potential risk exposure to such customers as a result of such developments and the data protection obligations imposed on them by various data protection authorities. Such customers may also view any alternative approaches to the transfer of any personal data as being too costly, too burdensome, or otherwise objectionable, and therefore may decide not to do business with us.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Given our current transition to more cloud-based products and the current data protection landscape in the EU, we may be subject to greater risk of potential inquiries and/or enforcement actions from regulators. We may find it necessary to establish alternative systems to maintain EEA personal data within the EEA, which may involve substantial expense and may cause us to need to divert resources from other aspects of our business, all of which may adversely affect our results from operations. Further, any inability to adequately address privacy concerns in connection with our cloud-based services, or comply with applicable privacy or data protection laws, regulations, and policies, could result in additional cost and liability to us, including fines and harm to our reputation, and adversely affect our ability to offer cloud-based services.</w:t>
      </w:r>
    </w:p>
    <w:p>
      <w:pPr>
        <w:spacing w:after="0" w:line="13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Since January 1, 2021, as a result of Brexit, the U.K. has brought the GDPR into domestic U.K. law with the Data Protection Act 2018 (“U.K. GDPR”), which remains in force. As we are subject to the supervision of relevant data protection authorities under both the GDPR and UK GDPR, we could be fined under each of those regimes independently in respect of the same breach. The U.K. GDPR mirrors the data protection obligations and fines under the GDPR, but there may be further developments about the regulation of particular issues such as U.K. data exports. The United Kingdom’s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We will be required to implement the latest U.K. data transfer documentation for data transfers subject to the U.K. GDPR, in relation to relevant existing contracts and certain additional contracts and customer arrangements, within the relevant time frames. On June 28, 2021, the European Commission adopted an adequacy decision in favor of the U.K., enabling data transfers from EEA member states to the U.K. without additional safeguards. However, the U.K. adequacy decision will automatically expire in June 2025 unless the European Commission re-assesses and renews/extends that decision, and it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Commission reviewing the U.K. adequacy decision, and the U.K. losing its adequacy decision if the Commission deems the U.K. to no longer provide adequate protection for personal data. These changes may lead to additional costs and increase our overall risk exposure.</w:t>
      </w:r>
    </w:p>
    <w:p>
      <w:pPr>
        <w:spacing w:after="0" w:line="14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Anticipated further evolution of EU and U.K. regulations on data privacy and security and any related changes to the regulatory framework in these or other countries may increase substantially our risk exposure to the penalties to which we could be subject in the event of any non-compliance. We may incur substantial expense in complying with the new obligations to be imposed by new regulations and interpretations of existing regulations and we may be required to make significant changes to our software applications and expanding business operations, all of which may adversely affect our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Assertions by third parties of infringement or other violation by us of their intellectual property rights could result in significant costs and substantially harm our business and results of operations.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In particular, leading companies in the software industry own large numbers of patents, copyrights, trademarks, and trade secrets, which they may use to assert claims against us. From time to time, third parties holding such intellectual property rights, including leading companies, competitors, patent holding companies, and/or non-practicing entities, may assert patent, copyright, trademark, or other intellectual property claims against us, our customers and partners, and those from whom we license technology and intellectual property.</w:t>
      </w:r>
    </w:p>
    <w:p>
      <w:pPr>
        <w:spacing w:after="0" w:line="1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believe that our products do not infringe upon the intellectual property rights of third parties, we cannot assure that we are not infringing or otherwise violating any third-party intellectual property rights or that third parties will not assert infringement or misappropriation claims against us with respect to current or future services or products, or that any such assertions will not require us to enter into royalty arrangements, result in costly litigation, or result in us being unable to use certain intellectual property. Infringement assertions from third parties may involve patent holding companies or other patent owners who have no relevant product revenue, and therefore our own issued and pending patents may provide little or no deterrence to these patent owners in bringing intellectual property rights claims against us.</w:t>
      </w:r>
    </w:p>
    <w:p>
      <w:pPr>
        <w:spacing w:after="0" w:line="13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we are forced to defend against any infringement or misappropriation claims, whether they are with or without merit, are settled out of court, or are determined in our favor, we may be required to expend significant time and financial resources on the defense of such claims. Furthermore, an adverse outcome of a dispute may require us to pay damages, potentially including treble damages and attorneys’ fees, if we are found to have willfully infringed a party’s intellectual property; cease making, licensing, or using our services or products that are alleged to infringe or misappropriate the intellectual property of others; expend additional development resources to redesign our services or products; enter into potentially unfavorable royalty or license agreements in order to obtain the right to use necessary technologies or works; and to indemnify our partners, customers, and other third parties. Any of these events could seriously harm our business, results of operations, and financial condition.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protect our intellectual property could substantially harm our business and results of operations.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success depends in part on our ability to enforce and defend our intellectual property rights. We rely upon a combination of trademark, trade secret, copyright, patent, and unfair competition laws, as well as license agreements and other contractual provisions, to do so.</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filed, and may in the future file, patent applications related to certain of our innovations. We do not know whether those patent applications will result in the issuance of a patent or whether the examination process will require us to narrow our claims. In addition, we may not receive competitive advantages from the rights granted under our patents and other intellectual property. Our existing patents and any patents granted to us or that we otherwise acquire in the future, may be contested, circumvented, or invalidated, and we may not be able to prevent third parties from infringing these patents. Therefore, the extent of the protection afforded by these patents cannot be predicted with certainty. In addition, given the costs, effort, risks, and downside of obtaining patent protection, including the requirement to ultimately disclose the invention to the public, we may choose not to seek patent protection for certain innovations; however, such patent protection could later prove to be important to our business.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also rely on several registered and unregistered trademarks to protect our brand. Nevertheless, competitors may adopt service names similar to ours, or purchase our trademarks and confusingly similar terms as keywords in internet search engine advertising programs, thereby impeding our ability to build brand identity and possibly leading to confusion in the marketplace. In addition, there could be potential trade name or trademark infringement claims brought by owners of other registered trademarks or trademarks that incorporate variations of our trademarks. Any claims or customer confusion related to our trademarks could damage our reputation and brand and substantially harm our business and results of operations.</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attempt to protect our intellectual property, technology, and confidential information by generally requiring our employees and consultants to enter into confidentiality agreements and assignment of inventions agreements and third parties to enter into nondisclosure agreements, all of which offer only limited protection. These agreements may not effectively prevent unauthorized use or disclosure of our confidential information, intellectual property or technology and may not provide an adequate remedy in the event of unauthorized use or disclosure of our confidential information, intellectual property, or technology. Despite our efforts to protect our confidential information, intellectual property, and technology, unauthorized third parties may gain access to our confidential proprietary information, develop and market services or products similar to ours, or use trademarks similar to ours, any of which could materially harm our business and results of operations. In addition, others may independently discover our trade secrets and confidential information, and in such cases, we could not assert any trade secret rights against such parties. Existing United States federal, state, and international intellectual property laws offer only limited protection. The laws of some foreign countries do not protect our intellectual property rights to as great an extent as the laws of the United States, and many foreign countries do not enforce these laws as diligently as governmental agencies and private parties in the United States. Moreover, policing our intellectual property rights is difficult, costly, and may not always be effective.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reputation, results of operations, and financial condition. If we are unable to protect our technology and to adequately maintain and protect our intellectual property rights, we may find ourselves at a competitive disadvantage to others who need not incur the additional expense, time, and effort required to create the innovative products that have enabled us to be successful to date.</w:t>
      </w:r>
    </w:p>
    <w:p>
      <w:pPr>
        <w:spacing w:after="0" w:line="129"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our customers rely on technology and intellectual property of third parties, the loss of which could limit the functionality of our products and disrupt our business.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use technology and intellectual property licensed from unaffiliated third parties in certain of our products, and we may license additional third-party technology and intellectual property in the future. Any errors, defects or security issues in this third-party technology and intellectual property or the integration of third-party technology and intellectual property with our products could result in errors that could harm our brand and business. Moreover, licensed technology and intellectual property may not continue to be available on commercially reasonable terms, or at all, or otherwise will be subject to restrictions that under applicable law could adversely affect our proprietary software. The loss of the right to license and distribute this third-party technology could limit the functionality of our products and might require us to redesign our products.</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our Guidewire Cloud offerings rely on third-party hosting and infrastructure services provided by Amazon Web Services (“AWS”), for the continuous, reliable, and secure operation of servers, related hardware and software, and network infrastructure. A prolonged AWS service disruption or slowdown for any reason could damage our reputation with current and potential customers, expose us to liability, cause us to lose customers, or otherwise harm our business.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technologies may use “open source” software, which may restrict how we use or distribute our services or require that we release the source code of certain products subject to those licenses.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Some of our products and technologies may incorporate software licensed under so-called “open source” licenses. In addition to risks related to license requirements, usage of open source software can lead to greater risks than use of third-party commercial software, as open source licensors generally do not provide warranties or controls on origin of the software. Additionally, some open source licenses require that source code subject to the license be made available to the public and that any modifications or derivative works to open source software continue to be licensed under open source licenses. These open source licenses typically mandate that proprietary software, when combined in specific ways with open source software, become subject to the open source license. If we combine our proprietary software in such ways with open source software, we could be required to release the source code of our proprietary software. Further, this third-party technology and intellectual property has the potential for security-related concerns, given that we do not create or maintain such third-party technology and intellectual property that may be exposed to unknown future security risks, such as the Log4j vulnerability.</w:t>
      </w:r>
    </w:p>
    <w:p>
      <w:pPr>
        <w:spacing w:after="0" w:line="13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take steps to ensure that our proprietary software is not combined with, and does not incorporate, open source software in ways that would require our proprietary software to be subject to many of the restrictions in an open source license. However, few courts have interpreted open source licenses, and the manner in which these licenses may be interpreted and enforced is therefore subject to some uncertainty. Additionally, we rely on hundreds of software programmers to design our proprietary technologies, and although we take steps to prevent our programmers from including objectionable open source software in the technologies and software code that they design, write and modify, we do not exercise complete control over the development efforts of our programmers and we cannot be certain that our programmers have not incorporated such open source software into our proprietary products and technologies or that they will not do so in the future. In the event that portions of our proprietary technology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services and technologies and materially and adversely affect our business, results of operations, and prospects.</w:t>
      </w:r>
    </w:p>
    <w:p>
      <w:pPr>
        <w:spacing w:after="0" w:line="136"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obligated to disclose our proprietary source code to our customers, which may limit our ability to protect our intellectual property and could reduce the renewals of our support services.</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software license agreements typically contain provisions permitting the customer to become a party to, or a beneficiary of, a source code escrow agreement under which we place the proprietary source code for our applicable products in escrow with a third party. Under these escrow agreements, the source code to the applicable product may be released to the customer, typically for its use to maintain, modify, and enhance the product, upon the occurrence of specified events, such as our filing for bankruptcy, discontinuance of our support services, and breaching our representations, warranties, or covenants of our agreements with our customers. Additionally, in some cases, customers have the right to request access to our source code upon demand. Some of our customers have obtained the source code for certain of our products by exercising this right, and others may do so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Disclosing the content of our source code may limit the intellectual property protection we can obtain or maintain for that source code or the products containing that source code and may facilitate intellectual property infringement claims against us. It also could permit a customer to which a product’s source code is disclosed to support and maintain that software product without being required to purchase our support services. Each of these could harm our business, results of operations, and financial condition.</w:t>
      </w:r>
    </w:p>
    <w:p>
      <w:pPr>
        <w:spacing w:after="0" w:line="122"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Legal, Regulatory, Accounting, and Tax Matters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accounting guidance that requires management to make estimates and assumptions.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results under United States Generally Accepted Accounting Principles (“GAAP”) may vary from key metrics used to measure our business.</w:t>
      </w:r>
    </w:p>
    <w:p>
      <w:pPr>
        <w:spacing w:after="0" w:line="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Additionally, changes in accounting guidance may cause us to experience greater volatility in our quarterly and annual results. If we are unsuccessful in adapting to and interpreting the requirements of new guidance, or in clearly explaining to stockholders how new guidance affects reporting of our results of operations, our stock price may decline.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GAAP. These accounting principles are subject to interpretation by the SEC, Financial Accounting Standards Board (“FASB”), and various bodies formed to interpret and create accounting rules and regulations. Accounting standards, or the guidance relating to interpretation and adoption of standards, could have a significant effect on our financial results and could affect our business. Additionally, the FASB and the SEC are focused on the integrity of financial reporting, and our accounting policies are subject to scrutiny by regulators and the public.</w:t>
      </w:r>
    </w:p>
    <w:p>
      <w:pPr>
        <w:spacing w:after="0" w:line="1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cannot predict the impact of future changes to accounting principles or our related accounting policies on our financial statements going forward. In addition, were we to change our accounting estimates, including those related to the timing of revenue recognition and those used to allocate revenue between various performance obligations, our reported revenue and results of operations could be significantly impacted. If we are unsuccessful in adapting to the requirements of any new standard, or if changes to our go-to-market strategy create new risks, then we may experience greater volatility in our quarterly and annual results, which may cause our stock price to decline.</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GAAP requires management to make estimates and assumptions that affect the amounts reported in the consolidated financial statements.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revenue recognition standards require significant judgment and estimates that impact our reported revenue and results of operations.</w:t>
      </w:r>
    </w:p>
    <w:p>
      <w:pPr>
        <w:spacing w:after="0" w:line="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reported revenue has and will vary from the ARR, a non-GAAP metric, and cash flow associated with each customer agreement. For example, for some arrangements with multiple performance obligations, a portion of recurring license and support or subscription contract value is allocated to services revenue for revenue recognition purposes, but does not get allocated for purposes of calculating ARR. This revenue allocation only impacts the initial term of the contract. This means that as we increase arrangements with multiple performance obligations that include services at discounted rates, more of the total contract value will be recognized as services revenue, but our reported ARR amount will not be impacted. This potential difference and variability in the trends of reported amounts may cause volatility in our stock price.</w:t>
      </w:r>
    </w:p>
    <w:p>
      <w:pPr>
        <w:spacing w:after="0" w:line="12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 over financial reporting or identify a material weakness in our internal control over financial reporting, our ability to report our financial condition and results of operations in a timely and accurate manner could be adversely affected, investor confidence in our Company could diminish, and the value of our common stock may decline.</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Preparing our consolidated financial statements involves a number of complex manual and automated processes, which are dependent upon individual data input or review and require significant management judgment. One or more of these processes may result in errors that may not be detected and could result in a material misstatement of our consolidated financial statements. The Sarbanes-Oxley Act of 2002 (the “Sarbanes-Oxley Act”) requires, among other things, that as a publicly traded company we disclose whether our internal control over financial reporting and disclosure controls and procedures are effective.</w:t>
      </w:r>
    </w:p>
    <w:p>
      <w:pPr>
        <w:spacing w:after="0" w:line="1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While we continually undertake steps to improve our internal control over financial reporting as our business changes, we may not be successful in making the improvements and changes necessary to be able to identify and remediate control deficiencies or material weaknesses on a timely basis. If we are unable to successfully remediate any future material weaknesses in our internal control over financial reporting, the accuracy and timing of our financial reporting may be adversely affected; our liquidity, access to capital markets and perceptions of our creditworthiness may be adversely affected; we may be unable to maintain compliance with securities laws, stock exchange listing requirements and debt instruments covenants regarding the timely filing of periodic reports; we may be subject to regulatory investigations and penalties; investors may lose confidence in our financial reporting; we may suffer defaults under our debt instruments; and our stock price may decline.</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tax laws change or we experience adverse outcomes resulting from examination of our income tax returns, it could adversely affect our results of operations.</w:t>
      </w:r>
    </w:p>
    <w:p>
      <w:pPr>
        <w:spacing w:after="0" w:line="10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federal, state, and local income taxes in the United States and in foreign jurisdictions. Our future effective tax rates and the value of our deferred tax assets could be adversely affected by changes in, interpretations of, and guidance regarding tax laws, including impacts of the Tax Cuts and Jobs Act of 2017, the Coronavirus Aid, Relief, Economic Security Act of 2020, the Inflation Reduction Act of 2022, and certain OECD proposals, including the implementation of the global minimum tax under the Pillar Two model rules.</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examination of our income tax returns by the IRS and other tax authorities. We regularly assess the likelihood of adverse outcomes resulting from such examinations to determine the adequacy of our provision for income taxes. Significant judgment is required in determining our worldwide provision for income taxes. Although we believe we have made appropriate provisions for taxes in the jurisdictions in which we operate, changes in the tax laws or challenges from tax authorities under existing tax laws could adversely affect our business, financial condition and results of operations.</w:t>
      </w:r>
    </w:p>
    <w:p>
      <w:pPr>
        <w:spacing w:after="0" w:line="125" w:lineRule="exact"/>
        <w:rPr>
          <w:sz w:val="20"/>
          <w:szCs w:val="20"/>
          <w:color w:val="auto"/>
        </w:rPr>
      </w:pPr>
    </w:p>
    <w:p>
      <w:pPr>
        <w:ind w:left="340" w:right="3480" w:firstLine="3487"/>
        <w:spacing w:after="0" w:line="466" w:lineRule="auto"/>
        <w:rPr>
          <w:sz w:val="20"/>
          <w:szCs w:val="20"/>
          <w:color w:val="auto"/>
        </w:rPr>
      </w:pPr>
      <w:r>
        <w:rPr>
          <w:rFonts w:ascii="Times New Roman" w:cs="Times New Roman" w:eastAsia="Times New Roman" w:hAnsi="Times New Roman"/>
          <w:sz w:val="17"/>
          <w:szCs w:val="17"/>
          <w:b w:val="1"/>
          <w:bCs w:val="1"/>
          <w:u w:val="single" w:color="auto"/>
          <w:color w:val="auto"/>
        </w:rPr>
        <w:t xml:space="preserve">Risks Related to Ownership of Our Common Stock </w:t>
      </w:r>
      <w:r>
        <w:rPr>
          <w:rFonts w:ascii="Times New Roman" w:cs="Times New Roman" w:eastAsia="Times New Roman" w:hAnsi="Times New Roman"/>
          <w:sz w:val="17"/>
          <w:szCs w:val="17"/>
          <w:b w:val="1"/>
          <w:bCs w:val="1"/>
          <w:i w:val="1"/>
          <w:iCs w:val="1"/>
          <w:color w:val="auto"/>
        </w:rPr>
        <w:t>Our stock price may be volatile, which could result in securities class action litigation against us.</w:t>
      </w:r>
    </w:p>
    <w:p>
      <w:pPr>
        <w:spacing w:after="0" w:line="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could be subject to wide fluctuations in response to, among other things, the risk factors described in this report, the timing and amount of any share repurchases by us, and other factors beyond our control, such as fluctuations in the valuation of companies perceived by investors to be comparable to us and research analyst coverage about our business.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inflation or deflation, armed conflict, international currency fluctuations, or other global events have and may continue to affect the market price of our common stock.</w:t>
      </w:r>
    </w:p>
    <w:p>
      <w:pPr>
        <w:spacing w:after="0" w:line="16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the past, we and many companies that have experienced volatility in the market price of their stock have been subject to securities class action litigation and we may become the target of complaints of this type of litigation in the future. Securities litigation against us could result in substantial costs and divert our management’s attention from our business, which could seriously harm our business, results of operations, and financial condition.</w:t>
      </w:r>
    </w:p>
    <w:p>
      <w:pPr>
        <w:spacing w:after="0" w:line="11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do not intend to pay dividends on our common stock and, consequently, the only opportunity to achieve a return on investment is if the price of our common stock appreciates.</w:t>
      </w:r>
    </w:p>
    <w:p>
      <w:pPr>
        <w:spacing w:after="0" w:line="10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currently do not plan to declare dividends on shares of our common stock in the foreseeable future. Consequently, the only opportunity to achieve a return on investment in our Company will be if the market price of our common stock appreciates and shares are sold at a profit.</w:t>
      </w:r>
    </w:p>
    <w:p>
      <w:pPr>
        <w:spacing w:after="0" w:line="10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certificate of incorporation and bylaws and of Delaware law could prevent a takeover that stockholders consider favorable and could also reduce the market price of our stock.</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our amended and restated bylaws contain provisions that could delay or prevent a merger, acquisition, or other change in control that stockholders may consider favorable, including transactions in which stockholders might otherwise receive a premium for their shares. These provisions may also prevent or delay attempts by stockholders to replace or remove our current management or members of our board of directors. These provisions include:</w:t>
      </w:r>
    </w:p>
    <w:p>
      <w:pPr>
        <w:spacing w:after="0" w:line="126" w:lineRule="exact"/>
        <w:rPr>
          <w:sz w:val="20"/>
          <w:szCs w:val="20"/>
          <w:color w:val="auto"/>
        </w:rPr>
      </w:pPr>
    </w:p>
    <w:p>
      <w:pPr>
        <w:ind w:left="1100" w:hanging="323"/>
        <w:spacing w:after="0"/>
        <w:tabs>
          <w:tab w:leader="none" w:pos="1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providing for cumulative voting in the election of directors, which limits the ability of minority stockholders to elect director candidates;</w:t>
      </w:r>
    </w:p>
    <w:p>
      <w:pPr>
        <w:spacing w:after="0" w:line="171"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our board of directors to issue, without stockholder approval, preferred stock rights senior to those of common stock, which could be used to significantly dilute the ownership of a hostile acquirer;</w:t>
      </w:r>
    </w:p>
    <w:p>
      <w:pPr>
        <w:spacing w:after="0" w:line="107"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which forces stockholder action to be taken at an annual or special meeting of our stockholders;</w:t>
      </w:r>
    </w:p>
    <w:p>
      <w:pPr>
        <w:spacing w:after="0" w:line="107"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persons who may call special meetings of stockholders, which could delay the ability of our stockholders to force consideration of a proposal or to take action, including the removal of directors;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100" w:hanging="323"/>
        <w:spacing w:after="0" w:line="282" w:lineRule="auto"/>
        <w:tabs>
          <w:tab w:leader="none" w:pos="10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advance notification of stockholder nominations and proposals, which may discourage or deter a potential acquirer from conducting a solicitation of proxies to elect the acquirer’s own slate of directors or otherwise attempting to obtain control of us.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at least a majority of our shares of capital stock entitled to vote is generally necessary to amend or repeal the above provisions that are contained in our amended and restated certificate of incorporation. Also, absent approval of our board of directors, our amended and restated bylaws may only be amended or repealed by the affirmative vote of the holders of at least 50% of our shares of capital stock entitled to vote.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These provisions may prohibit large stockholders, in particular those owning 15% or more of our outstanding common stock, from engaging in certain business combinations without approval of substantially all of our stockholders for a certain period of time.</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our amended and restated bylaws, and under Delaware law could discourage potential takeover attempts, reduce the price that investors might be willing to pay for shares of our common stock in the future, and result in the market price of our shares being lower than it would be without these provisions.</w:t>
      </w:r>
    </w:p>
    <w:p>
      <w:pPr>
        <w:spacing w:after="0" w:line="118"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designate certain state or federal courts as the exclusive forum for certain litigation that may be initiated by our stockholders, which could limit stockholders’ ability to obtain a favorable judicial forum for disputes with us.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amended and restated bylaws provide that, unless we consent in writing to the selection of an alternative forum, to the fullest extent permitted by law, the Court of Chancery of the State of Delaware will be the sole and exclusive forum for any state law claim for:</w:t>
      </w:r>
    </w:p>
    <w:p>
      <w:pPr>
        <w:spacing w:after="0" w:line="108" w:lineRule="exact"/>
        <w:rPr>
          <w:sz w:val="20"/>
          <w:szCs w:val="20"/>
          <w:color w:val="auto"/>
        </w:rPr>
      </w:pPr>
    </w:p>
    <w:p>
      <w:pPr>
        <w:ind w:left="1100" w:hanging="323"/>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71"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of breach of a fiduciary duty owed by any of our directors, officers, or other employees to us or our stockholders;</w:t>
      </w:r>
    </w:p>
    <w:p>
      <w:pPr>
        <w:spacing w:after="0" w:line="107" w:lineRule="exact"/>
        <w:rPr>
          <w:rFonts w:ascii="Times New Roman" w:cs="Times New Roman" w:eastAsia="Times New Roman" w:hAnsi="Times New Roman"/>
          <w:sz w:val="18"/>
          <w:szCs w:val="18"/>
          <w:color w:val="auto"/>
        </w:rPr>
      </w:pPr>
    </w:p>
    <w:p>
      <w:pPr>
        <w:ind w:left="1100" w:hanging="323"/>
        <w:spacing w:after="0" w:line="282" w:lineRule="auto"/>
        <w:tabs>
          <w:tab w:leader="none" w:pos="10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arising pursuant to the Delaware General Corporation Law, our amended and restated certificate of incorporation or our amended and restated bylaws; or</w:t>
      </w:r>
    </w:p>
    <w:p>
      <w:pPr>
        <w:spacing w:after="0" w:line="107" w:lineRule="exact"/>
        <w:rPr>
          <w:rFonts w:ascii="Times New Roman" w:cs="Times New Roman" w:eastAsia="Times New Roman" w:hAnsi="Times New Roman"/>
          <w:sz w:val="18"/>
          <w:szCs w:val="18"/>
          <w:color w:val="auto"/>
        </w:rPr>
      </w:pPr>
    </w:p>
    <w:p>
      <w:pPr>
        <w:ind w:left="1100" w:hanging="323"/>
        <w:spacing w:after="0"/>
        <w:tabs>
          <w:tab w:leader="none" w:pos="11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that is governed by the internal affairs doctrine (the “Delaware Forum Provision”).</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Delaware Forum Provision will not apply to any causes of action arising under the Securities Act or the Exchange Act. Further, our amended and restated bylaws provide that, unless we consent in writing to the selection of an alternative forum, the United States District Court for the Northern District of California will be the sole and exclusive forum for resolving any complaint asserting a cause of action arising under the Securities Act (the “Federal Forum Provision”), as we are based in the State of California.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35"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The Delaware Forum Provision and the Federal Forum Provision in our amended and restated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(including, without limitation, any claims in respect of stockholder nominations of directors as permitted under our amended and restated bylaws), which may discourage the filing of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United States District Court for the Northern District of California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32"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it will enhance stockholder value, and share repurchases could affect the price of our common stock</w:t>
      </w:r>
    </w:p>
    <w:p>
      <w:pPr>
        <w:spacing w:after="0" w:line="10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September 2022, our board of directors authorized and approved a share repurchase program of up to $400.0 million of our outstanding common stock. As of April 30, 2024, $138.2 million of the share repurchase program remained available for future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6" w:name="page67"/>
    <w:bookmarkEnd w:id="6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repurchases. Share repurchases under the program may be made from time to time, in the open market, in privately negotiated transactions and otherwise, at the discretion of management and in accordance with applicable federal securities laws, including Rule 10b-18 of the Exchange Act, and other applicable legal requirements. Such repurchases may also be made in compliance with Rule 10b5-1 trading plans entered into by us. The timing, pricing, and size of these repurchases will depend on a number of factors, including the market price of our common stock and general market and economic conditions. The share repurchase program does not obligate us to repurchase any dollar amount or number of shares, and the program may be suspended or discontinued at any time, which may result in a decrease in the price of our common stock. The share repurchase program could affect the price of our common stock, increase volatility, and diminish our cash reserves.</w:t>
      </w:r>
    </w:p>
    <w:p>
      <w:pPr>
        <w:spacing w:after="0" w:line="131"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b w:val="1"/>
          <w:bCs w:val="1"/>
          <w:u w:val="single" w:color="auto"/>
          <w:color w:val="auto"/>
        </w:rPr>
        <w:t>General Risk Factors</w:t>
      </w:r>
    </w:p>
    <w:p>
      <w:pPr>
        <w:spacing w:after="0" w:line="17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retain our personnel and hire and integrate additional skilled personnel, we may be unable to achieve our goals and our business will suffer.</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future success depends upon our ability to continue to attract, train, integrate, and retain highly skilled employees, particularly our executive officers, sales and marketing personnel, professional services personnel, cloud operations personnel, and software engineers, especially as we transition to a business model focused on delivering cloud-based offerings. Additionally, our stakeholders increasingly expect us to have a culture that embraces diversity, inclusion, and belonging. Our inability to attract and retain diverse and qualified personnel, or delays in hiring required personnel, may seriously harm our business, results of operations, and financial condition. If U.S. immigration policy related to skilled foreign workers were materially adjusted, such a change could hamper our efforts to hire highly skilled foreign employees, including highly specialized engineers, which would adversely impact our business.</w:t>
      </w:r>
    </w:p>
    <w:p>
      <w:pPr>
        <w:spacing w:after="0" w:line="135" w:lineRule="exact"/>
        <w:rPr>
          <w:sz w:val="20"/>
          <w:szCs w:val="20"/>
          <w:color w:val="auto"/>
        </w:rPr>
      </w:pPr>
    </w:p>
    <w:p>
      <w:pPr>
        <w:jc w:val="both"/>
        <w:ind w:firstLine="324"/>
        <w:spacing w:after="0" w:line="273" w:lineRule="auto"/>
        <w:rPr>
          <w:sz w:val="20"/>
          <w:szCs w:val="20"/>
          <w:color w:val="auto"/>
        </w:rPr>
      </w:pPr>
      <w:r>
        <w:rPr>
          <w:rFonts w:ascii="Times New Roman" w:cs="Times New Roman" w:eastAsia="Times New Roman" w:hAnsi="Times New Roman"/>
          <w:sz w:val="18"/>
          <w:szCs w:val="18"/>
          <w:color w:val="auto"/>
        </w:rPr>
        <w:t>Any one of our executive officers and other key employees could terminate his or her relationship with us at any time. The loss of one or more of our executive officers or key employees, and any failure to have in place and execute an effective succession plan for key executive officers, could significantly</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delay or prevent us from achieving our business and/or development objectives and could disrupt or materially harm our business. Although we strive to reduce the challenges of any transition, failure to ensure effective transfer of knowledge and a smooth transition could disrupt or adversely affect our business, results of operations, financial condition, and prospects.</w:t>
      </w:r>
    </w:p>
    <w:p>
      <w:pPr>
        <w:spacing w:after="0" w:line="12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face competition for qualified individuals from numerous software and other technology companies. Competition for qualified personnel is particularly intense in the San Francisco Bay Area, where our headquarters are located, though we also face significant competition in all of our domestic and foreign development centers. Further, significant amounts of time and resources are required to train technical, sales, services, operations, and other personnel. We may incur significant costs to attract, train, and retain such personnel, and we may lose new employees to our competitors or other technology companies before we realize the benefit of our investment after recruiting and training them.</w:t>
      </w:r>
    </w:p>
    <w:p>
      <w:pPr>
        <w:spacing w:after="0" w:line="1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Also, to the extent that we hire personnel from competitors, we may be subject to allegations that such personnel have been improperly solicited or have divulged proprietary or other confidential information. In addition, we have a limited number of sales people and the loss of several sales people within a short period of time could have a negative impact on our sales efforts. Additionally, current global events and recent economic conditions have increased attrition and decreased the number of available candidates for open positions, which has increased the time to identify and hire new employees. We may be unable to attract and retain suitably qualified individuals who are capable of meeting our growing technical, operational, and managerial requirements, including managing employees and contractors remotely or in a hybrid environment, or we may be required to pay increased compensation in order to do so.</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Further, our ability to expand geographically depends, in large part, on our ability to attract, retain, and integrate managers with the appropriate skills to lead the local business and employees. Similarly, our profitability depends on our ability to effectively utilize personnel with the right mix of skills and experience to perform services for our clients, including our ability to transition employees to new assignments on a timely basis. If we are unable to effectively deploy our employees globally on a timely basis to fulfill the needs of our clients, our reputation could suffer and our ability to attract new clients may be harmed.</w:t>
      </w:r>
    </w:p>
    <w:p>
      <w:pPr>
        <w:spacing w:after="0" w:line="1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of the technical nature of our products and the dynamic market in which we compete, any failure to attract, integrate, and retain qualified direct sales, professional services, cloud operations, and product development personnel, as well as our contract workers, could harm our ability to generate sales, deliver consulting services, manage our customers’ cloud environments, or successfully develop new products and enhancements of existing products.</w:t>
      </w:r>
    </w:p>
    <w:p>
      <w:pPr>
        <w:spacing w:after="0" w:line="122"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Increased and complex scrutiny of environmental, social, and governance (“ESG”) matters may require us to incur additional costs or otherwise adversely impact our business.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Increased investor, governmental, and societal attention to and expectations around the wide range of issues generally referred to as ESG matters and our response to the same, may result in increased costs (including, but not limited to, increased costs related to</w:t>
      </w:r>
    </w:p>
    <w:p>
      <w:pPr>
        <w:sectPr>
          <w:pgSz w:w="11900" w:h="16838" w:orient="portrait"/>
          <w:cols w:equalWidth="0" w:num="1">
            <w:col w:w="11240"/>
          </w:cols>
          <w:pgMar w:left="320" w:top="283"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7" w:name="page68"/>
    <w:bookmarkEnd w:id="6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stakeholder engagement and contracting), impact our reputation, or otherwise negatively affect our business performance. In addition, organizations that provide information to investors on corporate governance and related matters have developed ratings processes for evaluating companies on ESG matters, while other organizations are pushing corporations not to focus on ESG matters in decision making. Both unfavorable ESG ratings and engaging in activities designed to improve such ratings could lead to negative investor sentiment toward us and/or our industry, which could have a negative impact on our access to and costs of capital. To the extent ESG matters negatively impact our reputation, we may also not be able to compete as effectively to recruit or retain employees. We may take certain actions in relation to ESG matters in response to stakeholder demand; however, such actions may be costly or be subject to numerous conditions that are outside our control, and we cannot guarantee that such actions will have the desired effect or outcome.</w:t>
      </w:r>
    </w:p>
    <w:p>
      <w:pPr>
        <w:spacing w:after="0" w:line="13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Moreover, while we may create and publish voluntary disclosures regarding ESG matters (in particular, information related to environmental and human capital matters) from time to time, many of the statements in such voluntary disclosures are based on certain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environmental and human capital matters. Such disclosures may also be at least partially reliant on third-party information that we have not independently verified or that otherwise cannot be independently verified.</w:t>
      </w:r>
    </w:p>
    <w:p>
      <w:pPr>
        <w:spacing w:after="0" w:line="13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Statements about our environmental and human capital initiatives and goals, and progress against those goals, may be based on standards for measuring progress that are still developing, internal controls and processes that continue to evolve, and assumptions that are subject to change in the future. If our related data, processing and reporting are incomplete or otherwise inaccurate, or if we fail to achieve progress on certain metrics on a timely basis, our reputation, business, financial performance and growth could be adversely affected.</w:t>
      </w:r>
    </w:p>
    <w:p>
      <w:pPr>
        <w:spacing w:after="0" w:line="12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we expect there will likely be increasing levels of regulation, disclosure-related and otherwise, with respect to ESG matters, and increased regulation, including the recently adopted rules to enhance and standardize climate-related disclosures for investors by the SEC and the related laws passed by the State of California, will likely lead to increased compliance costs as well as scrutiny that could heighten all of the associated risks identified in this risk factor. Such compliance matters may also impact our customers, which could adversely impact our business, financial condition, or results of operations.</w:t>
      </w:r>
    </w:p>
    <w:p>
      <w:pPr>
        <w:spacing w:after="0" w:line="125"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customers may defer or forego purchases of our services or products in the event of weakened global economic conditions, political transitions, and industry consolidation.</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General worldwide economic conditions remain unstable, and prolonged economic uncertainties or downturns could harm our business, results of operations, or financial condition. In particular, global inflation concerns, ongoing conflicts such as the wars between Israel and Hamas and between Russia and Ukraine, the occurrence of regional epidemics or a global pandemic and related public health measures, and escalating tensions in the South China Sea, have created and may continue to create global economic uncertainty in regions in which we have significant operations. These conditions may make it difficult for our customers and us to forecast and plan future business activities accurately, and could cause our customers to reevaluate their decision to purchase our products, which could delay and lengthen our sales cycles, delay or increase pricing pressures on services engagements, or result in cancellations of planned purchases. Moreover, during challenging economic times our customers may face issues in gaining timely access to sufficient credit, which could result in an impairment of their ability to make timely payments to us. If that were to occur, we may not receive amounts owed to us and may be required to record an accounts receivable allowance, which would adversely affect our financial results. A substantial downturn in the P&amp;C insurance industry may cause firms to react to worsening conditions by reducing their capital expenditures, reducing their spending on information technology, delaying or canceling information technology projects, or seeking to lower their costs by renegotiating vendor contracts. Negative or worsening conditions in the general economy both in the United States and abroad, including conditions resulting from financial and credit market fluctuations and inflation, could cause a decrease in corporate spending on enterprise software in general, and in the insurance industry specifically, and negatively affect the rate of growth of our business.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increased pace of consolidation in the P&amp;C insurance industry may result in reduced overall spending on our products and professional services. Acquisitions of customers or potential customers can delay or cancel sales cycles or result in existing arrangements not being renewed and because we cannot predict the timing or duration of such acquisitions, our results of operations could be materially impacted.</w:t>
      </w:r>
    </w:p>
    <w:p>
      <w:pPr>
        <w:spacing w:after="0" w:line="118"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Factors outside of our control, including, but not limited to, natural catastrophes, the geopolitical landscape, and terrorism may adversely impact the P&amp;C insurance industry, preventing us from expanding or maintaining our existing customer base and increasing our revenue. Our business is subject to the risks of earthquakes, fire, floods, and other natural catastrophic events, and to interruption by man-made problems such as computer viruses.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8" w:name="page69"/>
    <w:bookmarkEnd w:id="6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customers are P&amp;C insurers that have experienced, and will likely experience in the future, losses from catastrophes or terrorism that may adversely impact their businesses. Catastrophes can be caused by various events, including, without limitation, hurricanes, tsunamis, floods, windstorms, earthquakes, hail, tornadoes, explosions, severe weather, excessive heat, epidemics, pandemics, and fires. Climate change and other environmental factors are contributing to an increase in erratic weather patterns globally and intensifying the impact of certain types of catastrophes. Moreover, acts of terrorism or armed conflict or uncertainty in the geopolitical landscape, including as a result of escalation in the ongoing conflicts such as the wars between Israel and Hamas and between Russia and Ukraine as well as the escalation of tensions in the South China Sea, could cause disruptions to our business or our customers’ businesses or the economy as a whole. The risks associated with natural catastrophes, the geopolitical landscape, and terrorism are inherently unpredictable, and it is difficult to forecast the timing of such events or estimate the amount of losses they will generate. In recent years, for example, various parts of the United States have suffered extensive damage due to hurricanes, droughts, floods, severe heat and cold events, fires, and other natural disasters, the island of Maui in the State of Hawaii has experienced severe fires, Turkey and Syria have experienced severe earthquakes, Germany, Pakistan, and other parts of Europe have experienced flooding, Canada has experienced fires, and Australia has experienced extensive damage due to fires and flooding. The combined and expected effect of those losses on P&amp;C insurers is significant. Such losses and losses due to future events may adversely impact our current or potential customers, which may prevent us from maintaining or expanding our customer base and increasing our revenue, as such events may cause customers to postpone purchases and professional service engagements or to discontinue existing projects.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corporate headquarters and the majority of our operations are located in the San Francisco Bay Area, a region known for seismic activity and rising ocean levels and near an area subject to severe fire damage. A significant natural disaster, such as an earthquake, tsunami, fire, flood, epidemic, or pandemic could have a material adverse impact on our business, results of operations, and financial condition.</w:t>
      </w:r>
    </w:p>
    <w:p>
      <w:pPr>
        <w:spacing w:after="0" w:line="12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information technology systems are vulnerable to computer viruses, break-ins, and similar disruptions from unauthorized tampering, such as the Log4j vulnerability. To the extent that such disruptions result in delays or cancellations of customer orders or collections, or the deployment or availability of our products, our business, results of operations, and financial condition would be adversely affected.</w:t>
      </w:r>
    </w:p>
    <w:p>
      <w:pPr>
        <w:spacing w:after="0" w:line="11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Adverse developments affecting certain financial institutions, as well as the banking system as a whole, could negatively affect our current and projected business operations and our financial condition and results of operations.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Adverse developments that may affect certain financial institutions and the banking system as a whole, such as events involving liquidity that are either rumored or actual, have in the past and may in the future lead to bank failures and market-wide liquidity concerns. On March 10, 2023, Silicon Valley Bank was closed by the California Department of Financial Protection and Innovation, which appointed the Federal Deposit Insurance Corporation as receiver. Up until March of 2023, our primary banking partner in the United States was Silicon Valley Bank. Since such time, we have further diversified our banking relationships. In connection with such developments, we have not experienced any material adverse impact to our cash flow or to our current and projected business operations, financial condition or results of operations. Although we are continuing to evaluate and diversify our banking relationships, uncertainty remains over liquidity concerns in the broader financial services industry. As a consequence, our business, our business partners, or industry as a whole may be adversely impacted in ways that we cannot predict at this time. Uncertainty remains over liquidity concerns in the broader financial services industry, and there may be additional impacts to our business and our industry that we cannot currently predict. Further, a significant portion of our assets are held in cash, cash equivalent and marketable securities. If any financial uncertainty were to impact a broad segment of the financial services industry, our enterprise value and our future prospects could be harmed or otherwise negatively impacted.</w:t>
      </w:r>
    </w:p>
    <w:p>
      <w:pPr>
        <w:spacing w:after="0" w:line="13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revenue, results of operations and cash flows are subject to fluctuations due to changes in foreign currency exchange rates, particularly changes in the Australian Dollar, British Pound, Canadian Dollar, Euro, Indian Rupee, and Polish Zloty.</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volatility of exchange rates depends on many factors that we cannot forecast with reliable accuracy. Although we believe our operating activities act as a natural hedge for a majority of our foreign currency exposure at the cash flow or operating income level because we typically collect revenue and incur costs in the currency of the location in which we provide our software and services, our relationships with our customers are long-term in nature so it is difficult to predict if our operating activities will provide a natural hedge in the future. In addition, because our contracts are characterized by large annual payments, significant fluctuations in foreign currency exchange rates that coincide with annual payments may affect our cash flows, revenue or financial results in such quarter. Our results of operations may also be impacted by transaction gains or losses related to revaluing certain current asset and liability balances that are denominated in currencies other than the functional currency of the entity in which they are recorded. Moreover, significant and unforeseen changes in foreign currency exchange rates may cause us to fail to achieve our stated projections for revenue, ARR, and operating income, which could have an adverse effect on our stock price. We do business in Argentina, which is experiencing extremely high inflation and currency fluctuations. The Argentina government has placed restrictions on sending U.S. dollars outside of the country, which has impacted our customers’ timeliness in paying their obligations to us and could impact the collectability of our accounts receivable in such respects. We expect global exchange rates for various currencies may be more volatile than normal as a result of ongoing conflicts, including the wars between Israel and Hamas and between Russia and Ukraine and related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events. We will continue to experience fluctuations in foreign currency exchange rates, which, if material, may harm our revenue, ARR, or results of operations.</w:t>
      </w:r>
    </w:p>
    <w:p>
      <w:pPr>
        <w:spacing w:after="0" w:line="104"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Servicing our indebtedness requires a significant amount of cash. We may not have sufficient cash flow from our business to pay our substantial indebtedness, and we may not have the ability to raise the funds necessary to settle for cash conversions of the Convertible Senior Notes or to repurchase the Convertible Senior Notes upon a fundamental change, which could adversely affect our business and results of operations.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April 30, 2024, we had outstanding an aggregate principal amount of $400.0 million of our 1.25% Convertible Senior Notes due 2025 (the “Convertible Senior Notes”). Our indebtedness may increase our vulnerability to any generally adverse economic and industry conditions, and we and our subsidiaries may, subject to the limitations in the terms of our existing and future indebtedness, incur additional debt, secure existing or future debt, or recapitalize our debt. If we incur additional indebtedness, the risks related to our business would increase and our ability to service or repay our indebtedness may be adversely impacted.</w:t>
      </w:r>
    </w:p>
    <w:p>
      <w:pPr>
        <w:spacing w:after="0" w:line="1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Pursuant to their terms, holders may convert their Convertible Senior Notes at their option prior to the scheduled maturities of their Convertible Senior Notes under certain circumstances. Upon conversion of the Convertible Senior Notes, unless we elect to deliver solely shares of our common stock to settle such conversion (other than paying cash in lieu of delivering any fractional share), we will be obligated to make cash payments. In addition, holders of our Convertible Senior Notes will have the right to require us to repurchase their Convertible Senior Notes upon the occurrence of a fundamental change (as defined in the Indenture, dated as of March 13, 2018, between the Company and U.S. Bank National Association, as trustee (the “Trustee”) (the “Base Indenture”), as amended and supplemented by the First Supplemental Indenture, dated as of March 13, 2018, between the Company and the Trustee (together with the Base Indenture, the “Indenture”)) at a repurchase price equal to 100% of the principal amount of the Convertible Senior Notes to be repurchased, plus accrued and unpaid interest, if any, to, but not including, the fundamental change purchase date. Although it is our intention and we currently expect to have the ability to settle the Convertible Senior Notes in cash, there is a risk that we may not have enough available cash or be able to obtain financing at the time we are required to make repurchases of Convertible Senior Notes surrendered therefor or Convertible Senior Notes being converted. In addition, our ability to make payments may be limited by law, by regulatory authority, or by agreements governing our future indebtedness. Our failure to repurchase Convertible Senior Notes at a time when the repurchase is required by the Indenture or to pay any cash payable on future conversions of the Convertible Senior Notes as required by such Indenture would constitute a default under such Indenture. A default under the Indenture or the fundamental change itself could also lead to a default under agreements governing our future indebtedness. If the repayment of the related indebtedness were to be accelerated after any applicable notice or grace periods, we may not have sufficient funds to repay the indebtedness and repurchase the Convertible Senior Notes or make cash payments upon conversions thereof.</w:t>
      </w:r>
    </w:p>
    <w:p>
      <w:pPr>
        <w:spacing w:after="0" w:line="14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and interest on our indebtedness when due or to make payments upon conversion or repurchase demands with respect to our Convertible Senior Notes, or to refinance our indebtedness as we may need or desire, depends on our future performance, which is subject to economic, financial, competitive, and other factors beyond our control. Our business may not continue to generate cash flow from operations in the future sufficient to satisfy our obligations under our existing indebtedness,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existing or future indebtedness will depend on the capital markets and our financial condition at such time. We may not be able to engage in any of these activities or engage in these activities on desirable terms, which could result in a default on our existing or future indebtedness and have a material adverse effect on our business, results of operations, and financial condition.</w:t>
      </w:r>
    </w:p>
    <w:p>
      <w:pPr>
        <w:spacing w:after="0" w:line="130"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Convertible Senior Notes, if triggered, may adversely affect our financial condition and results of operations.</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event the conditional conversion feature of the notes is triggered, holders of our Convertible Senior Notes will be entitled to convert the Convertible Senior Notes at any time during specified periods at their option. If one or more holders elect to convert their Convertible Senior Notes, unless we elect to satisfy our conversion obligation by delivering solely shares of our common stock (other than paying cash in lieu of delivering any fractional share), we would be required to settle a portion or all of our conversion obligation through the payment of cash, which could adversely affect our liquidity.</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 relating to our Convertible Senior Notes may affect the value of our common stock.</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conversion of some or all of the Convertible Senior Notes would dilute the ownership interests of existing stockholders to the extent we satisfy our conversion obligation by delivering shares of our common stock upon any conversion of such Convertible Senior Notes. Our Convertible Senior Notes may become in the future convertible at the option of their holders under certain circumstances. If holders of our Convertible Senior Notes elect to convert their notes, we may settle our conversion obligation by delivering to them a significant number of shares of our common stock, which would cause dilution to our existing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issuance of the Convertible Senior Notes, we entered into capped call transactions with certain financial institutions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option counterparties or their respective affiliates may modify their hedge positions by entering into or unwinding various derivative transactions with respect to our common stock and/or purchasing or selling our common stock or other securities of ours in secondary market transactions prior to the maturity of the Convertible Senior Notes. This activity could cause a decrease in the market price of our common stock.</w:t>
      </w:r>
    </w:p>
    <w:p>
      <w:pPr>
        <w:spacing w:after="0" w:line="11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accounting method for convertible debt securities that may be settled in cash, such as the Convertible Senior Notes, could have a material effect on our reported financial results.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2020, the FASB issued Accounting Standards Update (“ASU”) 2020-06, Debt—Debt with Conversion and Other Options (Subtopic 470-20) and Derivatives and Hedging—Contracts in Entity’s Own Equity (Subtopic 815-40), which we adopted on August 1, 2022. The ASU simplifies the accounting for convertible instruments, and among other things, eliminates the treasury stock method to calculate diluted earnings per share for convertible instruments and requires the use of the if-converted method. When calculating diluted EPS, the if-converted method requires us to assume that convertible debt instruments (and any applicable conversion premium) are converted to common stock as of the beginning of the period presented regardless of the price of our stock in periods that we have net income. Additionally, the if-converted method does not allow us to offset the impact of our capped call transactions on the calculation. We expect that such calculations will negatively affect our reported diluted EPS in the periods that we have net income irrespective of actual conversion of the Convertible Senior Notes.</w:t>
      </w:r>
    </w:p>
    <w:p>
      <w:pPr>
        <w:spacing w:after="0" w:line="1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will be subject to the risk that any or all of them might default under the capped call transactions. Our exposure to the credit risk of the option counterparties will not be secured by any collateral. Past and recent global economic conditions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 more dilution than we currently anticipate with respect to our common stock. We can provide no assurances as to the financial stability or viability of the option counterparties.</w:t>
      </w:r>
    </w:p>
    <w:p>
      <w:pPr>
        <w:spacing w:after="0" w:line="134"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April 30, 2024, none of our directors or officers (as defined in Rule 16a-1(f) of the Exchange Act) adopted or terminated a “Rule 10b5-1 trading arrangement” or “non-Rule 10b5-1 trading arrangement,” each as defined in Item 408 of Regulation S-K. Sales of shares from previously adopted plans occur periodically from the estimated selling start date through the end of such plans. In addition to sales under Rule 10b5-1(c) plans, shares are sold at vesting to cover a portion of the holder’s tax liability associated with the vesting of such RSUs.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71" w:name="page72"/>
    <w:bookmarkEnd w:id="71"/>
    <w:tbl>
      <w:tblPr>
        <w:tblLayout w:type="fixed"/>
        <w:tblInd w:w="73"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7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0" w:type="dxa"/>
            <w:vAlign w:val="bottom"/>
          </w:tcPr>
          <w:p>
            <w:pPr>
              <w:spacing w:after="0"/>
              <w:rPr>
                <w:sz w:val="24"/>
                <w:szCs w:val="24"/>
                <w:color w:val="auto"/>
              </w:rPr>
            </w:pPr>
          </w:p>
        </w:tc>
        <w:tc>
          <w:tcPr>
            <w:tcW w:w="73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The exhibits listed below are filed or incorporated by reference as part of this Report.</w:t>
            </w:r>
          </w:p>
        </w:tc>
        <w:tc>
          <w:tcPr>
            <w:tcW w:w="1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00" w:type="dxa"/>
            <w:vAlign w:val="bottom"/>
            <w:vMerge w:val="restart"/>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Incorporated by</w:t>
            </w: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2600" w:type="dxa"/>
            <w:vAlign w:val="bottom"/>
            <w:vMerge w:val="continue"/>
          </w:tcPr>
          <w:p>
            <w:pPr>
              <w:spacing w:after="0"/>
              <w:rPr>
                <w:sz w:val="12"/>
                <w:szCs w:val="12"/>
                <w:color w:val="auto"/>
              </w:rPr>
            </w:pPr>
          </w:p>
        </w:tc>
        <w:tc>
          <w:tcPr>
            <w:tcW w:w="15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From</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3440" w:type="dxa"/>
            <w:vAlign w:val="bottom"/>
            <w:vMerge w:val="restart"/>
          </w:tcPr>
          <w:p>
            <w:pPr>
              <w:ind w:left="14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600" w:type="dxa"/>
            <w:vAlign w:val="bottom"/>
          </w:tcPr>
          <w:p>
            <w:pPr>
              <w:jc w:val="center"/>
              <w:ind w:left="808"/>
              <w:spacing w:after="0" w:line="137" w:lineRule="exact"/>
              <w:rPr>
                <w:sz w:val="20"/>
                <w:szCs w:val="20"/>
                <w:color w:val="auto"/>
              </w:rPr>
            </w:pPr>
            <w:r>
              <w:rPr>
                <w:rFonts w:ascii="Times New Roman" w:cs="Times New Roman" w:eastAsia="Times New Roman" w:hAnsi="Times New Roman"/>
                <w:sz w:val="14"/>
                <w:szCs w:val="14"/>
                <w:b w:val="1"/>
                <w:bCs w:val="1"/>
                <w:color w:val="auto"/>
              </w:rPr>
              <w:t>Reference From</w:t>
            </w:r>
          </w:p>
        </w:tc>
        <w:tc>
          <w:tcPr>
            <w:tcW w:w="15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Exhibit</w:t>
            </w:r>
          </w:p>
        </w:tc>
        <w:tc>
          <w:tcPr>
            <w:tcW w:w="9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Date Filed</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2600" w:type="dxa"/>
            <w:vAlign w:val="bottom"/>
          </w:tcPr>
          <w:p>
            <w:pPr>
              <w:jc w:val="center"/>
              <w:ind w:left="808"/>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313"/>
          </w:cols>
          <w:pgMar w:left="247" w:top="270" w:right="339" w:bottom="1440" w:gutter="0" w:footer="0" w:header="0"/>
        </w:sectPr>
      </w:pPr>
    </w:p>
    <w:tbl>
      <w:tblPr>
        <w:tblLayout w:type="fixed"/>
        <w:tblInd w:w="513" w:type="dxa"/>
        <w:tblCellMar>
          <w:top w:w="0" w:type="dxa"/>
          <w:left w:w="0" w:type="dxa"/>
          <w:bottom w:w="0" w:type="dxa"/>
          <w:right w:w="0" w:type="dxa"/>
        </w:tblCellMar>
      </w:tblPr>
      <w:tr>
        <w:trPr>
          <w:trHeight w:val="199"/>
        </w:trPr>
        <w:tc>
          <w:tcPr>
            <w:tcW w:w="840" w:type="dxa"/>
            <w:vAlign w:val="bottom"/>
          </w:tcPr>
          <w:p>
            <w:pPr>
              <w:jc w:val="center"/>
              <w:ind w:right="430"/>
              <w:spacing w:after="0" w:line="199" w:lineRule="exact"/>
              <w:rPr>
                <w:sz w:val="20"/>
                <w:szCs w:val="20"/>
                <w:color w:val="auto"/>
              </w:rPr>
            </w:pPr>
            <w:r>
              <w:rPr>
                <w:rFonts w:ascii="Times New Roman" w:cs="Times New Roman" w:eastAsia="Times New Roman" w:hAnsi="Times New Roman"/>
                <w:sz w:val="18"/>
                <w:szCs w:val="18"/>
                <w:color w:val="auto"/>
              </w:rPr>
              <w:t>3.1</w:t>
            </w:r>
          </w:p>
        </w:tc>
        <w:tc>
          <w:tcPr>
            <w:tcW w:w="3700" w:type="dxa"/>
            <w:vAlign w:val="bottom"/>
            <w:tcBorders>
              <w:bottom w:val="single" w:sz="8" w:color="0000FF"/>
            </w:tcBorders>
            <w:gridSpan w:val="3"/>
          </w:tcPr>
          <w:p>
            <w:pPr>
              <w:spacing w:after="0" w:line="199" w:lineRule="exact"/>
              <w:rPr>
                <w:rFonts w:ascii="Times New Roman" w:cs="Times New Roman" w:eastAsia="Times New Roman" w:hAnsi="Times New Roman"/>
                <w:sz w:val="18"/>
                <w:szCs w:val="18"/>
                <w:color w:val="0000FF"/>
                <w:w w:val="99"/>
              </w:rPr>
            </w:pPr>
            <w:hyperlink r:id="rId87">
              <w:r>
                <w:rPr>
                  <w:rFonts w:ascii="Times New Roman" w:cs="Times New Roman" w:eastAsia="Times New Roman" w:hAnsi="Times New Roman"/>
                  <w:sz w:val="18"/>
                  <w:szCs w:val="18"/>
                  <w:color w:val="0000FF"/>
                  <w:w w:val="99"/>
                </w:rPr>
                <w:t>Amended and Restated Certificate of Incorporation</w:t>
              </w:r>
            </w:hyperlink>
          </w:p>
        </w:tc>
        <w:tc>
          <w:tcPr>
            <w:tcW w:w="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3.2</w:t>
            </w:r>
          </w:p>
        </w:tc>
        <w:tc>
          <w:tcPr>
            <w:tcW w:w="226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r:id="rId88">
              <w:r>
                <w:rPr>
                  <w:rFonts w:ascii="Times New Roman" w:cs="Times New Roman" w:eastAsia="Times New Roman" w:hAnsi="Times New Roman"/>
                  <w:sz w:val="18"/>
                  <w:szCs w:val="18"/>
                  <w:color w:val="0000FF"/>
                  <w:w w:val="99"/>
                </w:rPr>
                <w:t>Amended and Restated Bylaws</w:t>
              </w:r>
            </w:hyperlink>
          </w:p>
        </w:tc>
        <w:tc>
          <w:tcPr>
            <w:tcW w:w="174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4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rPr>
              <w:t>4.1</w:t>
            </w:r>
          </w:p>
        </w:tc>
        <w:tc>
          <w:tcPr>
            <w:tcW w:w="4000" w:type="dxa"/>
            <w:vAlign w:val="bottom"/>
            <w:gridSpan w:val="5"/>
          </w:tcPr>
          <w:p>
            <w:pPr>
              <w:spacing w:after="0"/>
              <w:rPr>
                <w:rFonts w:ascii="Times New Roman" w:cs="Times New Roman" w:eastAsia="Times New Roman" w:hAnsi="Times New Roman"/>
                <w:sz w:val="18"/>
                <w:szCs w:val="18"/>
                <w:color w:val="0000FF"/>
              </w:rPr>
            </w:pPr>
            <w:hyperlink r:id="rId89">
              <w:r>
                <w:rPr>
                  <w:rFonts w:ascii="Times New Roman" w:cs="Times New Roman" w:eastAsia="Times New Roman" w:hAnsi="Times New Roman"/>
                  <w:sz w:val="18"/>
                  <w:szCs w:val="18"/>
                  <w:color w:val="0000FF"/>
                </w:rPr>
                <w:t>Form of Common Stock Certificate of the Registrant</w:t>
              </w:r>
            </w:hyperlink>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0" w:type="dxa"/>
            <w:vAlign w:val="bottom"/>
            <w:vMerge w:val="restart"/>
          </w:tcPr>
          <w:p>
            <w:pPr>
              <w:jc w:val="center"/>
              <w:ind w:right="430"/>
              <w:spacing w:after="0"/>
              <w:rPr>
                <w:sz w:val="20"/>
                <w:szCs w:val="20"/>
                <w:color w:val="auto"/>
              </w:rPr>
            </w:pPr>
            <w:r>
              <w:rPr>
                <w:rFonts w:ascii="Times New Roman" w:cs="Times New Roman" w:eastAsia="Times New Roman" w:hAnsi="Times New Roman"/>
                <w:sz w:val="18"/>
                <w:szCs w:val="18"/>
                <w:color w:val="auto"/>
              </w:rPr>
              <w:t>31.1</w:t>
            </w:r>
          </w:p>
        </w:tc>
        <w:tc>
          <w:tcPr>
            <w:tcW w:w="40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pursuant to</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20" w:type="dxa"/>
            <w:vAlign w:val="bottom"/>
            <w:gridSpan w:val="2"/>
            <w:vMerge w:val="restart"/>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302 of the Sarbanes-Oxley Act</w:t>
            </w:r>
          </w:p>
        </w:tc>
        <w:tc>
          <w:tcPr>
            <w:tcW w:w="118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840" w:type="dxa"/>
            <w:vAlign w:val="bottom"/>
          </w:tcPr>
          <w:p>
            <w:pPr>
              <w:spacing w:after="0"/>
              <w:rPr>
                <w:sz w:val="4"/>
                <w:szCs w:val="4"/>
                <w:color w:val="auto"/>
              </w:rPr>
            </w:pPr>
          </w:p>
        </w:tc>
        <w:tc>
          <w:tcPr>
            <w:tcW w:w="2820" w:type="dxa"/>
            <w:vAlign w:val="bottom"/>
            <w:tcBorders>
              <w:bottom w:val="single" w:sz="8" w:color="0000FF"/>
            </w:tcBorders>
            <w:gridSpan w:val="2"/>
            <w:vMerge w:val="continue"/>
          </w:tcPr>
          <w:p>
            <w:pPr>
              <w:spacing w:after="0"/>
              <w:rPr>
                <w:sz w:val="4"/>
                <w:szCs w:val="4"/>
                <w:color w:val="auto"/>
              </w:rPr>
            </w:pPr>
          </w:p>
        </w:tc>
        <w:tc>
          <w:tcPr>
            <w:tcW w:w="11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513" w:type="dxa"/>
        <w:tblCellMar>
          <w:top w:w="0" w:type="dxa"/>
          <w:left w:w="0" w:type="dxa"/>
          <w:bottom w:w="0" w:type="dxa"/>
          <w:right w:w="0" w:type="dxa"/>
        </w:tblCellMar>
      </w:tblPr>
      <w:tr>
        <w:trPr>
          <w:trHeight w:val="207"/>
        </w:trPr>
        <w:tc>
          <w:tcPr>
            <w:tcW w:w="8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w w:val="95"/>
              </w:rPr>
              <w:t>31.2</w:t>
            </w:r>
          </w:p>
        </w:tc>
        <w:tc>
          <w:tcPr>
            <w:tcW w:w="39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pursuant to</w:t>
            </w:r>
          </w:p>
        </w:tc>
        <w:tc>
          <w:tcPr>
            <w:tcW w:w="0" w:type="dxa"/>
            <w:vAlign w:val="bottom"/>
          </w:tcPr>
          <w:p>
            <w:pPr>
              <w:spacing w:after="0"/>
              <w:rPr>
                <w:sz w:val="1"/>
                <w:szCs w:val="1"/>
                <w:color w:val="auto"/>
              </w:rPr>
            </w:pPr>
          </w:p>
        </w:tc>
      </w:tr>
      <w:tr>
        <w:trPr>
          <w:trHeight w:val="115"/>
        </w:trPr>
        <w:tc>
          <w:tcPr>
            <w:tcW w:w="840" w:type="dxa"/>
            <w:vAlign w:val="bottom"/>
            <w:vMerge w:val="continue"/>
          </w:tcPr>
          <w:p>
            <w:pPr>
              <w:spacing w:after="0"/>
              <w:rPr>
                <w:sz w:val="10"/>
                <w:szCs w:val="10"/>
                <w:color w:val="auto"/>
              </w:rPr>
            </w:pPr>
          </w:p>
        </w:tc>
        <w:tc>
          <w:tcPr>
            <w:tcW w:w="2820" w:type="dxa"/>
            <w:vAlign w:val="bottom"/>
            <w:vMerge w:val="restart"/>
          </w:tcPr>
          <w:p>
            <w:pPr>
              <w:spacing w:after="0" w:line="169" w:lineRule="exact"/>
              <w:rPr>
                <w:sz w:val="20"/>
                <w:szCs w:val="20"/>
                <w:color w:val="auto"/>
              </w:rPr>
            </w:pPr>
            <w:r>
              <w:rPr>
                <w:rFonts w:ascii="Times New Roman" w:cs="Times New Roman" w:eastAsia="Times New Roman" w:hAnsi="Times New Roman"/>
                <w:sz w:val="18"/>
                <w:szCs w:val="18"/>
                <w:color w:val="0000FF"/>
                <w:w w:val="99"/>
              </w:rPr>
              <w:t>Section 302 of the Sarbanes-Oxley Act</w:t>
            </w:r>
          </w:p>
        </w:tc>
        <w:tc>
          <w:tcPr>
            <w:tcW w:w="11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840" w:type="dxa"/>
            <w:vAlign w:val="bottom"/>
          </w:tcPr>
          <w:p>
            <w:pPr>
              <w:spacing w:after="0"/>
              <w:rPr>
                <w:sz w:val="4"/>
                <w:szCs w:val="4"/>
                <w:color w:val="auto"/>
              </w:rPr>
            </w:pPr>
          </w:p>
        </w:tc>
        <w:tc>
          <w:tcPr>
            <w:tcW w:w="2820" w:type="dxa"/>
            <w:vAlign w:val="bottom"/>
            <w:tcBorders>
              <w:bottom w:val="single" w:sz="8" w:color="0000FF"/>
            </w:tcBorders>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300" w:type="dxa"/>
        <w:tblCellMar>
          <w:top w:w="0" w:type="dxa"/>
          <w:left w:w="0" w:type="dxa"/>
          <w:bottom w:w="0" w:type="dxa"/>
          <w:right w:w="0" w:type="dxa"/>
        </w:tblCellMar>
      </w:tblPr>
      <w:tr>
        <w:trPr>
          <w:trHeight w:val="230"/>
        </w:trPr>
        <w:tc>
          <w:tcPr>
            <w:tcW w:w="10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21, 2022</w:t>
            </w:r>
          </w:p>
        </w:tc>
      </w:tr>
      <w:tr>
        <w:trPr>
          <w:trHeight w:val="229"/>
        </w:trPr>
        <w:tc>
          <w:tcPr>
            <w:tcW w:w="10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8-K</w:t>
            </w: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December 21,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w:t>
            </w:r>
          </w:p>
        </w:tc>
      </w:tr>
      <w:tr>
        <w:trPr>
          <w:trHeight w:val="234"/>
        </w:trPr>
        <w:tc>
          <w:tcPr>
            <w:tcW w:w="108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rPr>
              <w:t>S-1/A</w:t>
            </w:r>
          </w:p>
        </w:tc>
        <w:tc>
          <w:tcPr>
            <w:tcW w:w="136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January 9,</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03" w:lineRule="exact"/>
        <w:rPr>
          <w:sz w:val="20"/>
          <w:szCs w:val="20"/>
          <w:color w:val="auto"/>
        </w:rPr>
      </w:pPr>
    </w:p>
    <w:p>
      <w:pPr>
        <w:sectPr>
          <w:pgSz w:w="11900" w:h="16838" w:orient="portrait"/>
          <w:cols w:equalWidth="0" w:num="2">
            <w:col w:w="5613" w:space="720"/>
            <w:col w:w="4980"/>
          </w:cols>
          <w:pgMar w:left="247" w:top="270" w:right="339" w:bottom="1440" w:gutter="0" w:footer="0" w:header="0"/>
          <w:type w:val="continuous"/>
        </w:sectPr>
      </w:pPr>
    </w:p>
    <w:tbl>
      <w:tblPr>
        <w:tblLayout w:type="fixed"/>
        <w:tblInd w:w="333" w:type="dxa"/>
        <w:tblCellMar>
          <w:top w:w="0" w:type="dxa"/>
          <w:left w:w="0" w:type="dxa"/>
          <w:bottom w:w="0" w:type="dxa"/>
          <w:right w:w="0" w:type="dxa"/>
        </w:tblCellMar>
      </w:tblPr>
      <w:tr>
        <w:trPr>
          <w:trHeight w:val="207"/>
        </w:trPr>
        <w:tc>
          <w:tcPr>
            <w:tcW w:w="10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32.1*</w:t>
            </w:r>
          </w:p>
        </w:tc>
        <w:tc>
          <w:tcPr>
            <w:tcW w:w="41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the Chief Executive Officer and the Chief</w:t>
            </w:r>
          </w:p>
        </w:tc>
        <w:tc>
          <w:tcPr>
            <w:tcW w:w="340" w:type="dxa"/>
            <w:vAlign w:val="bottom"/>
            <w:gridSpan w:val="2"/>
          </w:tcPr>
          <w:p>
            <w:pPr>
              <w:spacing w:after="0"/>
              <w:rPr>
                <w:sz w:val="17"/>
                <w:szCs w:val="17"/>
                <w:color w:val="auto"/>
              </w:rPr>
            </w:pPr>
          </w:p>
        </w:tc>
        <w:tc>
          <w:tcPr>
            <w:tcW w:w="17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69"/>
        </w:trPr>
        <w:tc>
          <w:tcPr>
            <w:tcW w:w="1020" w:type="dxa"/>
            <w:vAlign w:val="bottom"/>
            <w:vMerge w:val="continue"/>
          </w:tcPr>
          <w:p>
            <w:pPr>
              <w:spacing w:after="0"/>
              <w:rPr>
                <w:sz w:val="14"/>
                <w:szCs w:val="14"/>
                <w:color w:val="auto"/>
              </w:rPr>
            </w:pPr>
          </w:p>
        </w:tc>
        <w:tc>
          <w:tcPr>
            <w:tcW w:w="450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Financial Officer pursuant to Section 906 of the Sarbanes-</w:t>
            </w: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020" w:type="dxa"/>
            <w:vAlign w:val="bottom"/>
          </w:tcPr>
          <w:p>
            <w:pPr>
              <w:spacing w:after="0"/>
              <w:rPr>
                <w:sz w:val="13"/>
                <w:szCs w:val="13"/>
                <w:color w:val="auto"/>
              </w:rPr>
            </w:pPr>
          </w:p>
        </w:tc>
        <w:tc>
          <w:tcPr>
            <w:tcW w:w="420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Oxley Act</w:t>
            </w:r>
          </w:p>
        </w:tc>
        <w:tc>
          <w:tcPr>
            <w:tcW w:w="3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101.INS</w:t>
            </w: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29"/>
        </w:trPr>
        <w:tc>
          <w:tcPr>
            <w:tcW w:w="102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101.SCH</w:t>
            </w: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10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rPr>
              <w:t>101.CAL</w:t>
            </w:r>
          </w:p>
        </w:tc>
        <w:tc>
          <w:tcPr>
            <w:tcW w:w="4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10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w w:val="97"/>
              </w:rPr>
              <w:t>101.DEF</w:t>
            </w:r>
          </w:p>
        </w:tc>
        <w:tc>
          <w:tcPr>
            <w:tcW w:w="4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10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rPr>
              <w:t>101.LAB</w:t>
            </w:r>
          </w:p>
        </w:tc>
        <w:tc>
          <w:tcPr>
            <w:tcW w:w="4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20" w:type="dxa"/>
            <w:vAlign w:val="bottom"/>
          </w:tcPr>
          <w:p>
            <w:pPr>
              <w:spacing w:after="0"/>
              <w:rPr>
                <w:sz w:val="19"/>
                <w:szCs w:val="19"/>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1020" w:type="dxa"/>
            <w:vAlign w:val="bottom"/>
          </w:tcPr>
          <w:p>
            <w:pPr>
              <w:jc w:val="center"/>
              <w:ind w:right="250"/>
              <w:spacing w:after="0" w:line="189" w:lineRule="exact"/>
              <w:rPr>
                <w:sz w:val="20"/>
                <w:szCs w:val="20"/>
                <w:color w:val="auto"/>
              </w:rPr>
            </w:pPr>
            <w:r>
              <w:rPr>
                <w:rFonts w:ascii="Times New Roman" w:cs="Times New Roman" w:eastAsia="Times New Roman" w:hAnsi="Times New Roman"/>
                <w:sz w:val="18"/>
                <w:szCs w:val="18"/>
                <w:color w:val="auto"/>
                <w:w w:val="99"/>
              </w:rPr>
              <w:t>101.PRE</w:t>
            </w:r>
          </w:p>
        </w:tc>
        <w:tc>
          <w:tcPr>
            <w:tcW w:w="4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c>
          <w:tcPr>
            <w:tcW w:w="170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189"/>
        </w:trPr>
        <w:tc>
          <w:tcPr>
            <w:tcW w:w="1020" w:type="dxa"/>
            <w:vAlign w:val="bottom"/>
          </w:tcPr>
          <w:p>
            <w:pPr>
              <w:jc w:val="right"/>
              <w:ind w:right="450"/>
              <w:spacing w:after="0" w:line="189" w:lineRule="exact"/>
              <w:rPr>
                <w:sz w:val="20"/>
                <w:szCs w:val="20"/>
                <w:color w:val="auto"/>
              </w:rPr>
            </w:pPr>
            <w:r>
              <w:rPr>
                <w:rFonts w:ascii="Times New Roman" w:cs="Times New Roman" w:eastAsia="Times New Roman" w:hAnsi="Times New Roman"/>
                <w:sz w:val="18"/>
                <w:szCs w:val="18"/>
                <w:color w:val="auto"/>
              </w:rPr>
              <w:t>104</w:t>
            </w:r>
          </w:p>
        </w:tc>
        <w:tc>
          <w:tcPr>
            <w:tcW w:w="450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color w:val="auto"/>
              </w:rPr>
              <w:t>Cover Page Interactive Data File (formatted as Inline</w:t>
            </w: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20" w:type="dxa"/>
            <w:vAlign w:val="bottom"/>
          </w:tcPr>
          <w:p>
            <w:pPr>
              <w:spacing w:after="0"/>
              <w:rPr>
                <w:sz w:val="15"/>
                <w:szCs w:val="15"/>
                <w:color w:val="auto"/>
              </w:rPr>
            </w:pPr>
          </w:p>
        </w:tc>
        <w:tc>
          <w:tcPr>
            <w:tcW w:w="4500" w:type="dxa"/>
            <w:vAlign w:val="bottom"/>
            <w:gridSpan w:val="4"/>
          </w:tcPr>
          <w:p>
            <w:pPr>
              <w:spacing w:after="0" w:line="181" w:lineRule="exact"/>
              <w:rPr>
                <w:sz w:val="20"/>
                <w:szCs w:val="20"/>
                <w:color w:val="auto"/>
              </w:rPr>
            </w:pPr>
            <w:r>
              <w:rPr>
                <w:rFonts w:ascii="Times New Roman" w:cs="Times New Roman" w:eastAsia="Times New Roman" w:hAnsi="Times New Roman"/>
                <w:sz w:val="18"/>
                <w:szCs w:val="18"/>
                <w:color w:val="auto"/>
              </w:rPr>
              <w:t>XBRL with applicable taxonomy extension information</w:t>
            </w:r>
          </w:p>
        </w:tc>
        <w:tc>
          <w:tcPr>
            <w:tcW w:w="1700" w:type="dxa"/>
            <w:vAlign w:val="bottom"/>
            <w:vMerge w:val="restart"/>
          </w:tcPr>
          <w:p>
            <w:pPr>
              <w:jc w:val="center"/>
              <w:ind w:left="210"/>
              <w:spacing w:after="0"/>
              <w:rPr>
                <w:sz w:val="20"/>
                <w:szCs w:val="20"/>
                <w:color w:val="auto"/>
              </w:rPr>
            </w:pPr>
            <w:r>
              <w:rPr>
                <w:rFonts w:ascii="Times New Roman" w:cs="Times New Roman" w:eastAsia="Times New Roman" w:hAnsi="Times New Roman"/>
                <w:sz w:val="18"/>
                <w:szCs w:val="18"/>
                <w:color w:val="auto"/>
                <w:w w:val="99"/>
              </w:rPr>
              <w:t>Filed herewith</w:t>
            </w: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4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contained in Exhibits 101)</w:t>
            </w:r>
          </w:p>
        </w:tc>
        <w:tc>
          <w:tcPr>
            <w:tcW w:w="17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493" w:hanging="493"/>
        <w:spacing w:after="0" w:line="261" w:lineRule="auto"/>
        <w:tabs>
          <w:tab w:leader="none" w:pos="32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2"/>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13"/>
          </w:cols>
          <w:pgMar w:left="247" w:top="270" w:right="339" w:bottom="1440" w:gutter="0" w:footer="0" w:header="0"/>
          <w:type w:val="continuous"/>
        </w:sectPr>
      </w:pPr>
    </w:p>
    <w:bookmarkStart w:id="72" w:name="page73"/>
    <w:bookmarkEnd w:id="72"/>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20"/>
        <w:spacing w:after="0"/>
        <w:tabs>
          <w:tab w:leader="none" w:pos="580" w:val="left"/>
          <w:tab w:leader="none" w:pos="5320" w:val="left"/>
        </w:tabs>
        <w:rPr>
          <w:sz w:val="20"/>
          <w:szCs w:val="20"/>
          <w:color w:val="auto"/>
        </w:rPr>
      </w:pPr>
      <w:r>
        <w:rPr>
          <w:rFonts w:ascii="Times New Roman" w:cs="Times New Roman" w:eastAsia="Times New Roman" w:hAnsi="Times New Roman"/>
          <w:sz w:val="18"/>
          <w:szCs w:val="18"/>
          <w:color w:val="auto"/>
        </w:rPr>
        <w:t>Date:</w:t>
        <w:tab/>
        <w:t>June 4, 2024</w:t>
      </w:r>
      <w:r>
        <w:rPr>
          <w:sz w:val="20"/>
          <w:szCs w:val="20"/>
          <w:color w:val="auto"/>
        </w:rPr>
        <w:tab/>
      </w:r>
      <w:r>
        <w:rPr>
          <w:rFonts w:ascii="Times New Roman" w:cs="Times New Roman" w:eastAsia="Times New Roman" w:hAnsi="Times New Roman"/>
          <w:sz w:val="17"/>
          <w:szCs w:val="17"/>
          <w:b w:val="1"/>
          <w:bCs w:val="1"/>
          <w:color w:val="auto"/>
        </w:rPr>
        <w:t>GUIDEWIRE SOFTWARE, INC.</w:t>
      </w:r>
    </w:p>
    <w:p>
      <w:pPr>
        <w:spacing w:after="0" w:line="297" w:lineRule="exact"/>
        <w:rPr>
          <w:sz w:val="20"/>
          <w:szCs w:val="20"/>
          <w:color w:val="auto"/>
        </w:rPr>
      </w:pPr>
    </w:p>
    <w:p>
      <w:pPr>
        <w:ind w:left="534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/s/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1203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3120390" cy="8255"/>
                    </a:xfrm>
                    <a:prstGeom prst="rect">
                      <a:avLst/>
                    </a:prstGeom>
                    <a:noFill/>
                  </pic:spPr>
                </pic:pic>
              </a:graphicData>
            </a:graphic>
          </wp:anchor>
        </w:drawing>
      </w:r>
    </w:p>
    <w:p>
      <w:pPr>
        <w:spacing w:after="0" w:line="1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Jeff Cooper</w:t>
      </w:r>
    </w:p>
    <w:p>
      <w:pPr>
        <w:spacing w:after="0" w:line="42"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4"/>
          <w:szCs w:val="14"/>
          <w:b w:val="1"/>
          <w:bCs w:val="1"/>
          <w:color w:val="auto"/>
        </w:rPr>
        <w:t>(Principal Financial and Accounting Officer)</w:t>
      </w:r>
    </w:p>
    <w:p>
      <w:pPr>
        <w:sectPr>
          <w:pgSz w:w="11900" w:h="16838" w:orient="portrait"/>
          <w:cols w:equalWidth="0" w:num="1">
            <w:col w:w="10600"/>
          </w:cols>
          <w:pgMar w:left="320" w:top="117" w:right="97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Mike Rosenbaum, certify that:</w:t>
      </w:r>
    </w:p>
    <w:p>
      <w:pPr>
        <w:spacing w:after="0" w:line="171"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Guidewire Software,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1300" w:right="220" w:hanging="320"/>
        <w:spacing w:after="0" w:line="312" w:lineRule="auto"/>
        <w:tabs>
          <w:tab w:leader="none" w:pos="1291"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8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w w:val="98"/>
              </w:rPr>
              <w:t>Date:June 4, 2024</w:t>
            </w:r>
          </w:p>
        </w:tc>
        <w:tc>
          <w:tcPr>
            <w:tcW w:w="26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MIKE ROSENBAUM</w:t>
            </w:r>
          </w:p>
        </w:tc>
      </w:tr>
      <w:tr>
        <w:trPr>
          <w:trHeight w:val="218"/>
        </w:trPr>
        <w:tc>
          <w:tcPr>
            <w:tcW w:w="38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Mike Rosenbaum</w:t>
            </w:r>
          </w:p>
        </w:tc>
      </w:tr>
      <w:tr>
        <w:trPr>
          <w:trHeight w:val="230"/>
        </w:trPr>
        <w:tc>
          <w:tcPr>
            <w:tcW w:w="386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38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87"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 Cooper, certify that:</w:t>
      </w:r>
    </w:p>
    <w:p>
      <w:pPr>
        <w:spacing w:after="0" w:line="171"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Guidewire Software,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8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sz w:val="20"/>
          <w:szCs w:val="20"/>
          <w:color w:val="auto"/>
        </w:rPr>
      </w:pPr>
    </w:p>
    <w:p>
      <w:pPr>
        <w:jc w:val="both"/>
        <w:ind w:left="1300" w:right="220" w:hanging="320"/>
        <w:spacing w:after="0" w:line="312" w:lineRule="auto"/>
        <w:tabs>
          <w:tab w:leader="none" w:pos="1291"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1"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73" w:lineRule="auto"/>
        <w:tabs>
          <w:tab w:leader="none" w:pos="128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Date:  June 4, 2024</w:t>
            </w:r>
          </w:p>
        </w:tc>
        <w:tc>
          <w:tcPr>
            <w:tcW w:w="2720" w:type="dxa"/>
            <w:vAlign w:val="bottom"/>
          </w:tcPr>
          <w:p>
            <w:pPr>
              <w:ind w:left="2280"/>
              <w:spacing w:after="0"/>
              <w:rPr>
                <w:sz w:val="20"/>
                <w:szCs w:val="20"/>
                <w:color w:val="auto"/>
              </w:rPr>
            </w:pPr>
            <w:r>
              <w:rPr>
                <w:rFonts w:ascii="Times New Roman" w:cs="Times New Roman" w:eastAsia="Times New Roman" w:hAnsi="Times New Roman"/>
                <w:sz w:val="18"/>
                <w:szCs w:val="18"/>
                <w:color w:val="auto"/>
              </w:rPr>
              <w:t>By:</w:t>
            </w:r>
          </w:p>
        </w:tc>
        <w:tc>
          <w:tcPr>
            <w:tcW w:w="46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 JEFF COOPER</w:t>
            </w:r>
          </w:p>
        </w:tc>
      </w:tr>
      <w:tr>
        <w:trPr>
          <w:trHeight w:val="218"/>
        </w:trPr>
        <w:tc>
          <w:tcPr>
            <w:tcW w:w="38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Jeff Cooper</w:t>
            </w:r>
          </w:p>
        </w:tc>
      </w:tr>
      <w:tr>
        <w:trPr>
          <w:trHeight w:val="230"/>
        </w:trPr>
        <w:tc>
          <w:tcPr>
            <w:tcW w:w="38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8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4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Guidewire Software, Inc. for the quarterly period ended April 30, 2024 as filed with the Securities and Exchange Commission on the date hereof (the “Report”), Mike Rosenbaum, as Chief Executive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8" w:lineRule="exact"/>
        <w:rPr>
          <w:sz w:val="20"/>
          <w:szCs w:val="20"/>
          <w:color w:val="auto"/>
        </w:rPr>
      </w:pPr>
    </w:p>
    <w:p>
      <w:pPr>
        <w:ind w:left="60"/>
        <w:spacing w:after="0"/>
        <w:tabs>
          <w:tab w:leader="none" w:pos="820" w:val="left"/>
          <w:tab w:leader="none" w:pos="5820" w:val="left"/>
          <w:tab w:leader="none" w:pos="66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4,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MIKE ROSENBAUM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17145</wp:posOffset>
            </wp:positionV>
            <wp:extent cx="305181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1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Mike Rosenbaum</w:t>
      </w:r>
    </w:p>
    <w:p>
      <w:pPr>
        <w:spacing w:after="0" w:line="2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In connection with the Quarterly Report on Form 10-Q of Guidewire Software, Inc. for the quarterly period ended April 30, 2024 as filed with the Securities and Exchange Commission on the date hereof (the “Report”), Jeff Cooper, as Chief Financial Officer of Guidewire Software, Inc., hereby certifies, pursuant to 18 U.S.C. Section 1350, as adopted pursuant to Section 906 of the Sarbanes-Oxley Act of 2002, that, to the best of his knowledge the Report fully complies with the requirements of Section 13(a) or 15(d) of the Securities Exchange Act of 1934, and the information contained in the Report fairly presents, in all material respects, the financial condition and results of operations of Guidewire Software, Inc.</w:t>
      </w:r>
    </w:p>
    <w:p>
      <w:pPr>
        <w:spacing w:after="0" w:line="8" w:lineRule="exact"/>
        <w:rPr>
          <w:sz w:val="20"/>
          <w:szCs w:val="20"/>
          <w:color w:val="auto"/>
        </w:rPr>
      </w:pPr>
    </w:p>
    <w:p>
      <w:pPr>
        <w:ind w:left="800" w:right="3280" w:hanging="6587"/>
        <w:spacing w:after="0" w:line="276" w:lineRule="auto"/>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4, 2024 By: /s/ JEFF COOPER Jeff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-1905</wp:posOffset>
            </wp:positionV>
            <wp:extent cx="305181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1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7"/>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lvl w:ilvl="1">
      <w:lvlJc w:val="left"/>
      <w:lvlText w:val="%2)"/>
      <w:numFmt w:val="lowerLetter"/>
      <w:start w:val="1"/>
    </w:lvl>
  </w:abstractNum>
  <w:abstractNum w:abstractNumId="19">
    <w:nsid w:val="721DA317"/>
    <w:multiLevelType w:val="hybridMultilevel"/>
    <w:lvl w:ilvl="0">
      <w:lvlJc w:val="left"/>
      <w:lvlText w:val="%1"/>
      <w:numFmt w:val="decimal"/>
      <w:start w:val="1"/>
    </w:lvl>
    <w:lvl w:ilvl="1">
      <w:lvlJc w:val="left"/>
      <w:lvlText w:val="%2)"/>
      <w:numFmt w:val="lowerLetter"/>
      <w:start w:val="1"/>
    </w:lvl>
  </w:abstractNum>
  <w:abstractNum w:abstractNumId="20">
    <w:nsid w:val="2443A858"/>
    <w:multiLevelType w:val="hybridMultilevel"/>
    <w:lvl w:ilvl="0">
      <w:lvlJc w:val="left"/>
      <w:lvlText w:val="%1."/>
      <w:numFmt w:val="decimal"/>
      <w:start w:val="5"/>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87" Type="http://schemas.openxmlformats.org/officeDocument/2006/relationships/hyperlink" Target="https://www.sec.gov/Archives/edgar/data/1528396/000119312522310042/d440763dex31.htm" TargetMode="External"/><Relationship Id="rId88" Type="http://schemas.openxmlformats.org/officeDocument/2006/relationships/hyperlink" Target="https://www.sec.gov/Archives/edgar/data/1528396/000119312522310042/d440763dex32.htm" TargetMode="External"/><Relationship Id="rId89" Type="http://schemas.openxmlformats.org/officeDocument/2006/relationships/hyperlink" Target="https://www.sec.gov/Archives/edgar/data/1528396/000119312512006627/d219721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2024-06-05T05:17:43Z</dcterms:created>
  <dcterms:modified xsi:type="dcterms:W3CDTF">2024-06-05T05:17:43Z</dcterms:modified>
</cp:coreProperties>
</file>