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-227330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24130</wp:posOffset>
            </wp:positionV>
            <wp:extent cx="6997700" cy="5855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585533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180" w:space="460"/>
            <w:col w:w="8440"/>
          </w:cols>
          <w:pgMar w:left="460" w:top="220" w:right="359" w:bottom="996"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Cooper Jeffrey Elliott</w:t>
        </w:r>
      </w:hyperlink>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(Last)</w:t>
            </w:r>
          </w:p>
        </w:tc>
        <w:tc>
          <w:tcPr>
            <w:tcW w:w="1040" w:type="dxa"/>
            <w:vAlign w:val="bottom"/>
          </w:tcPr>
          <w:p>
            <w:pPr>
              <w:ind w:left="160"/>
              <w:spacing w:after="0"/>
              <w:rPr>
                <w:sz w:val="20"/>
                <w:szCs w:val="20"/>
                <w:color w:val="auto"/>
              </w:rPr>
            </w:pPr>
            <w:r>
              <w:rPr>
                <w:rFonts w:ascii="Arial" w:cs="Arial" w:eastAsia="Arial" w:hAnsi="Arial"/>
                <w:sz w:val="12"/>
                <w:szCs w:val="12"/>
                <w:color w:val="auto"/>
              </w:rPr>
              <w:t>(First)</w:t>
            </w:r>
          </w:p>
        </w:tc>
        <w:tc>
          <w:tcPr>
            <w:tcW w:w="1520" w:type="dxa"/>
            <w:vAlign w:val="bottom"/>
          </w:tcPr>
          <w:p>
            <w:pPr>
              <w:ind w:left="340"/>
              <w:spacing w:after="0"/>
              <w:rPr>
                <w:sz w:val="20"/>
                <w:szCs w:val="20"/>
                <w:color w:val="auto"/>
              </w:rPr>
            </w:pPr>
            <w:r>
              <w:rPr>
                <w:rFonts w:ascii="Arial" w:cs="Arial" w:eastAsia="Arial" w:hAnsi="Arial"/>
                <w:sz w:val="12"/>
                <w:szCs w:val="12"/>
                <w:color w:val="auto"/>
              </w:rPr>
              <w:t>(Middle)</w:t>
            </w:r>
          </w:p>
        </w:tc>
      </w:tr>
      <w:tr>
        <w:trPr>
          <w:trHeight w:val="262"/>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6"/>
                <w:szCs w:val="16"/>
                <w:color w:val="0000FF"/>
              </w:rPr>
              <w:t>C/O GUIDEWIRE SOFTWARE, INC.</w:t>
            </w:r>
          </w:p>
        </w:tc>
      </w:tr>
      <w:tr>
        <w:trPr>
          <w:trHeight w:val="250"/>
        </w:trPr>
        <w:tc>
          <w:tcPr>
            <w:tcW w:w="20" w:type="dxa"/>
            <w:vAlign w:val="bottom"/>
          </w:tcPr>
          <w:p>
            <w:pPr>
              <w:spacing w:after="0"/>
              <w:rPr>
                <w:sz w:val="21"/>
                <w:szCs w:val="21"/>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0000FF"/>
              </w:rPr>
              <w:t>970 PARK PL, SUITE 200</w:t>
            </w:r>
          </w:p>
        </w:tc>
        <w:tc>
          <w:tcPr>
            <w:tcW w:w="152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8"/>
        </w:trPr>
        <w:tc>
          <w:tcPr>
            <w:tcW w:w="11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SAN MATEO</w:t>
            </w:r>
          </w:p>
        </w:tc>
        <w:tc>
          <w:tcPr>
            <w:tcW w:w="1040" w:type="dxa"/>
            <w:vAlign w:val="bottom"/>
          </w:tcPr>
          <w:p>
            <w:pPr>
              <w:ind w:left="160"/>
              <w:spacing w:after="0"/>
              <w:rPr>
                <w:sz w:val="20"/>
                <w:szCs w:val="20"/>
                <w:color w:val="auto"/>
              </w:rPr>
            </w:pPr>
            <w:r>
              <w:rPr>
                <w:rFonts w:ascii="Arial" w:cs="Arial" w:eastAsia="Arial" w:hAnsi="Arial"/>
                <w:sz w:val="16"/>
                <w:szCs w:val="16"/>
                <w:color w:val="0000FF"/>
              </w:rPr>
              <w:t>CA</w:t>
            </w:r>
          </w:p>
        </w:tc>
        <w:tc>
          <w:tcPr>
            <w:tcW w:w="1520" w:type="dxa"/>
            <w:vAlign w:val="bottom"/>
          </w:tcPr>
          <w:p>
            <w:pPr>
              <w:ind w:left="340"/>
              <w:spacing w:after="0"/>
              <w:rPr>
                <w:sz w:val="20"/>
                <w:szCs w:val="20"/>
                <w:color w:val="auto"/>
              </w:rPr>
            </w:pPr>
            <w:r>
              <w:rPr>
                <w:rFonts w:ascii="Arial" w:cs="Arial" w:eastAsia="Arial" w:hAnsi="Arial"/>
                <w:sz w:val="16"/>
                <w:szCs w:val="16"/>
                <w:color w:val="0000FF"/>
              </w:rPr>
              <w:t>94403</w:t>
            </w:r>
          </w:p>
        </w:tc>
      </w:tr>
      <w:tr>
        <w:trPr>
          <w:trHeight w:val="144"/>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(City)</w:t>
            </w:r>
          </w:p>
        </w:tc>
        <w:tc>
          <w:tcPr>
            <w:tcW w:w="1040" w:type="dxa"/>
            <w:vAlign w:val="bottom"/>
          </w:tcPr>
          <w:p>
            <w:pPr>
              <w:ind w:left="160"/>
              <w:spacing w:after="0"/>
              <w:rPr>
                <w:sz w:val="20"/>
                <w:szCs w:val="20"/>
                <w:color w:val="auto"/>
              </w:rPr>
            </w:pPr>
            <w:r>
              <w:rPr>
                <w:rFonts w:ascii="Arial" w:cs="Arial" w:eastAsia="Arial" w:hAnsi="Arial"/>
                <w:sz w:val="12"/>
                <w:szCs w:val="12"/>
                <w:color w:val="auto"/>
              </w:rPr>
              <w:t>(State)</w:t>
            </w:r>
          </w:p>
        </w:tc>
        <w:tc>
          <w:tcPr>
            <w:tcW w:w="1520" w:type="dxa"/>
            <w:vAlign w:val="bottom"/>
          </w:tcPr>
          <w:p>
            <w:pPr>
              <w:ind w:left="3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760" w:type="dxa"/>
            <w:vAlign w:val="bottom"/>
            <w:gridSpan w:val="3"/>
          </w:tcPr>
          <w:p>
            <w:pPr>
              <w:spacing w:after="0" w:line="132" w:lineRule="exact"/>
              <w:rPr>
                <w:rFonts w:ascii="Arial" w:cs="Arial" w:eastAsia="Arial" w:hAnsi="Arial"/>
                <w:sz w:val="14"/>
                <w:szCs w:val="14"/>
                <w:color w:val="0000EE"/>
              </w:rPr>
            </w:pPr>
            <w:hyperlink r:id="rId13">
              <w:r>
                <w:rPr>
                  <w:rFonts w:ascii="Arial" w:cs="Arial" w:eastAsia="Arial" w:hAnsi="Arial"/>
                  <w:sz w:val="14"/>
                  <w:szCs w:val="14"/>
                  <w:color w:val="0000EE"/>
                </w:rPr>
                <w:t xml:space="preserve">Guidewire Software,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2"/>
                <w:szCs w:val="12"/>
                <w:color w:val="0000FF"/>
              </w:rPr>
              <w:t>GWRE</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9"/>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340" w:type="dxa"/>
            <w:vAlign w:val="bottom"/>
          </w:tcPr>
          <w:p>
            <w:pPr>
              <w:ind w:left="100"/>
              <w:spacing w:after="0" w:line="114" w:lineRule="exact"/>
              <w:rPr>
                <w:sz w:val="20"/>
                <w:szCs w:val="20"/>
                <w:color w:val="auto"/>
              </w:rPr>
            </w:pPr>
            <w:r>
              <w:rPr>
                <w:rFonts w:ascii="Arial" w:cs="Arial" w:eastAsia="Arial" w:hAnsi="Arial"/>
                <w:sz w:val="12"/>
                <w:szCs w:val="12"/>
                <w:color w:val="auto"/>
              </w:rPr>
              <w:t>below)</w:t>
            </w:r>
          </w:p>
        </w:tc>
        <w:tc>
          <w:tcPr>
            <w:tcW w:w="1480" w:type="dxa"/>
            <w:vAlign w:val="bottom"/>
          </w:tcPr>
          <w:p>
            <w:pPr>
              <w:ind w:left="36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7"/>
        </w:trPr>
        <w:tc>
          <w:tcPr>
            <w:tcW w:w="2080" w:type="dxa"/>
            <w:vAlign w:val="bottom"/>
            <w:gridSpan w:val="3"/>
          </w:tcPr>
          <w:p>
            <w:pPr>
              <w:ind w:left="60"/>
              <w:spacing w:after="0"/>
              <w:rPr>
                <w:sz w:val="20"/>
                <w:szCs w:val="20"/>
                <w:color w:val="auto"/>
              </w:rPr>
            </w:pPr>
            <w:r>
              <w:rPr>
                <w:rFonts w:ascii="Arial" w:cs="Arial" w:eastAsia="Arial" w:hAnsi="Arial"/>
                <w:sz w:val="16"/>
                <w:szCs w:val="16"/>
                <w:color w:val="0000FF"/>
              </w:rPr>
              <w:t>09/13/2023</w:t>
            </w:r>
          </w:p>
        </w:tc>
        <w:tc>
          <w:tcPr>
            <w:tcW w:w="1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20" w:type="dxa"/>
            <w:vAlign w:val="bottom"/>
            <w:gridSpan w:val="2"/>
            <w:vMerge w:val="restart"/>
          </w:tcPr>
          <w:p>
            <w:pPr>
              <w:ind w:left="420"/>
              <w:spacing w:after="0"/>
              <w:rPr>
                <w:sz w:val="20"/>
                <w:szCs w:val="20"/>
                <w:color w:val="auto"/>
              </w:rPr>
            </w:pPr>
            <w:r>
              <w:rPr>
                <w:rFonts w:ascii="Arial" w:cs="Arial" w:eastAsia="Arial" w:hAnsi="Arial"/>
                <w:sz w:val="16"/>
                <w:szCs w:val="16"/>
                <w:color w:val="0000FF"/>
              </w:rPr>
              <w:t>Chief Financial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30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5" w:lineRule="exact"/>
        <w:rPr>
          <w:sz w:val="24"/>
          <w:szCs w:val="24"/>
          <w:color w:val="auto"/>
        </w:rPr>
      </w:pPr>
    </w:p>
    <w:p>
      <w:pPr>
        <w:ind w:left="300" w:right="320"/>
        <w:spacing w:after="0" w:line="26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6" w:lineRule="exact"/>
        <w:rPr>
          <w:sz w:val="24"/>
          <w:szCs w:val="24"/>
          <w:color w:val="auto"/>
        </w:rPr>
      </w:pPr>
    </w:p>
    <w:p>
      <w:pPr>
        <w:sectPr>
          <w:pgSz w:w="11900" w:h="16838" w:orient="portrait"/>
          <w:cols w:equalWidth="0" w:num="2">
            <w:col w:w="3740" w:space="100"/>
            <w:col w:w="7240"/>
          </w:cols>
          <w:pgMar w:left="460" w:top="220" w:right="359" w:bottom="996"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jc w:val="center"/>
              <w:ind w:left="672"/>
              <w:spacing w:after="0" w:line="125"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vMerge w:val="continue"/>
          </w:tcPr>
          <w:p>
            <w:pPr>
              <w:spacing w:after="0"/>
              <w:rPr>
                <w:sz w:val="10"/>
                <w:szCs w:val="10"/>
                <w:color w:val="auto"/>
              </w:rPr>
            </w:pP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52"/>
              <w:spacing w:after="0"/>
              <w:rPr>
                <w:sz w:val="20"/>
                <w:szCs w:val="20"/>
                <w:color w:val="auto"/>
              </w:rPr>
            </w:pPr>
            <w:r>
              <w:rPr>
                <w:rFonts w:ascii="Arial" w:cs="Arial" w:eastAsia="Arial" w:hAnsi="Arial"/>
                <w:sz w:val="16"/>
                <w:szCs w:val="16"/>
                <w:color w:val="0000FF"/>
                <w:w w:val="92"/>
              </w:rPr>
              <w:t>09/13/2023</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A</w:t>
            </w:r>
          </w:p>
        </w:tc>
        <w:tc>
          <w:tcPr>
            <w:tcW w:w="720" w:type="dxa"/>
            <w:vAlign w:val="bottom"/>
            <w:tcBorders>
              <w:bottom w:val="single" w:sz="8" w:color="2C2C2C"/>
            </w:tcBorders>
          </w:tcPr>
          <w:p>
            <w:pPr>
              <w:jc w:val="center"/>
              <w:ind w:left="14"/>
              <w:spacing w:after="0"/>
              <w:rPr>
                <w:sz w:val="20"/>
                <w:szCs w:val="20"/>
                <w:color w:val="auto"/>
              </w:rPr>
            </w:pPr>
            <w:r>
              <w:rPr>
                <w:rFonts w:ascii="Arial" w:cs="Arial" w:eastAsia="Arial" w:hAnsi="Arial"/>
                <w:sz w:val="16"/>
                <w:szCs w:val="16"/>
                <w:color w:val="0000FF"/>
                <w:w w:val="89"/>
              </w:rPr>
              <w:t>27,813</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5"/>
              </w:rPr>
              <w:t>77,812</w:t>
            </w:r>
            <w:r>
              <w:rPr>
                <w:rFonts w:ascii="Arial" w:cs="Arial" w:eastAsia="Arial" w:hAnsi="Arial"/>
                <w:sz w:val="20"/>
                <w:szCs w:val="20"/>
                <w:color w:val="008000"/>
                <w:w w:val="85"/>
                <w:vertAlign w:val="superscript"/>
              </w:rPr>
              <w:t>(1)</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Pr>
          <w:p>
            <w:pPr>
              <w:spacing w:after="0"/>
              <w:rPr>
                <w:sz w:val="21"/>
                <w:szCs w:val="21"/>
                <w:color w:val="auto"/>
              </w:rPr>
            </w:pPr>
          </w:p>
        </w:tc>
        <w:tc>
          <w:tcPr>
            <w:tcW w:w="1820" w:type="dxa"/>
            <w:vAlign w:val="bottom"/>
            <w:gridSpan w:val="2"/>
          </w:tcPr>
          <w:p>
            <w:pPr>
              <w:jc w:val="center"/>
              <w:ind w:left="652"/>
              <w:spacing w:after="0"/>
              <w:rPr>
                <w:sz w:val="20"/>
                <w:szCs w:val="20"/>
                <w:color w:val="auto"/>
              </w:rPr>
            </w:pPr>
            <w:r>
              <w:rPr>
                <w:rFonts w:ascii="Arial" w:cs="Arial" w:eastAsia="Arial" w:hAnsi="Arial"/>
                <w:sz w:val="16"/>
                <w:szCs w:val="16"/>
                <w:color w:val="0000FF"/>
                <w:w w:val="92"/>
              </w:rPr>
              <w:t>09/15/2023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2"/>
                <w:szCs w:val="12"/>
                <w:color w:val="0000FF"/>
              </w:rPr>
              <w:t>M</w:t>
            </w:r>
          </w:p>
        </w:tc>
        <w:tc>
          <w:tcPr>
            <w:tcW w:w="720" w:type="dxa"/>
            <w:vAlign w:val="bottom"/>
          </w:tcPr>
          <w:p>
            <w:pPr>
              <w:jc w:val="center"/>
              <w:ind w:left="14"/>
              <w:spacing w:after="0"/>
              <w:rPr>
                <w:sz w:val="20"/>
                <w:szCs w:val="20"/>
                <w:color w:val="auto"/>
              </w:rPr>
            </w:pPr>
            <w:r>
              <w:rPr>
                <w:rFonts w:ascii="Arial" w:cs="Arial" w:eastAsia="Arial" w:hAnsi="Arial"/>
                <w:sz w:val="16"/>
                <w:szCs w:val="16"/>
                <w:color w:val="0000FF"/>
                <w:w w:val="89"/>
              </w:rPr>
              <w:t>3,528</w:t>
            </w:r>
          </w:p>
        </w:tc>
        <w:tc>
          <w:tcPr>
            <w:tcW w:w="660" w:type="dxa"/>
            <w:vAlign w:val="bottom"/>
          </w:tcPr>
          <w:p>
            <w:pPr>
              <w:ind w:left="280"/>
              <w:spacing w:after="0"/>
              <w:rPr>
                <w:sz w:val="20"/>
                <w:szCs w:val="20"/>
                <w:color w:val="auto"/>
              </w:rPr>
            </w:pPr>
            <w:r>
              <w:rPr>
                <w:rFonts w:ascii="Arial" w:cs="Arial" w:eastAsia="Arial" w:hAnsi="Arial"/>
                <w:sz w:val="16"/>
                <w:szCs w:val="16"/>
                <w:color w:val="0000FF"/>
              </w:rPr>
              <w:t>A</w:t>
            </w:r>
          </w:p>
        </w:tc>
        <w:tc>
          <w:tcPr>
            <w:tcW w:w="500" w:type="dxa"/>
            <w:vAlign w:val="bottom"/>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81,340</w:t>
            </w:r>
          </w:p>
        </w:tc>
        <w:tc>
          <w:tcPr>
            <w:tcW w:w="32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Pr>
          <w:p>
            <w:pPr>
              <w:spacing w:after="0"/>
              <w:rPr>
                <w:sz w:val="21"/>
                <w:szCs w:val="21"/>
                <w:color w:val="auto"/>
              </w:rPr>
            </w:pPr>
          </w:p>
        </w:tc>
        <w:tc>
          <w:tcPr>
            <w:tcW w:w="1820" w:type="dxa"/>
            <w:vAlign w:val="bottom"/>
            <w:gridSpan w:val="2"/>
          </w:tcPr>
          <w:p>
            <w:pPr>
              <w:jc w:val="center"/>
              <w:ind w:left="652"/>
              <w:spacing w:after="0"/>
              <w:rPr>
                <w:sz w:val="20"/>
                <w:szCs w:val="20"/>
                <w:color w:val="auto"/>
              </w:rPr>
            </w:pPr>
            <w:r>
              <w:rPr>
                <w:rFonts w:ascii="Arial" w:cs="Arial" w:eastAsia="Arial" w:hAnsi="Arial"/>
                <w:sz w:val="16"/>
                <w:szCs w:val="16"/>
                <w:color w:val="0000FF"/>
                <w:w w:val="92"/>
              </w:rPr>
              <w:t>09/15/2023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2"/>
                <w:szCs w:val="12"/>
                <w:color w:val="0000FF"/>
              </w:rPr>
              <w:t>M</w:t>
            </w:r>
          </w:p>
        </w:tc>
        <w:tc>
          <w:tcPr>
            <w:tcW w:w="720" w:type="dxa"/>
            <w:vAlign w:val="bottom"/>
          </w:tcPr>
          <w:p>
            <w:pPr>
              <w:jc w:val="center"/>
              <w:ind w:left="14"/>
              <w:spacing w:after="0"/>
              <w:rPr>
                <w:sz w:val="20"/>
                <w:szCs w:val="20"/>
                <w:color w:val="auto"/>
              </w:rPr>
            </w:pPr>
            <w:r>
              <w:rPr>
                <w:rFonts w:ascii="Arial" w:cs="Arial" w:eastAsia="Arial" w:hAnsi="Arial"/>
                <w:sz w:val="16"/>
                <w:szCs w:val="16"/>
                <w:color w:val="0000FF"/>
                <w:w w:val="89"/>
              </w:rPr>
              <w:t>3,152</w:t>
            </w:r>
          </w:p>
        </w:tc>
        <w:tc>
          <w:tcPr>
            <w:tcW w:w="660" w:type="dxa"/>
            <w:vAlign w:val="bottom"/>
          </w:tcPr>
          <w:p>
            <w:pPr>
              <w:ind w:left="280"/>
              <w:spacing w:after="0"/>
              <w:rPr>
                <w:sz w:val="20"/>
                <w:szCs w:val="20"/>
                <w:color w:val="auto"/>
              </w:rPr>
            </w:pPr>
            <w:r>
              <w:rPr>
                <w:rFonts w:ascii="Arial" w:cs="Arial" w:eastAsia="Arial" w:hAnsi="Arial"/>
                <w:sz w:val="16"/>
                <w:szCs w:val="16"/>
                <w:color w:val="0000FF"/>
              </w:rPr>
              <w:t>A</w:t>
            </w:r>
          </w:p>
        </w:tc>
        <w:tc>
          <w:tcPr>
            <w:tcW w:w="500" w:type="dxa"/>
            <w:vAlign w:val="bottom"/>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84,492</w:t>
            </w:r>
          </w:p>
        </w:tc>
        <w:tc>
          <w:tcPr>
            <w:tcW w:w="32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Pr>
          <w:p>
            <w:pPr>
              <w:spacing w:after="0"/>
              <w:rPr>
                <w:sz w:val="21"/>
                <w:szCs w:val="21"/>
                <w:color w:val="auto"/>
              </w:rPr>
            </w:pPr>
          </w:p>
        </w:tc>
        <w:tc>
          <w:tcPr>
            <w:tcW w:w="1820" w:type="dxa"/>
            <w:vAlign w:val="bottom"/>
            <w:gridSpan w:val="2"/>
          </w:tcPr>
          <w:p>
            <w:pPr>
              <w:jc w:val="center"/>
              <w:ind w:left="652"/>
              <w:spacing w:after="0"/>
              <w:rPr>
                <w:sz w:val="20"/>
                <w:szCs w:val="20"/>
                <w:color w:val="auto"/>
              </w:rPr>
            </w:pPr>
            <w:r>
              <w:rPr>
                <w:rFonts w:ascii="Arial" w:cs="Arial" w:eastAsia="Arial" w:hAnsi="Arial"/>
                <w:sz w:val="16"/>
                <w:szCs w:val="16"/>
                <w:color w:val="0000FF"/>
                <w:w w:val="92"/>
              </w:rPr>
              <w:t>09/15/2023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2"/>
                <w:szCs w:val="12"/>
                <w:color w:val="0000FF"/>
              </w:rPr>
              <w:t>M</w:t>
            </w:r>
          </w:p>
        </w:tc>
        <w:tc>
          <w:tcPr>
            <w:tcW w:w="720" w:type="dxa"/>
            <w:vAlign w:val="bottom"/>
          </w:tcPr>
          <w:p>
            <w:pPr>
              <w:jc w:val="center"/>
              <w:ind w:left="14"/>
              <w:spacing w:after="0"/>
              <w:rPr>
                <w:sz w:val="20"/>
                <w:szCs w:val="20"/>
                <w:color w:val="auto"/>
              </w:rPr>
            </w:pPr>
            <w:r>
              <w:rPr>
                <w:rFonts w:ascii="Arial" w:cs="Arial" w:eastAsia="Arial" w:hAnsi="Arial"/>
                <w:sz w:val="16"/>
                <w:szCs w:val="16"/>
                <w:color w:val="0000FF"/>
                <w:w w:val="89"/>
              </w:rPr>
              <w:t>4,671</w:t>
            </w:r>
          </w:p>
        </w:tc>
        <w:tc>
          <w:tcPr>
            <w:tcW w:w="660" w:type="dxa"/>
            <w:vAlign w:val="bottom"/>
          </w:tcPr>
          <w:p>
            <w:pPr>
              <w:ind w:left="280"/>
              <w:spacing w:after="0"/>
              <w:rPr>
                <w:sz w:val="20"/>
                <w:szCs w:val="20"/>
                <w:color w:val="auto"/>
              </w:rPr>
            </w:pPr>
            <w:r>
              <w:rPr>
                <w:rFonts w:ascii="Arial" w:cs="Arial" w:eastAsia="Arial" w:hAnsi="Arial"/>
                <w:sz w:val="16"/>
                <w:szCs w:val="16"/>
                <w:color w:val="0000FF"/>
              </w:rPr>
              <w:t>A</w:t>
            </w:r>
          </w:p>
        </w:tc>
        <w:tc>
          <w:tcPr>
            <w:tcW w:w="500" w:type="dxa"/>
            <w:vAlign w:val="bottom"/>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89,163</w:t>
            </w:r>
          </w:p>
        </w:tc>
        <w:tc>
          <w:tcPr>
            <w:tcW w:w="32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8"/>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39"/>
              <w:spacing w:after="0"/>
              <w:rPr>
                <w:sz w:val="20"/>
                <w:szCs w:val="20"/>
                <w:color w:val="auto"/>
              </w:rPr>
            </w:pPr>
            <w:r>
              <w:rPr>
                <w:rFonts w:ascii="Arial" w:cs="Arial" w:eastAsia="Arial" w:hAnsi="Arial"/>
                <w:sz w:val="11"/>
                <w:szCs w:val="11"/>
                <w:b w:val="1"/>
                <w:bCs w:val="1"/>
                <w:color w:val="auto"/>
                <w:w w:val="98"/>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39"/>
              <w:spacing w:after="0" w:line="125" w:lineRule="exact"/>
              <w:rPr>
                <w:sz w:val="20"/>
                <w:szCs w:val="20"/>
                <w:color w:val="auto"/>
              </w:rPr>
            </w:pPr>
            <w:r>
              <w:rPr>
                <w:rFonts w:ascii="Arial" w:cs="Arial" w:eastAsia="Arial" w:hAnsi="Arial"/>
                <w:sz w:val="11"/>
                <w:szCs w:val="11"/>
                <w:b w:val="1"/>
                <w:bCs w:val="1"/>
                <w:color w:val="auto"/>
                <w:w w:val="98"/>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5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2"/>
                <w:szCs w:val="12"/>
                <w:color w:val="0000FF"/>
                <w:w w:val="98"/>
              </w:rPr>
              <w:t>Performance</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20" w:type="dxa"/>
            <w:vAlign w:val="bottom"/>
          </w:tcPr>
          <w:p>
            <w:pPr>
              <w:jc w:val="center"/>
              <w:spacing w:after="0"/>
              <w:rPr>
                <w:sz w:val="20"/>
                <w:szCs w:val="20"/>
                <w:color w:val="auto"/>
              </w:rPr>
            </w:pPr>
            <w:r>
              <w:rPr>
                <w:rFonts w:ascii="Arial" w:cs="Arial" w:eastAsia="Arial" w:hAnsi="Arial"/>
                <w:sz w:val="12"/>
                <w:szCs w:val="12"/>
                <w:color w:val="0000FF"/>
                <w:w w:val="93"/>
              </w:rPr>
              <w:t>09/13/2023</w:t>
            </w:r>
          </w:p>
        </w:tc>
        <w:tc>
          <w:tcPr>
            <w:tcW w:w="1080" w:type="dxa"/>
            <w:vAlign w:val="bottom"/>
          </w:tcPr>
          <w:p>
            <w:pPr>
              <w:spacing w:after="0"/>
              <w:rPr>
                <w:sz w:val="19"/>
                <w:szCs w:val="19"/>
                <w:color w:val="auto"/>
              </w:rPr>
            </w:pPr>
          </w:p>
        </w:tc>
        <w:tc>
          <w:tcPr>
            <w:tcW w:w="740" w:type="dxa"/>
            <w:vAlign w:val="bottom"/>
          </w:tcPr>
          <w:p>
            <w:pPr>
              <w:jc w:val="center"/>
              <w:ind w:right="281"/>
              <w:spacing w:after="0"/>
              <w:rPr>
                <w:sz w:val="20"/>
                <w:szCs w:val="20"/>
                <w:color w:val="auto"/>
              </w:rPr>
            </w:pPr>
            <w:r>
              <w:rPr>
                <w:rFonts w:ascii="Arial" w:cs="Arial" w:eastAsia="Arial" w:hAnsi="Arial"/>
                <w:sz w:val="12"/>
                <w:szCs w:val="12"/>
                <w:color w:val="0000FF"/>
                <w:w w:val="99"/>
              </w:rPr>
              <w:t>A</w:t>
            </w:r>
          </w:p>
        </w:tc>
        <w:tc>
          <w:tcPr>
            <w:tcW w:w="520" w:type="dxa"/>
            <w:vAlign w:val="bottom"/>
          </w:tcPr>
          <w:p>
            <w:pPr>
              <w:ind w:left="100"/>
              <w:spacing w:after="0"/>
              <w:rPr>
                <w:sz w:val="20"/>
                <w:szCs w:val="20"/>
                <w:color w:val="auto"/>
              </w:rPr>
            </w:pPr>
            <w:r>
              <w:rPr>
                <w:rFonts w:ascii="Arial" w:cs="Arial" w:eastAsia="Arial" w:hAnsi="Arial"/>
                <w:sz w:val="12"/>
                <w:szCs w:val="12"/>
                <w:color w:val="0000FF"/>
              </w:rPr>
              <w:t>27,813</w:t>
            </w:r>
          </w:p>
        </w:tc>
        <w:tc>
          <w:tcPr>
            <w:tcW w:w="500" w:type="dxa"/>
            <w:vAlign w:val="bottom"/>
          </w:tcPr>
          <w:p>
            <w:pPr>
              <w:spacing w:after="0"/>
              <w:rPr>
                <w:sz w:val="19"/>
                <w:szCs w:val="19"/>
                <w:color w:val="auto"/>
              </w:rPr>
            </w:pPr>
          </w:p>
        </w:tc>
        <w:tc>
          <w:tcPr>
            <w:tcW w:w="780" w:type="dxa"/>
            <w:vAlign w:val="bottom"/>
          </w:tcPr>
          <w:p>
            <w:pPr>
              <w:ind w:left="360"/>
              <w:spacing w:after="0"/>
              <w:rPr>
                <w:sz w:val="20"/>
                <w:szCs w:val="20"/>
                <w:color w:val="auto"/>
              </w:rPr>
            </w:pPr>
            <w:r>
              <w:rPr>
                <w:rFonts w:ascii="Arial" w:cs="Arial" w:eastAsia="Arial" w:hAnsi="Arial"/>
                <w:sz w:val="10"/>
                <w:szCs w:val="10"/>
                <w:color w:val="008000"/>
              </w:rPr>
              <w:t>(2)</w:t>
            </w:r>
          </w:p>
        </w:tc>
        <w:tc>
          <w:tcPr>
            <w:tcW w:w="720" w:type="dxa"/>
            <w:vAlign w:val="bottom"/>
          </w:tcPr>
          <w:p>
            <w:pPr>
              <w:ind w:left="80"/>
              <w:spacing w:after="0"/>
              <w:rPr>
                <w:sz w:val="20"/>
                <w:szCs w:val="20"/>
                <w:color w:val="auto"/>
              </w:rPr>
            </w:pPr>
            <w:r>
              <w:rPr>
                <w:rFonts w:ascii="Arial" w:cs="Arial" w:eastAsia="Arial" w:hAnsi="Arial"/>
                <w:sz w:val="12"/>
                <w:szCs w:val="12"/>
                <w:color w:val="0000FF"/>
              </w:rPr>
              <w:t>09/13/2033</w:t>
            </w:r>
          </w:p>
        </w:tc>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500" w:type="dxa"/>
            <w:vAlign w:val="bottom"/>
          </w:tcPr>
          <w:p>
            <w:pPr>
              <w:jc w:val="center"/>
              <w:spacing w:after="0"/>
              <w:rPr>
                <w:sz w:val="20"/>
                <w:szCs w:val="20"/>
                <w:color w:val="auto"/>
              </w:rPr>
            </w:pPr>
            <w:r>
              <w:rPr>
                <w:rFonts w:ascii="Arial" w:cs="Arial" w:eastAsia="Arial" w:hAnsi="Arial"/>
                <w:sz w:val="16"/>
                <w:szCs w:val="16"/>
                <w:color w:val="0000FF"/>
                <w:w w:val="89"/>
              </w:rPr>
              <w:t>27,813</w:t>
            </w:r>
          </w:p>
        </w:tc>
        <w:tc>
          <w:tcPr>
            <w:tcW w:w="40" w:type="dxa"/>
            <w:vAlign w:val="bottom"/>
          </w:tcPr>
          <w:p>
            <w:pPr>
              <w:spacing w:after="0"/>
              <w:rPr>
                <w:sz w:val="19"/>
                <w:szCs w:val="19"/>
                <w:color w:val="auto"/>
              </w:rPr>
            </w:pPr>
          </w:p>
        </w:tc>
        <w:tc>
          <w:tcPr>
            <w:tcW w:w="700" w:type="dxa"/>
            <w:vAlign w:val="bottom"/>
          </w:tcPr>
          <w:p>
            <w:pPr>
              <w:jc w:val="center"/>
              <w:ind w:right="39"/>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20" w:type="dxa"/>
            <w:vAlign w:val="bottom"/>
            <w:gridSpan w:val="2"/>
          </w:tcPr>
          <w:p>
            <w:pPr>
              <w:jc w:val="center"/>
              <w:spacing w:after="0"/>
              <w:rPr>
                <w:sz w:val="20"/>
                <w:szCs w:val="20"/>
                <w:color w:val="auto"/>
              </w:rPr>
            </w:pPr>
            <w:r>
              <w:rPr>
                <w:rFonts w:ascii="Arial" w:cs="Arial" w:eastAsia="Arial" w:hAnsi="Arial"/>
                <w:sz w:val="12"/>
                <w:szCs w:val="12"/>
                <w:color w:val="0000FF"/>
                <w:w w:val="92"/>
              </w:rPr>
              <w:t>27,813</w:t>
            </w:r>
          </w:p>
        </w:tc>
        <w:tc>
          <w:tcPr>
            <w:tcW w:w="640" w:type="dxa"/>
            <w:vAlign w:val="bottom"/>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12"/>
                <w:szCs w:val="12"/>
                <w:color w:val="0000FF"/>
              </w:rPr>
              <w:t>Shares</w:t>
            </w: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Stock</w:t>
            </w:r>
          </w:p>
        </w:tc>
        <w:tc>
          <w:tcPr>
            <w:tcW w:w="5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color w:val="0000FF"/>
                <w:w w:val="98"/>
              </w:rPr>
              <w:t>Performance</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20" w:type="dxa"/>
            <w:vAlign w:val="bottom"/>
            <w:vMerge w:val="restart"/>
          </w:tcPr>
          <w:p>
            <w:pPr>
              <w:jc w:val="center"/>
              <w:spacing w:after="0"/>
              <w:rPr>
                <w:sz w:val="20"/>
                <w:szCs w:val="20"/>
                <w:color w:val="auto"/>
              </w:rPr>
            </w:pPr>
            <w:r>
              <w:rPr>
                <w:rFonts w:ascii="Arial" w:cs="Arial" w:eastAsia="Arial" w:hAnsi="Arial"/>
                <w:sz w:val="12"/>
                <w:szCs w:val="12"/>
                <w:color w:val="0000FF"/>
                <w:w w:val="93"/>
              </w:rPr>
              <w:t>09/15/2023</w:t>
            </w:r>
          </w:p>
        </w:tc>
        <w:tc>
          <w:tcPr>
            <w:tcW w:w="1080" w:type="dxa"/>
            <w:vAlign w:val="bottom"/>
          </w:tcPr>
          <w:p>
            <w:pPr>
              <w:spacing w:after="0"/>
              <w:rPr>
                <w:sz w:val="15"/>
                <w:szCs w:val="15"/>
                <w:color w:val="auto"/>
              </w:rPr>
            </w:pPr>
          </w:p>
        </w:tc>
        <w:tc>
          <w:tcPr>
            <w:tcW w:w="740" w:type="dxa"/>
            <w:vAlign w:val="bottom"/>
            <w:vMerge w:val="restart"/>
          </w:tcPr>
          <w:p>
            <w:pPr>
              <w:jc w:val="center"/>
              <w:ind w:right="281"/>
              <w:spacing w:after="0"/>
              <w:rPr>
                <w:sz w:val="20"/>
                <w:szCs w:val="20"/>
                <w:color w:val="auto"/>
              </w:rPr>
            </w:pPr>
            <w:r>
              <w:rPr>
                <w:rFonts w:ascii="Arial" w:cs="Arial" w:eastAsia="Arial" w:hAnsi="Arial"/>
                <w:sz w:val="12"/>
                <w:szCs w:val="12"/>
                <w:color w:val="0000FF"/>
              </w:rPr>
              <w:t>M</w:t>
            </w:r>
          </w:p>
        </w:tc>
        <w:tc>
          <w:tcPr>
            <w:tcW w:w="5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0000FF"/>
                <w:w w:val="90"/>
              </w:rPr>
              <w:t>3,528</w:t>
            </w:r>
            <w:r>
              <w:rPr>
                <w:rFonts w:ascii="Arial" w:cs="Arial" w:eastAsia="Arial" w:hAnsi="Arial"/>
                <w:sz w:val="20"/>
                <w:szCs w:val="20"/>
                <w:color w:val="008000"/>
                <w:w w:val="90"/>
                <w:vertAlign w:val="superscript"/>
              </w:rPr>
              <w:t>(3)</w:t>
            </w: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(3)</w:t>
            </w:r>
          </w:p>
        </w:tc>
        <w:tc>
          <w:tcPr>
            <w:tcW w:w="720" w:type="dxa"/>
            <w:vAlign w:val="bottom"/>
            <w:vMerge w:val="restart"/>
          </w:tcPr>
          <w:p>
            <w:pPr>
              <w:ind w:left="80"/>
              <w:spacing w:after="0"/>
              <w:rPr>
                <w:sz w:val="20"/>
                <w:szCs w:val="20"/>
                <w:color w:val="auto"/>
              </w:rPr>
            </w:pPr>
            <w:r>
              <w:rPr>
                <w:rFonts w:ascii="Arial" w:cs="Arial" w:eastAsia="Arial" w:hAnsi="Arial"/>
                <w:sz w:val="12"/>
                <w:szCs w:val="12"/>
                <w:color w:val="0000FF"/>
              </w:rPr>
              <w:t>09/09/2030</w:t>
            </w:r>
          </w:p>
        </w:tc>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0000FF"/>
                <w:w w:val="89"/>
              </w:rPr>
              <w:t>3,528</w:t>
            </w:r>
          </w:p>
        </w:tc>
        <w:tc>
          <w:tcPr>
            <w:tcW w:w="40" w:type="dxa"/>
            <w:vAlign w:val="bottom"/>
          </w:tcPr>
          <w:p>
            <w:pPr>
              <w:spacing w:after="0"/>
              <w:rPr>
                <w:sz w:val="15"/>
                <w:szCs w:val="15"/>
                <w:color w:val="auto"/>
              </w:rPr>
            </w:pPr>
          </w:p>
        </w:tc>
        <w:tc>
          <w:tcPr>
            <w:tcW w:w="700" w:type="dxa"/>
            <w:vAlign w:val="bottom"/>
            <w:vMerge w:val="restart"/>
          </w:tcPr>
          <w:p>
            <w:pPr>
              <w:jc w:val="center"/>
              <w:ind w:right="39"/>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vMerge w:val="restart"/>
          </w:tcPr>
          <w:p>
            <w:pPr>
              <w:jc w:val="center"/>
              <w:ind w:left="222"/>
              <w:spacing w:after="0"/>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15"/>
                <w:szCs w:val="15"/>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color w:val="0000FF"/>
              </w:rPr>
              <w:t>Stock</w:t>
            </w:r>
          </w:p>
        </w:tc>
        <w:tc>
          <w:tcPr>
            <w:tcW w:w="5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color w:val="0000FF"/>
                <w:w w:val="98"/>
              </w:rPr>
              <w:t>Performance</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20" w:type="dxa"/>
            <w:vAlign w:val="bottom"/>
            <w:vMerge w:val="restart"/>
          </w:tcPr>
          <w:p>
            <w:pPr>
              <w:jc w:val="center"/>
              <w:spacing w:after="0"/>
              <w:rPr>
                <w:sz w:val="20"/>
                <w:szCs w:val="20"/>
                <w:color w:val="auto"/>
              </w:rPr>
            </w:pPr>
            <w:r>
              <w:rPr>
                <w:rFonts w:ascii="Arial" w:cs="Arial" w:eastAsia="Arial" w:hAnsi="Arial"/>
                <w:sz w:val="12"/>
                <w:szCs w:val="12"/>
                <w:color w:val="0000FF"/>
                <w:w w:val="93"/>
              </w:rPr>
              <w:t>09/15/2023</w:t>
            </w:r>
          </w:p>
        </w:tc>
        <w:tc>
          <w:tcPr>
            <w:tcW w:w="1080" w:type="dxa"/>
            <w:vAlign w:val="bottom"/>
          </w:tcPr>
          <w:p>
            <w:pPr>
              <w:spacing w:after="0"/>
              <w:rPr>
                <w:sz w:val="15"/>
                <w:szCs w:val="15"/>
                <w:color w:val="auto"/>
              </w:rPr>
            </w:pPr>
          </w:p>
        </w:tc>
        <w:tc>
          <w:tcPr>
            <w:tcW w:w="740" w:type="dxa"/>
            <w:vAlign w:val="bottom"/>
            <w:vMerge w:val="restart"/>
          </w:tcPr>
          <w:p>
            <w:pPr>
              <w:jc w:val="center"/>
              <w:ind w:right="281"/>
              <w:spacing w:after="0"/>
              <w:rPr>
                <w:sz w:val="20"/>
                <w:szCs w:val="20"/>
                <w:color w:val="auto"/>
              </w:rPr>
            </w:pPr>
            <w:r>
              <w:rPr>
                <w:rFonts w:ascii="Arial" w:cs="Arial" w:eastAsia="Arial" w:hAnsi="Arial"/>
                <w:sz w:val="12"/>
                <w:szCs w:val="12"/>
                <w:color w:val="0000FF"/>
              </w:rPr>
              <w:t>M</w:t>
            </w:r>
          </w:p>
        </w:tc>
        <w:tc>
          <w:tcPr>
            <w:tcW w:w="5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0000FF"/>
                <w:w w:val="90"/>
              </w:rPr>
              <w:t>3,152</w:t>
            </w:r>
            <w:r>
              <w:rPr>
                <w:rFonts w:ascii="Arial" w:cs="Arial" w:eastAsia="Arial" w:hAnsi="Arial"/>
                <w:sz w:val="20"/>
                <w:szCs w:val="20"/>
                <w:color w:val="008000"/>
                <w:w w:val="90"/>
                <w:vertAlign w:val="superscript"/>
              </w:rPr>
              <w:t>(4)</w:t>
            </w: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(4)</w:t>
            </w:r>
          </w:p>
        </w:tc>
        <w:tc>
          <w:tcPr>
            <w:tcW w:w="720" w:type="dxa"/>
            <w:vAlign w:val="bottom"/>
            <w:vMerge w:val="restart"/>
          </w:tcPr>
          <w:p>
            <w:pPr>
              <w:ind w:left="80"/>
              <w:spacing w:after="0"/>
              <w:rPr>
                <w:sz w:val="20"/>
                <w:szCs w:val="20"/>
                <w:color w:val="auto"/>
              </w:rPr>
            </w:pPr>
            <w:r>
              <w:rPr>
                <w:rFonts w:ascii="Arial" w:cs="Arial" w:eastAsia="Arial" w:hAnsi="Arial"/>
                <w:sz w:val="12"/>
                <w:szCs w:val="12"/>
                <w:color w:val="0000FF"/>
              </w:rPr>
              <w:t>09/14/2031</w:t>
            </w:r>
          </w:p>
        </w:tc>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0000FF"/>
                <w:w w:val="89"/>
              </w:rPr>
              <w:t>3,152</w:t>
            </w:r>
          </w:p>
        </w:tc>
        <w:tc>
          <w:tcPr>
            <w:tcW w:w="40" w:type="dxa"/>
            <w:vAlign w:val="bottom"/>
          </w:tcPr>
          <w:p>
            <w:pPr>
              <w:spacing w:after="0"/>
              <w:rPr>
                <w:sz w:val="15"/>
                <w:szCs w:val="15"/>
                <w:color w:val="auto"/>
              </w:rPr>
            </w:pPr>
          </w:p>
        </w:tc>
        <w:tc>
          <w:tcPr>
            <w:tcW w:w="700" w:type="dxa"/>
            <w:vAlign w:val="bottom"/>
            <w:vMerge w:val="restart"/>
          </w:tcPr>
          <w:p>
            <w:pPr>
              <w:jc w:val="center"/>
              <w:ind w:right="39"/>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10,905</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color w:val="0000FF"/>
              </w:rPr>
              <w:t>Stock</w:t>
            </w:r>
          </w:p>
        </w:tc>
        <w:tc>
          <w:tcPr>
            <w:tcW w:w="5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color w:val="0000FF"/>
                <w:w w:val="98"/>
              </w:rPr>
              <w:t>Performance</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20" w:type="dxa"/>
            <w:vAlign w:val="bottom"/>
            <w:vMerge w:val="restart"/>
          </w:tcPr>
          <w:p>
            <w:pPr>
              <w:jc w:val="center"/>
              <w:spacing w:after="0"/>
              <w:rPr>
                <w:sz w:val="20"/>
                <w:szCs w:val="20"/>
                <w:color w:val="auto"/>
              </w:rPr>
            </w:pPr>
            <w:r>
              <w:rPr>
                <w:rFonts w:ascii="Arial" w:cs="Arial" w:eastAsia="Arial" w:hAnsi="Arial"/>
                <w:sz w:val="12"/>
                <w:szCs w:val="12"/>
                <w:color w:val="0000FF"/>
                <w:w w:val="93"/>
              </w:rPr>
              <w:t>09/15/2023</w:t>
            </w:r>
          </w:p>
        </w:tc>
        <w:tc>
          <w:tcPr>
            <w:tcW w:w="1080" w:type="dxa"/>
            <w:vAlign w:val="bottom"/>
          </w:tcPr>
          <w:p>
            <w:pPr>
              <w:spacing w:after="0"/>
              <w:rPr>
                <w:sz w:val="15"/>
                <w:szCs w:val="15"/>
                <w:color w:val="auto"/>
              </w:rPr>
            </w:pPr>
          </w:p>
        </w:tc>
        <w:tc>
          <w:tcPr>
            <w:tcW w:w="740" w:type="dxa"/>
            <w:vAlign w:val="bottom"/>
            <w:vMerge w:val="restart"/>
          </w:tcPr>
          <w:p>
            <w:pPr>
              <w:jc w:val="center"/>
              <w:ind w:right="281"/>
              <w:spacing w:after="0"/>
              <w:rPr>
                <w:sz w:val="20"/>
                <w:szCs w:val="20"/>
                <w:color w:val="auto"/>
              </w:rPr>
            </w:pPr>
            <w:r>
              <w:rPr>
                <w:rFonts w:ascii="Arial" w:cs="Arial" w:eastAsia="Arial" w:hAnsi="Arial"/>
                <w:sz w:val="12"/>
                <w:szCs w:val="12"/>
                <w:color w:val="0000FF"/>
              </w:rPr>
              <w:t>M</w:t>
            </w:r>
          </w:p>
        </w:tc>
        <w:tc>
          <w:tcPr>
            <w:tcW w:w="5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0000FF"/>
                <w:w w:val="90"/>
              </w:rPr>
              <w:t>4,671</w:t>
            </w:r>
            <w:r>
              <w:rPr>
                <w:rFonts w:ascii="Arial" w:cs="Arial" w:eastAsia="Arial" w:hAnsi="Arial"/>
                <w:sz w:val="20"/>
                <w:szCs w:val="20"/>
                <w:color w:val="008000"/>
                <w:w w:val="90"/>
                <w:vertAlign w:val="superscript"/>
              </w:rPr>
              <w:t>(5)</w:t>
            </w: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(5)</w:t>
            </w:r>
          </w:p>
        </w:tc>
        <w:tc>
          <w:tcPr>
            <w:tcW w:w="720" w:type="dxa"/>
            <w:vAlign w:val="bottom"/>
            <w:vMerge w:val="restart"/>
          </w:tcPr>
          <w:p>
            <w:pPr>
              <w:ind w:left="80"/>
              <w:spacing w:after="0"/>
              <w:rPr>
                <w:sz w:val="20"/>
                <w:szCs w:val="20"/>
                <w:color w:val="auto"/>
              </w:rPr>
            </w:pPr>
            <w:r>
              <w:rPr>
                <w:rFonts w:ascii="Arial" w:cs="Arial" w:eastAsia="Arial" w:hAnsi="Arial"/>
                <w:sz w:val="12"/>
                <w:szCs w:val="12"/>
                <w:color w:val="0000FF"/>
              </w:rPr>
              <w:t>09/15/2032</w:t>
            </w:r>
          </w:p>
        </w:tc>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0000FF"/>
                <w:w w:val="89"/>
              </w:rPr>
              <w:t>4,671</w:t>
            </w:r>
          </w:p>
        </w:tc>
        <w:tc>
          <w:tcPr>
            <w:tcW w:w="40" w:type="dxa"/>
            <w:vAlign w:val="bottom"/>
          </w:tcPr>
          <w:p>
            <w:pPr>
              <w:spacing w:after="0"/>
              <w:rPr>
                <w:sz w:val="15"/>
                <w:szCs w:val="15"/>
                <w:color w:val="auto"/>
              </w:rPr>
            </w:pPr>
          </w:p>
        </w:tc>
        <w:tc>
          <w:tcPr>
            <w:tcW w:w="700" w:type="dxa"/>
            <w:vAlign w:val="bottom"/>
            <w:vMerge w:val="restart"/>
          </w:tcPr>
          <w:p>
            <w:pPr>
              <w:jc w:val="center"/>
              <w:ind w:right="39"/>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23,112</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color w:val="0000FF"/>
              </w:rPr>
              <w:t>Stock</w:t>
            </w:r>
          </w:p>
        </w:tc>
        <w:tc>
          <w:tcPr>
            <w:tcW w:w="5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-2383790</wp:posOffset>
            </wp:positionV>
            <wp:extent cx="28575" cy="2389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89505"/>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Accounts for transfer of shares from Reporting Person to spouse pursuant to a domestic relations order.</w:t>
      </w:r>
    </w:p>
    <w:p>
      <w:pPr>
        <w:spacing w:after="0" w:line="49" w:lineRule="exact"/>
        <w:rPr>
          <w:rFonts w:ascii="Arial" w:cs="Arial" w:eastAsia="Arial" w:hAnsi="Arial"/>
          <w:sz w:val="12"/>
          <w:szCs w:val="12"/>
          <w:color w:val="008000"/>
        </w:rPr>
      </w:pPr>
    </w:p>
    <w:p>
      <w:pPr>
        <w:ind w:left="40" w:right="160" w:hanging="3"/>
        <w:spacing w:after="0" w:line="272"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PSUs cliff vest at the end of the three-year performance period based on the average performance of the three one-year performance periods. One-year financial targets for each of the three performance measurement periods are set up front at time of grant.</w:t>
      </w:r>
    </w:p>
    <w:p>
      <w:pPr>
        <w:spacing w:after="0" w:line="12" w:lineRule="exact"/>
        <w:rPr>
          <w:rFonts w:ascii="Arial" w:cs="Arial" w:eastAsia="Arial" w:hAnsi="Arial"/>
          <w:sz w:val="12"/>
          <w:szCs w:val="12"/>
          <w:color w:val="008000"/>
        </w:rPr>
      </w:pPr>
    </w:p>
    <w:p>
      <w:pPr>
        <w:ind w:left="40" w:right="200" w:hanging="3"/>
        <w:spacing w:after="0" w:line="280"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performance stock units (PSUs) are split in two halves, with vesting of each subject to the satisfaction of both performance- and time-based conditions. Performance-based conditions would be satisfied if financial targets, determined by the Issuer, are met for fiscal year 2021 for the first half and fiscal year 2023 for the second half. Since the performance-based conditions for fiscal year 2021 were achieved, the first half vested based on performance as follows: 16.6% on each of September 15, 2021, September 15, 2022, and September 15, 2023.The second half vested on September 15, 2023, based on the Compensation Committee of the Board of Directors September 13, 2023 determination that 106.3% of the performance-based conditions for fiscal year 2023 were met resulting in an increase of 158 PSUs earned by the Reporting Person.</w:t>
      </w:r>
    </w:p>
    <w:p>
      <w:pPr>
        <w:spacing w:after="0" w:line="9" w:lineRule="exact"/>
        <w:rPr>
          <w:rFonts w:ascii="Arial" w:cs="Arial" w:eastAsia="Arial" w:hAnsi="Arial"/>
          <w:sz w:val="11"/>
          <w:szCs w:val="11"/>
          <w:color w:val="008000"/>
        </w:rPr>
      </w:pPr>
    </w:p>
    <w:p>
      <w:pPr>
        <w:ind w:left="40" w:right="140" w:hanging="3"/>
        <w:spacing w:after="0" w:line="250"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At the end of Year 1, 50% of this performance stock unit ("PSU") award will be determined based on performance against fiscal year 2022 financial targets, with the following vesting schedule: 33% vesting immediately, 33% vesting at end of Year 2, and 33% vesting at end of Year 3. On September 7, 2022, the Compensation Committee of the Board of Directors determined that 122% of the performance-based conditions were met resulting in an increase of 1,704 PSUs earned by the Reporting Person. At the end of Year 3, 50% of the PSU award will be determined based on performance against fiscal year 2024 financial targets, with the following vesting schedule: 100% vesting immediately.</w:t>
      </w:r>
    </w:p>
    <w:p>
      <w:pPr>
        <w:spacing w:after="0" w:line="24" w:lineRule="exact"/>
        <w:rPr>
          <w:rFonts w:ascii="Arial" w:cs="Arial" w:eastAsia="Arial" w:hAnsi="Arial"/>
          <w:sz w:val="12"/>
          <w:szCs w:val="12"/>
          <w:color w:val="008000"/>
        </w:rPr>
      </w:pPr>
    </w:p>
    <w:p>
      <w:pPr>
        <w:jc w:val="both"/>
        <w:ind w:left="40" w:right="260" w:hanging="3"/>
        <w:spacing w:after="0" w:line="255"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At the end of Year 1, as to 50% of this PSU award (Part 1), the Compensation Committee of the Board of Directors determined, on September 15, 2023, that 101.8% of the performance conditions against the FY23 ARR targets were met resulting in an increase of 249 PSUs earned by the Reporting Person. 33% of Part 1 vested immediately thereafter. 33% of Part 1 will vest at the end of Year 2, and 33% of Part 1 will vest at the end of Year 3. At the end of Year 3, 50% of the PSU award (Part 2) will be determined based on performance against the FY25 ARR targets.</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Arial" w:cs="Arial" w:eastAsia="Arial" w:hAnsi="Arial"/>
          <w:sz w:val="16"/>
          <w:szCs w:val="16"/>
          <w:color w:val="0000FF"/>
        </w:rPr>
        <w:t xml:space="preserve">By: Winston King, Attorney-in-  </w:t>
      </w:r>
      <w:r>
        <w:rPr>
          <w:rFonts w:ascii="Arial" w:cs="Arial" w:eastAsia="Arial" w:hAnsi="Arial"/>
          <w:sz w:val="32"/>
          <w:szCs w:val="32"/>
          <w:color w:val="0000FF"/>
          <w:vertAlign w:val="subscript"/>
        </w:rPr>
        <w:t>09/15/2023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-26035</wp:posOffset>
            </wp:positionV>
            <wp:extent cx="13188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89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 for Jeffrey Elliott Cooper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-16510</wp:posOffset>
            </wp:positionV>
            <wp:extent cx="12465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6505" cy="762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-80010</wp:posOffset>
            </wp:positionV>
            <wp:extent cx="4699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4"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9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5719" TargetMode="External"/><Relationship Id="rId13" Type="http://schemas.openxmlformats.org/officeDocument/2006/relationships/hyperlink" Target="http://www.sec.gov/cgi-bin/browse-edgar?action=getcompany&amp;CIK=00015283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2023-09-15T17:27:46Z</dcterms:created>
  <dcterms:modified xsi:type="dcterms:W3CDTF">2023-09-15T17:27:46Z</dcterms:modified>
</cp:coreProperties>
</file>