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fiscal year ended July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001-35394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Guidewire Software,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 </w:t>
      </w:r>
    </w:p>
    <w:tbl>
      <w:tblPr>
        <w:tblW w:w="418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36-4468504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970 Park Pl, Suite 200, San Mateo, California, 94403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(650) 357-9100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226" w:type="dxa"/>
        <w:jc w:val="center"/>
        <w:tblInd w:w="0" w:type="dxa"/>
        <w:tblLayout w:type="fixed"/>
        <w:tblCellMar>
          <w:top w:w="28" w:type="dxa"/>
          <w:left w:w="28" w:type="dxa"/>
          <w:bottom w:w="28" w:type="dxa"/>
          <w:right w:w="28" w:type="dxa"/>
        </w:tblCellMar>
      </w:tblPr>
      <w:tblGrid>
        <w:gridCol w:w="928"/>
        <w:gridCol w:w="813"/>
        <w:gridCol w:w="823"/>
        <w:gridCol w:w="109"/>
        <w:gridCol w:w="109"/>
        <w:gridCol w:w="109"/>
        <w:gridCol w:w="524"/>
        <w:gridCol w:w="524"/>
        <w:gridCol w:w="526"/>
        <w:gridCol w:w="109"/>
        <w:gridCol w:w="109"/>
        <w:gridCol w:w="109"/>
        <w:gridCol w:w="1005"/>
        <w:gridCol w:w="1005"/>
        <w:gridCol w:w="1424"/>
      </w:tblGrid>
      <w:tr>
        <w:trPr/>
        <w:tc>
          <w:tcPr>
            <w:tcW w:w="9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GWRE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 </w:t>
      </w:r>
    </w:p>
    <w:p>
      <w:pPr>
        <w:pStyle w:val="TextBody"/>
        <w:bidi w:val="0"/>
        <w:spacing w:lineRule="auto" w:line="288" w:before="60" w:after="283"/>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1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25"/>
        <w:gridCol w:w="125"/>
        <w:gridCol w:w="126"/>
        <w:gridCol w:w="109"/>
        <w:gridCol w:w="109"/>
        <w:gridCol w:w="109"/>
        <w:gridCol w:w="673"/>
        <w:gridCol w:w="673"/>
        <w:gridCol w:w="678"/>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7" w:before="60" w:after="283"/>
        <w:ind w:left="0" w:right="0" w:firstLine="36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68" w:before="0" w:after="0"/>
        <w:ind w:left="0" w:right="0" w:firstLine="36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before="0" w:after="0"/>
        <w:ind w:left="0" w:right="0" w:firstLine="360"/>
        <w:jc w:val="left"/>
        <w:rPr/>
      </w:pPr>
      <w:r>
        <w:rPr/>
      </w:r>
    </w:p>
    <w:p>
      <w:pPr>
        <w:pStyle w:val="TextBody"/>
        <w:bidi w:val="0"/>
        <w:spacing w:lineRule="auto" w:line="247" w:before="60" w:after="283"/>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common stock held by non-affiliates of the registrant, computed by reference to the closing price at which the common stock was sold on January 30, 2026, the last business day of the registrant’s most recently completed second fiscal quarter, as reported on the New York Stock Exchange, was approximately $7.4 billion.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 any other purpose.</w:t>
      </w:r>
    </w:p>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On August 31, 2026, the registrant had 81,992,669 shares of common stock issued and outstanding.</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its 2026 Annual Meeting of Stockholders are incorporated by reference into Part III of this report where indicated. Such Proxy Statement will be filed with the U.S. Securities and Exchange Commission within 120 days after the end of the fiscal year to which this report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Guidewire Software,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75"/>
        <w:gridCol w:w="2967"/>
        <w:gridCol w:w="2985"/>
        <w:gridCol w:w="136"/>
        <w:gridCol w:w="136"/>
        <w:gridCol w:w="19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d8975fd09cd414dbd82a30a6a6530aa_10">
              <w:r>
                <w:rPr>
                  <w:rStyle w:val="InternetLink"/>
                  <w:rFonts w:ascii="Times New Roman;serif" w:hAnsi="Times New Roman;serif"/>
                  <w:b/>
                  <w:color w:val="0000FF"/>
                  <w:sz w:val="20"/>
                  <w:u w:val="singl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6">
              <w:r>
                <w:rPr>
                  <w:rStyle w:val="InternetLink"/>
                  <w:rFonts w:ascii="Times New Roman;serif" w:hAnsi="Times New Roman;serif"/>
                  <w:b w:val="false"/>
                  <w:color w:val="0000FF"/>
                  <w:sz w:val="20"/>
                  <w:u w:val="single"/>
                </w:rPr>
                <w:t>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9">
              <w:r>
                <w:rPr>
                  <w:rStyle w:val="InternetLink"/>
                  <w:rFonts w:ascii="Times New Roman;serif" w:hAnsi="Times New Roman;serif"/>
                  <w:b w:val="false"/>
                  <w:color w:val="0000FF"/>
                  <w:sz w:val="20"/>
                  <w:u w:val="single"/>
                </w:rPr>
                <w:t>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9">
              <w:r>
                <w:rPr>
                  <w:rStyle w:val="InternetLink"/>
                  <w:rFonts w:ascii="Times New Roman;serif" w:hAnsi="Times New Roman;serif"/>
                  <w:b w:val="false"/>
                  <w:color w:val="0033CC"/>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25">
              <w:r>
                <w:rPr>
                  <w:rStyle w:val="InternetLink"/>
                  <w:rFonts w:ascii="Times New Roman;serif" w:hAnsi="Times New Roman;serif"/>
                  <w:b w:val="false"/>
                  <w:color w:val="0000FF"/>
                  <w:sz w:val="20"/>
                  <w:u w:val="single"/>
                </w:rPr>
                <w:t>Unresolved Staff Comments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25">
              <w:r>
                <w:rPr>
                  <w:rStyle w:val="InternetLink"/>
                  <w:rFonts w:ascii="Times New Roman;serif" w:hAnsi="Times New Roman;serif"/>
                  <w:b w:val="false"/>
                  <w:color w:val="0033CC"/>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28">
              <w:r>
                <w:rPr>
                  <w:rStyle w:val="InternetLink"/>
                  <w:rFonts w:ascii="Times New Roman;serif" w:hAnsi="Times New Roman;serif"/>
                  <w:b w:val="false"/>
                  <w:color w:val="0000FF"/>
                  <w:sz w:val="20"/>
                  <w:u w:val="single"/>
                </w:rPr>
                <w:t>Cybersecurity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28">
              <w:r>
                <w:rPr>
                  <w:rStyle w:val="InternetLink"/>
                  <w:rFonts w:ascii="Times New Roman;serif" w:hAnsi="Times New Roman;serif"/>
                  <w:b w:val="false"/>
                  <w:color w:val="0033CC"/>
                  <w:sz w:val="20"/>
                  <w:u w:val="single"/>
                </w:rPr>
                <w:t>41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31">
              <w:r>
                <w:rPr>
                  <w:rStyle w:val="InternetLink"/>
                  <w:rFonts w:ascii="Times New Roman;serif" w:hAnsi="Times New Roman;serif"/>
                  <w:b w:val="false"/>
                  <w:color w:val="0000FF"/>
                  <w:sz w:val="20"/>
                  <w:u w:val="single"/>
                </w:rPr>
                <w:t>Properties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31">
              <w:r>
                <w:rPr>
                  <w:rStyle w:val="InternetLink"/>
                  <w:rFonts w:ascii="Times New Roman;serif" w:hAnsi="Times New Roman;serif"/>
                  <w:b w:val="false"/>
                  <w:color w:val="0033CC"/>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34">
              <w:r>
                <w:rPr>
                  <w:rStyle w:val="InternetLink"/>
                  <w:rFonts w:ascii="Times New Roman;serif" w:hAnsi="Times New Roman;serif"/>
                  <w:b w:val="false"/>
                  <w:color w:val="0000FF"/>
                  <w:sz w:val="20"/>
                  <w:u w:val="single"/>
                </w:rPr>
                <w:t>Legal Proceedings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34">
              <w:r>
                <w:rPr>
                  <w:rStyle w:val="InternetLink"/>
                  <w:rFonts w:ascii="Times New Roman;serif" w:hAnsi="Times New Roman;serif"/>
                  <w:b w:val="false"/>
                  <w:color w:val="0033CC"/>
                  <w:sz w:val="20"/>
                  <w:u w:val="single"/>
                </w:rPr>
                <w:t>42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37">
              <w:r>
                <w:rPr>
                  <w:rStyle w:val="InternetLink"/>
                  <w:rFonts w:ascii="Times New Roman;serif" w:hAnsi="Times New Roman;serif"/>
                  <w:b w:val="false"/>
                  <w:color w:val="0000FF"/>
                  <w:sz w:val="20"/>
                  <w:u w:val="single"/>
                </w:rPr>
                <w:t>Mine Safety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37">
              <w:r>
                <w:rPr>
                  <w:rStyle w:val="InternetLink"/>
                  <w:rFonts w:ascii="Times New Roman;serif" w:hAnsi="Times New Roman;serif"/>
                  <w:b w:val="false"/>
                  <w:color w:val="0033CC"/>
                  <w:sz w:val="20"/>
                  <w:u w:val="single"/>
                </w:rPr>
                <w:t>42</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d8975fd09cd414dbd82a30a6a6530aa_40">
              <w:r>
                <w:rPr>
                  <w:rStyle w:val="InternetLink"/>
                  <w:rFonts w:ascii="Times New Roman;serif" w:hAnsi="Times New Roman;serif"/>
                  <w:b/>
                  <w:color w:val="0000FF"/>
                  <w:sz w:val="20"/>
                  <w:u w:val="singl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4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43">
              <w:r>
                <w:rPr>
                  <w:rStyle w:val="InternetLink"/>
                  <w:rFonts w:ascii="Times New Roman;serif" w:hAnsi="Times New Roman;serif"/>
                  <w:b w:val="false"/>
                  <w:color w:val="0033CC"/>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46">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49">
              <w:r>
                <w:rPr>
                  <w:rStyle w:val="InternetLink"/>
                  <w:rFonts w:ascii="Times New Roman;serif" w:hAnsi="Times New Roman;serif"/>
                  <w:b w:val="false"/>
                  <w:color w:val="0033CC"/>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70">
              <w:r>
                <w:rPr>
                  <w:rStyle w:val="InternetLink"/>
                  <w:rFonts w:ascii="Times New Roman;serif" w:hAnsi="Times New Roman;serif"/>
                  <w:b w:val="false"/>
                  <w:color w:val="0000FF"/>
                  <w:sz w:val="20"/>
                  <w:u w:val="single"/>
                </w:rPr>
                <w:t>Quantitative and Qualitative Disclosures About Market Risk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70">
              <w:r>
                <w:rPr>
                  <w:rStyle w:val="InternetLink"/>
                  <w:rFonts w:ascii="Times New Roman;serif" w:hAnsi="Times New Roman;serif"/>
                  <w:b w:val="false"/>
                  <w:color w:val="0033CC"/>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73">
              <w:r>
                <w:rPr>
                  <w:rStyle w:val="InternetLink"/>
                  <w:rFonts w:ascii="Times New Roman;serif" w:hAnsi="Times New Roman;serif"/>
                  <w:b w:val="false"/>
                  <w:color w:val="0000FF"/>
                  <w:sz w:val="20"/>
                  <w:u w:val="single"/>
                </w:rPr>
                <w:t>Financial Statements and Supplementary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73">
              <w:r>
                <w:rPr>
                  <w:rStyle w:val="InternetLink"/>
                  <w:rFonts w:ascii="Times New Roman;serif" w:hAnsi="Times New Roman;serif"/>
                  <w:b w:val="false"/>
                  <w:color w:val="0033CC"/>
                  <w:sz w:val="20"/>
                  <w:u w:val="single"/>
                </w:rPr>
                <w:t>62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48">
              <w:r>
                <w:rPr>
                  <w:rStyle w:val="InternetLink"/>
                  <w:rFonts w:ascii="Times New Roman;serif" w:hAnsi="Times New Roman;serif"/>
                  <w:b w:val="false"/>
                  <w:color w:val="0000FF"/>
                  <w:sz w:val="20"/>
                  <w:u w:val="single"/>
                </w:rPr>
                <w:t>Changes in and Disagreements with Accountants on Accounting and Financial Disclosures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48">
              <w:r>
                <w:rPr>
                  <w:rStyle w:val="InternetLink"/>
                  <w:rFonts w:ascii="Times New Roman;serif" w:hAnsi="Times New Roman;serif"/>
                  <w:b w:val="false"/>
                  <w:color w:val="0033CC"/>
                  <w:sz w:val="20"/>
                  <w:u w:val="single"/>
                </w:rPr>
                <w:t>103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51">
              <w:r>
                <w:rPr>
                  <w:rStyle w:val="InternetLink"/>
                  <w:rFonts w:ascii="Times New Roman;serif" w:hAnsi="Times New Roman;serif"/>
                  <w:b w:val="false"/>
                  <w:color w:val="0000FF"/>
                  <w:sz w:val="20"/>
                  <w:u w:val="single"/>
                </w:rPr>
                <w:t>Controls and Procedures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51">
              <w:r>
                <w:rPr>
                  <w:rStyle w:val="InternetLink"/>
                  <w:rFonts w:ascii="Times New Roman;serif" w:hAnsi="Times New Roman;serif"/>
                  <w:b w:val="false"/>
                  <w:color w:val="0033CC"/>
                  <w:sz w:val="20"/>
                  <w:u w:val="single"/>
                </w:rPr>
                <w:t>103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54">
              <w:r>
                <w:rPr>
                  <w:rStyle w:val="InternetLink"/>
                  <w:rFonts w:ascii="Times New Roman;serif" w:hAnsi="Times New Roman;serif"/>
                  <w:b w:val="false"/>
                  <w:color w:val="0000FF"/>
                  <w:sz w:val="20"/>
                  <w:u w:val="single"/>
                </w:rPr>
                <w:t>Other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54">
              <w:r>
                <w:rPr>
                  <w:rStyle w:val="InternetLink"/>
                  <w:rFonts w:ascii="Times New Roman;serif" w:hAnsi="Times New Roman;serif"/>
                  <w:b w:val="false"/>
                  <w:color w:val="0033CC"/>
                  <w:sz w:val="20"/>
                  <w:u w:val="single"/>
                </w:rPr>
                <w:t>104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57">
              <w:r>
                <w:rPr>
                  <w:rStyle w:val="InternetLink"/>
                  <w:rFonts w:ascii="Times New Roman;serif" w:hAnsi="Times New Roman;serif"/>
                  <w:b w:val="false"/>
                  <w:color w:val="0000FF"/>
                  <w:sz w:val="20"/>
                  <w:u w:val="single"/>
                </w:rPr>
                <w:t>Disclosure Regarding Foreign Jurisdictions that Prevent Inspections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57">
              <w:r>
                <w:rPr>
                  <w:rStyle w:val="InternetLink"/>
                  <w:rFonts w:ascii="Times New Roman;serif" w:hAnsi="Times New Roman;serif"/>
                  <w:b w:val="false"/>
                  <w:color w:val="0033CC"/>
                  <w:sz w:val="20"/>
                  <w:u w:val="single"/>
                </w:rPr>
                <w:t>104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d8975fd09cd414dbd82a30a6a6530aa_160">
              <w:r>
                <w:rPr>
                  <w:rStyle w:val="InternetLink"/>
                  <w:rFonts w:ascii="Times New Roman;serif" w:hAnsi="Times New Roman;serif"/>
                  <w:b/>
                  <w:color w:val="0000FF"/>
                  <w:sz w:val="20"/>
                  <w:u w:val="singl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63">
              <w:r>
                <w:rPr>
                  <w:rStyle w:val="InternetLink"/>
                  <w:rFonts w:ascii="Times New Roman;serif" w:hAnsi="Times New Roman;serif"/>
                  <w:b w:val="false"/>
                  <w:color w:val="0000FF"/>
                  <w:sz w:val="20"/>
                  <w:u w:val="single"/>
                </w:rPr>
                <w:t>Directors, Executive Officers and Corporate Governance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63">
              <w:r>
                <w:rPr>
                  <w:rStyle w:val="InternetLink"/>
                  <w:rFonts w:ascii="Times New Roman;serif" w:hAnsi="Times New Roman;serif"/>
                  <w:b w:val="false"/>
                  <w:color w:val="0033CC"/>
                  <w:sz w:val="20"/>
                  <w:u w:val="single"/>
                </w:rPr>
                <w:t>106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66">
              <w:r>
                <w:rPr>
                  <w:rStyle w:val="InternetLink"/>
                  <w:rFonts w:ascii="Times New Roman;serif" w:hAnsi="Times New Roman;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66">
              <w:r>
                <w:rPr>
                  <w:rStyle w:val="InternetLink"/>
                  <w:rFonts w:ascii="Times New Roman;serif" w:hAnsi="Times New Roman;serif"/>
                  <w:b w:val="false"/>
                  <w:color w:val="0033CC"/>
                  <w:sz w:val="20"/>
                  <w:u w:val="single"/>
                </w:rPr>
                <w:t>106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69">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69">
              <w:r>
                <w:rPr>
                  <w:rStyle w:val="InternetLink"/>
                  <w:rFonts w:ascii="Times New Roman;serif" w:hAnsi="Times New Roman;serif"/>
                  <w:b w:val="false"/>
                  <w:color w:val="0033CC"/>
                  <w:sz w:val="20"/>
                  <w:u w:val="single"/>
                </w:rPr>
                <w:t>106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72">
              <w:r>
                <w:rPr>
                  <w:rStyle w:val="InternetLink"/>
                  <w:rFonts w:ascii="Times New Roman;serif" w:hAnsi="Times New Roman;serif"/>
                  <w:b w:val="false"/>
                  <w:color w:val="0000FF"/>
                  <w:sz w:val="20"/>
                  <w:u w:val="single"/>
                </w:rPr>
                <w:t>Certain Relationships and Related Transactions, and Director Independence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72">
              <w:r>
                <w:rPr>
                  <w:rStyle w:val="InternetLink"/>
                  <w:rFonts w:ascii="Times New Roman;serif" w:hAnsi="Times New Roman;serif"/>
                  <w:b w:val="false"/>
                  <w:color w:val="0033CC"/>
                  <w:sz w:val="20"/>
                  <w:u w:val="single"/>
                </w:rPr>
                <w:t>106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75">
              <w:r>
                <w:rPr>
                  <w:rStyle w:val="InternetLink"/>
                  <w:rFonts w:ascii="Times New Roman;serif" w:hAnsi="Times New Roman;serif"/>
                  <w:b w:val="false"/>
                  <w:color w:val="0000FF"/>
                  <w:sz w:val="20"/>
                  <w:u w:val="single"/>
                </w:rPr>
                <w:t>Principal Accountant Fees and Services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75">
              <w:r>
                <w:rPr>
                  <w:rStyle w:val="InternetLink"/>
                  <w:rFonts w:ascii="Times New Roman;serif" w:hAnsi="Times New Roman;serif"/>
                  <w:b w:val="false"/>
                  <w:color w:val="0033CC"/>
                  <w:sz w:val="20"/>
                  <w:u w:val="single"/>
                </w:rPr>
                <w:t>106</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8d8975fd09cd414dbd82a30a6a6530aa_178">
              <w:r>
                <w:rPr>
                  <w:rStyle w:val="InternetLink"/>
                  <w:rFonts w:ascii="Times New Roman;serif" w:hAnsi="Times New Roman;serif"/>
                  <w:b/>
                  <w:color w:val="0000FF"/>
                  <w:sz w:val="20"/>
                  <w:u w:val="singl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81">
              <w:r>
                <w:rPr>
                  <w:rStyle w:val="InternetLink"/>
                  <w:rFonts w:ascii="Times New Roman;serif" w:hAnsi="Times New Roman;serif"/>
                  <w:b w:val="false"/>
                  <w:color w:val="0000FF"/>
                  <w:sz w:val="20"/>
                  <w:u w:val="single"/>
                </w:rPr>
                <w:t>Exhibits and Financial Statement Schedules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81">
              <w:r>
                <w:rPr>
                  <w:rStyle w:val="InternetLink"/>
                  <w:rFonts w:ascii="Times New Roman;serif" w:hAnsi="Times New Roman;serif"/>
                  <w:b w:val="false"/>
                  <w:color w:val="0033CC"/>
                  <w:sz w:val="20"/>
                  <w:u w:val="single"/>
                </w:rPr>
                <w:t>108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187">
              <w:r>
                <w:rPr>
                  <w:rStyle w:val="InternetLink"/>
                  <w:rFonts w:ascii="Times New Roman;serif" w:hAnsi="Times New Roman;serif"/>
                  <w:b w:val="false"/>
                  <w:color w:val="0000FF"/>
                  <w:sz w:val="20"/>
                  <w:u w:val="single"/>
                </w:rPr>
                <w:t>Form 10-K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187">
              <w:r>
                <w:rPr>
                  <w:rStyle w:val="InternetLink"/>
                  <w:rFonts w:ascii="Times New Roman;serif" w:hAnsi="Times New Roman;serif"/>
                  <w:b w:val="false"/>
                  <w:color w:val="0033CC"/>
                  <w:sz w:val="20"/>
                  <w:u w:val="single"/>
                </w:rPr>
                <w:t>111</w:t>
              </w:r>
            </w:hyperlink>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sections titled “Business” and “Management’s Discussion and Analysis of Financial Condition and Results of Operations,” as well as other parts of this Annual Report on Form 10-K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cloud operations, cybersecurity effectiveness,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“Risk Factors,” and elsewhere in this Annual Report on Form 10-K. Many of the forward-looking statements are located in “Management’s Discussion and Analysis of Financial Condition and Results of Operations.” </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are not guarantees of future performance and involve risks and uncertainties. The forward-looking statements contained in this Annual Report on Form 10-K are based on information available to us as of the filing date of this Annual Report on Form 10-K and our current expectations about future events, which are inherently subject to change and involve risks and uncertainties. You should not place undue reliance on these forward-looking statements.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do not undertake any obligation to update any forward-looking statements in this Annual Report on Form 10-K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pStyle w:val="TextBody"/>
        <w:bidi w:val="0"/>
        <w:spacing w:before="280" w:after="283"/>
        <w:ind w:left="0" w:right="0" w:firstLine="495"/>
        <w:jc w:val="center"/>
        <w:rPr/>
      </w:pPr>
      <w:r>
        <w:rPr/>
      </w:r>
    </w:p>
    <w:p>
      <w:pPr>
        <w:pStyle w:val="TextBody"/>
        <w:bidi w:val="0"/>
        <w:spacing w:lineRule="auto" w:line="417" w:before="180" w:after="283"/>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we are referring to Guidewire Software, Inc. together with its subsidiaries when we use the terms “Guidewire,” the “Company,” “we,” “our,” or “us.” When using the term “products,” we are generally referring to both our subscription services and term license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1.Business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Overview and Purpose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is the platform that property and casualty (“P&amp;C”) insurers rely on to engage with customers, innovate, and operate more efficiently. Founded in 2001, we serve insurers of all sizes, ranging from global carriers to regional and local providers, helping them navigate a rapidly changing insurance market.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foundational core products, InsuranceSuite and InsuranceNow, are delivered as a cloud-based subscription service leveraging our proprietary cloud platform which we refer to as Guidewire Cloud Platform (“GWCP”). These products serve as transactional systems of record, fully supporting insurance operations, including product definition, pricing and rating, underwriting, policy administration, billing, and claims management.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combines core systems of record with digital, analytics, and predictive and generative artificial intelligence (“AI”) capabilities. To support our core systems, we provide digital engagement offerings that enable seamless sales and pricing and rating solutions that enable sophisticated pricing models and streamlined rate logic deployment. Our platform provides enhanced claims experiences for policyholders, agents, vendors, and field personnel, and analytics products that allow insurers to manage and use data more effectively, gain business insights, improve operational efficiency, and underwrite emerging risks. To support insurers worldwide, we localize our products to address diverse regulatory, language, and currency requirements. Additionally, we provide Guidewire Marketplace to empower customers pursuing innovation initiatives by offering a vetted collection of insurtech applications that allow them to differentiate their businesses by leveraging capabilities from the Guidewire ecosystem.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reach customers directly through our global sales team and in partnership with third-party global system integrators (“SIs”). Because our platform is central to insurers’ operations, customer evaluation cycles are often extensive, particularly when multiple products are involved or when insurers are moving to GWCP for the first time. Sales processes typically include detailed due diligence and customer reference checks.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migration and expansion activity on GWCP, our growth depends on continuously enhancing existing products, introducing new capabilities, ensuring efficient cloud operations, and expanding local or market-specific content. We sell our products through subscription services for our platform and cloud-delivered products. We generally price our subscription services for core products based on the amount of Direct Written Premium (“DWP”) managed on our platform, with certain cloud-delivered products priced based on usage and associated resource consumption. Initial subscription agreements are generally five years in duration, with annual renewals thereafter. In some instances, we have customers that sign contracts with an initial term of seven years or longer. Subscription revenue is recognized ratably over the contract term. We also offer term licenses, primarily for existing on-premise customers, as well as support and professional services. Support is typically priced as a percentage of license fees and recognized ratably. Professional services are generally billed monthly on a time-and-materials basis; however, certain services engagements are based on a fixed fee, and revenue is recognized on a percentage of completion basis.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Industry Background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P&amp;C insurance industry is large, fragmented, highly regulated, and complex. It is also highly competitive, with insurers competing primarily on product differentiation, coverage and pricing options, customer and claims service, and channel strategies. Often, P&amp;C insurers rely on legacy or immature systems that may impact their ability to respond to business and market requirements.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better respond to market demands, P&amp;C insurers modernize their transactional core systems to manage key functional areas of P&amp;C insurance, including product definition, pricing and rating, underwriting, policy administration, billing, and claims management. Product definition specifies the insurance coverage, pricing, and financial and legal terms of insurance policies. Pricing and rating consist of developing, testing, and deploying pricing models, rating rules, and rate tables that incorporate internal and external data to estimate risk, set premiums that reflect underwriting strategy and regulatory and market requirements, and apply those premiums consistently for new business and renewals. Underwriting and policy administration includes collecting information from potential policyholders, determining appropriate coverages and terms, pricing policies, issuing policies, and updating and maintaining policies over their lifetimes. Claims management includes loss intake, investigation and evaluation of incidents, settlement negotiation, vendor management, litigation management, and payment processing. Billing includes policyholder invoicing, payment collection, and agent commission calculation. We believe insurers that adopt modern, cloud-based core systems can enhance customer experience, operate more efficiently, and introduce innovative products more rapidly.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P&amp;C insurance industry is rapidly evolving in how insurers engage with, sell to, and manage relationships with, consumers and businesses. Today, P&amp;C insurers are striving to respond to significant changes in their competitive marketplace and the characteristics of the risks they underwrite. The most significant changes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need for agility and efficiency from core systems to address rapid changes in the industry;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 increase in the number of events and insured losses resulting from catastrophes and natural disasters impacting the P&amp;C insurance industry requiring agility and innovation from its core systems;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 rise in customer expectations for digital, mobile, and omnichannel interaction to augment the traditional agent model;</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 growth in demand for personalized services and products;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an increase in technology and market-driven changes in vehicular risk, including usage and driving behavior based insurance;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an increase in consolidation among insurance providers and associated rationalization of product lines and geographic footprints to eliminate overlap and improve combined ratios;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an increasingly complex distribution ecosystem composed of managing agents, wholesalers, and program administrators who pose both threats and opportunities to insurer growth and profitability;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demand for coverage of emerging risks such as terrorism, cybersecurity, AI, pandemic, and reputational risk, and the impact of social inflation on increasing liability claims;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growing data volumes which require modern tools to build analytics and gain actionable insights;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advances in the use of data and AI-based analytics to better market to and engage with customers, price policies, and manage claims;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development of opportunities to compete or partner with new or non-traditional players, such as insurtech businesses, that offer disruptive underwriting and distribution models;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generational turnover in the underwriting and claims workforce, as the baby boomer generation retires and insurers must hire, train, and retain talent at scale;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introduction and leveraging of new technologies, such as generative AI, large language models, autonomous driving, and the internet-of-things.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each insurer may have different goals and priorities when pursuing new technology investments, in response to these trends, changes, challenges, and opportunities, there are several major themes that we believe guide these investments: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u w:val="single"/>
        </w:rPr>
        <w:t>Innovation</w:t>
      </w:r>
      <w:r>
        <w:rPr>
          <w:rFonts w:ascii="Times New Roman;serif" w:hAnsi="Times New Roman;serif"/>
          <w:b w:val="false"/>
          <w:color w:val="000000"/>
          <w:sz w:val="20"/>
        </w:rPr>
        <w:t>. Insurers are under pressure to innovate across their product lifecycle in order to grow their business and improve service quality. Examples of focus areas include creating services and products to target under-insured risks such as cyber, supply chain disruption, and reputational risk and partnering with insurtech providers to streamline operations and improve service to policyholders and agents.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u w:val="single"/>
        </w:rPr>
        <w:t>Agility</w:t>
      </w:r>
      <w:r>
        <w:rPr>
          <w:rFonts w:ascii="Times New Roman;serif" w:hAnsi="Times New Roman;serif"/>
          <w:b w:val="false"/>
          <w:color w:val="000000"/>
          <w:sz w:val="20"/>
        </w:rPr>
        <w:t>. Insurers face rising competitive and market pressures that demand faster product definition, risk selection and pricing, and market adjustments. These pressures are rapidly changing and heightened by climate-driven risk events such as wildfires and floods, growing competition from digital-first insurers, social inflation that is contributing to higher claims severity across lines of business, and broader macroeconomic challenges including inflation, supply chain volatility, and changes in trade policies.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u w:val="single"/>
        </w:rPr>
        <w:t>Data Driven Decision-Making</w:t>
      </w:r>
      <w:r>
        <w:rPr>
          <w:rFonts w:ascii="Times New Roman;serif" w:hAnsi="Times New Roman;serif"/>
          <w:b w:val="false"/>
          <w:color w:val="000000"/>
          <w:sz w:val="20"/>
        </w:rPr>
        <w:t>. Insurers are increasingly leveraging proprietary and third-party data sources, ranging from the internet-of-things to catastrophe and climate models, in order to inform decisions across underwriting, claims, and pricing. Predictive analytics and AI technologies can help underwriters and claims professionals improve risk selection and loss outcomes, while automation enables straight-through processing where possible. At the same time, insurers must balance these gains with transparency and compliance requirements around the use of analytics and AI technologies. Insurers also face costs from fraud in underwriting and claims and are using analytics and AI technologies to improve detection and reduce related expenses.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u w:val="single"/>
        </w:rPr>
        <w:t>Digital Engagement Models</w:t>
      </w:r>
      <w:r>
        <w:rPr>
          <w:rFonts w:ascii="Times New Roman;serif" w:hAnsi="Times New Roman;serif"/>
          <w:b w:val="false"/>
          <w:color w:val="000000"/>
          <w:sz w:val="20"/>
        </w:rPr>
        <w:t>. Policyholders and agents increasingly expect seamless, digital-first experiences. Insurers are investing in modern engagement tools to reduce customer dissatisfaction and improve retention while transitioning from transactional interactions to more advisory and personalized relationships. Examples include embedded insurance offerings, personalized product recommendations, and omnichannel claims service. These investments can drive higher lead conversion and lower churn.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u w:val="single"/>
        </w:rPr>
        <w:t>Cloud-Delivered Solutions</w:t>
      </w:r>
      <w:r>
        <w:rPr>
          <w:rFonts w:ascii="Times New Roman;serif" w:hAnsi="Times New Roman;serif"/>
          <w:b w:val="false"/>
          <w:color w:val="000000"/>
          <w:sz w:val="20"/>
        </w:rPr>
        <w:t>. Adoption of cloud platforms is accelerating as insurers recognize the cost efficiencies, scalability, and security benefits of public cloud infrastructure. We believe cloud deployment also enables faster innovation cycles, improved resilience during catastrophe events, and easier compliance with evolving regulatory requirements. By shifting infrastructure management to third parties, insurers can focus more resources on differentiating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u w:val="single"/>
        </w:rPr>
        <w:t>Legacy System Modernization</w:t>
      </w:r>
      <w:r>
        <w:rPr>
          <w:rFonts w:ascii="Times New Roman;serif" w:hAnsi="Times New Roman;serif"/>
          <w:b w:val="false"/>
          <w:color w:val="000000"/>
          <w:sz w:val="20"/>
        </w:rPr>
        <w:t xml:space="preserve">. A significant portion of the market continues to rely on legacy systems. We believe modern policy administration, claims management, and billing systems will continue to be adopted as insurers that rely on legacy systems seek to gain operating efficiencies, expand into new markets and lines of business, and introduce new digital and data offerings.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Guidewire product portfolio is designed so that insurers can increase revenue, reduce operational costs and losses, improve pricing, and engage with a customer base that increasingly demands convenience and automated forms of self-service and communication. We are investing in research and development to accelerate improvements in our platform and suite of products to better serve our customers.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Core Operational Products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the following suite of products: Guidewire InsuranceSuite and Guidewire InsuranceNow.</w:t>
      </w:r>
    </w:p>
    <w:p>
      <w:pPr>
        <w:pStyle w:val="TextBody"/>
        <w:bidi w:val="0"/>
        <w:spacing w:lineRule="auto" w:line="288" w:before="20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Guidewire InsuranceSuite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InsuranceSuite is a highly configurable and scalable product, delivered as a service, and primarily comprised of five core applications (PolicyCenter, ClaimCenter, BillingCenter, PricingCenter and UnderwritingCenter) that can be subscribed to separately or together. These applications are built on and optimized for our GWCP architecture and leverage our in-house cloud operations team. GWCP is a Guidewire-developed infrastructure layer enabled by and hosted on Amazon Web Services (“AWS”). GWCP’s architecture consists of three primary layers. The specialized cloud infrastructure service and tool layer centered around optimizing service and resource availability, performance, scalability, and cost efficiency, maintaining data security, privacy and regulatory compliance, and offering a high degree of service observability to provide customers with better insight and control consistent with their operational needs. The data platform layer providing access to core and predictive analytics data to allow creation of curated datasets that can be used to drive delivery of actionable insights across the insurance lifecycle. The app platform layer containing modular, cloud-native services decoupled from the InsuranceSuite core that can be used individually or interconnected to enhance existing applications and empower creation of new business applications. GWCP was developed to meet the specialized needs of the P&amp;C insurance industry, providing a scalable cloud architecture that combines multi-tenant cloud services and tools with the ability to isolate each customer’s system of record and database instances. This architectural approach provides our customers with the benefits of cloud-native infrastructure and services and the flexibility to provide differentiated services to their customers.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InsuranceSuite is designed to support multiple releases each year to accelerate delivery of new capabilities and ensure that cloud customers remain on the latest version and gain fast access to our innovation efforts. Additionally, InsuranceSuite embeds digital, analytics, and generative AI capabilities natively into our platform. Most new sales and implementations are for InsuranceSuite.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PolicyCenter is our flexible underwriting and policy administration application that serves as a comprehensive system-of-record supporting the entire policy lifecycle, including product definition, underwriting, quoting, binding, issuance, endorsements, audits, cancellations, and renewals. Guidewire PricingCenter is our integrated pricing and rating engine that centralizes pricing strategy, operationalizes advanced analytics, and enables rapid test-and-learn rate changes across products, channels, and regions. Guidewire UnderwritingCenter is an agentic, AI-powered underwriting application that turns submissions into better, faster decisions from intake through risk selection and bind, unifying data, workflows, and insights so underwriters can focus on high-value, preferred opportunities. Guidewire ClaimCenter is a complete end-to-end claims management solution that offers core claims management and servicing functionality. Guidewire BillingCenter automates the billing lifecycle, enables the design of a wide variety of billing and payment plans, manages agent commissions, and integrates with external payment systems. These primary applications also include predictive analytics that drive smart decisions, digital engagement, and an ecosystem of partners and insurtechs.</w:t>
      </w:r>
    </w:p>
    <w:p>
      <w:pPr>
        <w:pStyle w:val="TextBody"/>
        <w:bidi w:val="0"/>
        <w:spacing w:lineRule="auto" w:line="288" w:before="20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Guidewire InsuranceNow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InsuranceNow is a cloud-based application that offers policy administration, claims management, and billing functionality, plus pre-integrated document production, analytics, and other capabilities, that increases agility without adding complexity in a single bundled software service. Like InsuranceSuite, InsuranceNow is hosted on GWCP and managed by our internal cloud operations team. InsuranceNow is currently only available in the United States (“U.S.”) and Canada, and is generally suited to mid-market carriers and managing general agents, who are highly cost sensitive and whose needs are often not as complex as a typical InsuranceSuite customer.</w:t>
      </w:r>
    </w:p>
    <w:p>
      <w:pPr>
        <w:pStyle w:val="TextBody"/>
        <w:bidi w:val="0"/>
        <w:spacing w:lineRule="auto" w:line="288" w:before="280" w:after="283"/>
        <w:jc w:val="both"/>
        <w:rPr>
          <w:rFonts w:ascii="Times New Roman;serif" w:hAnsi="Times New Roman;serif"/>
          <w:b/>
          <w:i/>
          <w:color w:val="000000"/>
          <w:sz w:val="20"/>
        </w:rPr>
      </w:pPr>
      <w:r>
        <w:rPr>
          <w:rFonts w:ascii="Times New Roman;serif" w:hAnsi="Times New Roman;serif"/>
          <w:b/>
          <w:i/>
          <w:color w:val="000000"/>
          <w:sz w:val="20"/>
        </w:rPr>
        <w:t>Guidewire InsuranceSuite: Complementary Capabilities and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several complementary capabilities and applications, some of which are included in the core operational services and products, and all of which are designed to work seamlessly with our core operational services and products, including:</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Guidewire Rating Management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Rating Management enables P&amp;C insurers to manage the pricing of their insurance services and products.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Reinsurance Management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Reinsurance Management enables P&amp;C insurers to use rules-based logic to execute their reinsurance strategy through their underwriting and claims processes.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Client Data Management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Client Data Management helps P&amp;C insurers capitalize on customer information more coherently, overcoming traditional siloed practices that impair efficiency and customer service.</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Advanced Product Designer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Advanced Product Designer is a cloud-native application for insurance product design and visual product modeling tools across the complete insurance lifecycle. It enables insurers to launch and update products quickly by providing visual product development tools, prebuilt product model templates, product management capability, and auto generated product code.</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Product Content Management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Product Content Management provides software tools and standards-based, line-of-business templates to enable insurers to more rapidly introduce and modify services and products by reducing product configuration and maintenance efforts. Any such product introduction or modification must connect to and incorporate regulatory or industry-standard data and content, such as Insurance Services Office (“ISO”) or National Council on Compensation Insurance content.</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ProNavigator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ProNavigator is an AI-powered intelligent assistant embedded in select InsuranceSuite applications and InsuranceNow. It uses insurer-approved documentation and core system context to deliver context-specific answers, suggestions, and actions directly within underwriting, claims, billing, and customer service workflows. These capabilities help insurers reduce time spent searching for information and support more consistent, auditable decisions across the insurance lifecycle.</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Digital Engagement</w:t>
      </w:r>
    </w:p>
    <w:p>
      <w:pPr>
        <w:pStyle w:val="TextBody"/>
        <w:bidi w:val="0"/>
        <w:spacing w:lineRule="auto" w:line="288" w:before="20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Guidewire Digital Engagement Applications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Digital Engagement Applications enable insurers to provide digital experiences to customers, agents, vendors, and field personnel through their device of choice. As consumers increasingly use self-service functions on the internet and on mobile devices, we believe that many of them prefer to interact with their insurance providers digitally and that they expect to have a consistent and efficient transactional experience through multiple channels, whether online, in-person or by phone. Our Digital Engagement Applications also benefit agents and brokers who are seeking to automate business processes with insurers to improve customer service and productivity. Digital engagement applications are enabled by the Jutro Digital Platform (“Jutro”), allowing insurers to strengthen customer relationships and brand loyalty while reducing operational cost through easy-to-use, self-service interactions. The focus of Jutro is on empowering “digital native users,” or those who understand and expect to interact with their insurers through digital experiences that are seamless, intuitive, user-friendly, mobile-ready, and omnichannel. In order to provide a holistic experience, Digital Applications are fully integrated with InsuranceSuite.</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Data and Analytics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 variety of applications that allow insurers to evaluate risks and write more profitable business by enabling a seamless path from data to value.</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HazardHub</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Guidewire HazardHub allows insurers to understand, assess, price, and manage property risk quickly and intelligently. HazardHub provides a single source of geospatial risk data, and provides access to more than 950 risk variables, including perils from flood, earthquake, and fire. HazardHub is a cloud-native solution delivered through an Application Programming Interface (“API”)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that provides access to this information for any personal or commercial property located in 19 countries, including, among others, Australia, France, Germany, New Zealand, South Africa, the United Kingdom (“U.K.”), and the U.S., and has the ability to evaluate an entire portfolio for property risk.</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Predict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Predict is a P&amp;C-specific machine-learning platform that empowers insurers to make intelligent data-driven decisions throughout the insurance lifecycle by building (or importing) predictive models from multiple data sets, designing comprehensive solutions, and operationalizing the predictive insights. Predict allows insurers to rapidly turn any model into business value by delivering guidance to frontline decision makers. Predict for Claims helps customers to better manage claim indemnity and loss-adjustment expenses. Predict for Profitability improves pricing accuracy and customer satisfaction.</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Data Studio</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Data Studio is a cloud-native application leveraging the Guidewire Data Platform. It is designed to provide streamlined access to the core data from InsuranceSuite products. It provides a curated content data repository that enables insurers to build, organize, and publish InsuranceSuite datasets for downstream applications. This is enabled through an analytics-ready semantic model layer (Guidewire Insurance Data Model) that provides pre-curated P&amp;C insurance-specific metrics and attributes; data dictionaries; and supporting user diagrams and documentation. This facilitates the generation of financial and business insights, ultimately improving policy and claims outcomes for insurers.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Canvas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Canvas is a cloud-native application included with ClaimCenter. It features an interactive map that enables claims management and catastrophe response teams to geo-visualize claims to help improve customer satisfaction and reduce indemnity by proactively responding to storm, wildfire, earthquake, and other catastrophic events.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Compare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Compare is a cloud-native application included with ClaimCenter that monitors key claims measures and gives feedback on how those compare against peer insurers in the Guidewire community, or within a single insurer across regions or over time. Compare allows claims organizations to increase their processing efficiency by monitoring key claims measures such as indemnity, expenses, cycle times, reserves, salvage, subrogation, percentage closed, catastrophe, and litigated.</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Industry Intel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Industry Intel comprises a set of pre-built AI-based models powered by one of the largest pooled, anonymized datasets in the industry. Intel provides carriers with line-of-business-specific actionable predictions to enhance operational efficiency directly embedded into core workflows within PolicyCenter and ClaimCenter.</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Cyence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Cyence is a cyber-risk economic modeling product that helps P&amp;C insurers accurately measure the financial impact of cyber risk on their customers. It does this by capturing data about cyber threats from more than 400 sources, including public, open-source, proprietary, and third-party data. Cyence then curates and analyzes the data through AI and machine-learning statistical models to extract meaningful signals. Based on these models, Cyence produces insights delivered through reports that will predict the likelihood and economic impact of cyber attacks on a target company or individual. This can be used for underwriting, pricing, and developing cyber insurance products.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Explore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Explore is a cloud-native business intelligence application with ready-to-use datasets, reports, and dashboards that provides insurers with financial and operational insights to better understand the health of their business, make informed decisions, identify areas of improvement, stay competitive, and provide information access and visibility to support internal and external stakeholders.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Guidewire DataHub and InfoCenter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DataHub is an operational data store that unifies, standardizes, and stores data from InsuranceSuite, other internal insurer systems, as well as external data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InfoCenter is a business intelligence warehouse and reporting tool for P&amp;C insurers that provides data visualization, reporting, and dashboards for business intelligence, analysis, and enhanced decision making. With Guidewire InfoCenter, insurers gain flexible operational insights as well as the ability to optimize their business.</w:t>
      </w:r>
    </w:p>
    <w:p>
      <w:pPr>
        <w:pStyle w:val="TextBody"/>
        <w:bidi w:val="0"/>
        <w:spacing w:lineRule="auto" w:line="288" w:before="280" w:after="283"/>
        <w:jc w:val="both"/>
        <w:rPr>
          <w:rFonts w:ascii="Times New Roman;serif" w:hAnsi="Times New Roman;serif"/>
          <w:b/>
          <w:i/>
          <w:color w:val="000000"/>
          <w:sz w:val="20"/>
        </w:rPr>
      </w:pPr>
      <w:r>
        <w:rPr>
          <w:rFonts w:ascii="Times New Roman;serif" w:hAnsi="Times New Roman;serif"/>
          <w:b/>
          <w:i/>
          <w:color w:val="000000"/>
          <w:sz w:val="20"/>
        </w:rPr>
        <w:t>Guidewire Marketplace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Guidewire Marketplace is where insurers find vetted applications, market-specific content, and other extensions that complement the Guidewire platform from our PartnerConnect partners, as well as Guidewire product and services teams. These extensions help insurers to rapidly innovate and differentiate their businesses by allowing them to leverage capabilities from the Guidewire ecosystem to meet their business goals. The Guidewire Marketplace also empowers customers pursuing innovation initiatives by offering a vetted collection of insurtech applications. Additionally, we promote innovation through our Insurtech Vanguards which is a community of select startups and technology providers, bringing transformative solutions to the P&amp;C industry and making innovation more accessible. Twenty-seven Insurtech Vanguards have been promoted to our PartnerConnect program. As of July 31, 2026, the Guidewire Marketplace had over 415 partner-developed integrations that have been certified </w:t>
      </w:r>
      <w:r>
        <w:rPr>
          <w:rFonts w:ascii="Times New Roman;serif" w:hAnsi="Times New Roman;serif"/>
          <w:b w:val="false"/>
          <w:i/>
          <w:color w:val="000000"/>
          <w:sz w:val="20"/>
        </w:rPr>
        <w:t>Ready for Guidewire</w:t>
      </w:r>
      <w:r>
        <w:rPr>
          <w:color w:val="000000"/>
        </w:rPr>
        <w:t xml:space="preserve"> </w:t>
      </w:r>
      <w:r>
        <w:rPr>
          <w:rFonts w:ascii="Times New Roman;serif" w:hAnsi="Times New Roman;serif"/>
          <w:b w:val="false"/>
          <w:color w:val="000000"/>
          <w:sz w:val="20"/>
        </w:rPr>
        <w:t>under our validation program and hundreds of Guidewire-developed resources available for download. We are continually expanding the breadth of functionality and depth of partnerships in the Guidewire Marketplace.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increased the scope of our platform, products, and business through internal development and acquisitions. This growing scope has required greater investment in the development of APIs, integrations, and other shared services necessary to unify the operations and user experiences across our application portfolio. The prioritization of cloud-delivered solutions has also required significant focus in improving our ability to manage, secure, and operate our applications on behalf of our customers, consistent with a cloud-based service.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cloud infrastructure is designed to enhance the security, stability, scalability and efficiency of our applications. Our cloud infrastructure leverages AWS regions worldwide and is tailored to provide both the benefit of cloud subscription services delivered in a cloud-native multi-tenant model while still providing insurers with the ability to configure and extend their applications via single-tenant environments which are easily managed via the DevOps tools available through the Guidewire Cloud Home interface. Our cloud services and products are designed to comply with relevant standards set by the International Organization for Standardization, American Institute of Certified Public Accountants, and Payment Card Industry Security Standards Council.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we continue to improve the scalability and high availability of our cloud infrastructure, which performs millions of complex, business-critical transactions daily. Our architecture is designed to maintain accuracy and availability not only during normal business operations, but also during extraordinary events, including catastrophic disruptions that may drive extremely high transaction volumes in a short period of time. To this end, we invest in disaster recovery and failover capabilities, redundant systems, and elastic scaling, designed to support continuity of service and recovery even under severe or unpredictable conditions.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implementation, cloud migration, and integration services to help our customers realize the benefits of our products. Our delivery services teams assist customers in building implementation or migration plans, integrating our software with their existing systems, and defining business rules and specific requirements unique to each customer. We also partner with leading SI consulting firms, certified on our software, to achieve scalable, cost effective engagements for our customers.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expanding our portfolio of services to include AI-enabled advisory, migration, and implementation offerings that are designed to accelerate customer adoption of our software while reducing the cost and complexity of implementation, including requirements, development, testing, and ongoing operations. These AI driven services help customers more rapidly configure, deploy, and optimize our products, reduce the need for extensive custom development and streamline maintenance over the life of the deployment. We are also expanding specialized field engineering capabilities that provide deep, hands-on technical expertise to deliver durable, production ready customer solutions quickly, address complex requirements early in the lifecycle, and help ensure that deployments are scalable, resilient, and easier to support over time.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investments in services, AI-enabled offerings, field engineering, and partners are designed to help ensure customer success by committing appropriate resources and expertise to implementation and transformation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Customer Support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support for our subscription customers as part of our subscription services and to our license customers for an annual fee based on a percentage of the license fees. Subscription services also include regular updates to Guidewire software to ensure that our customers can easily access our latest innovations. Many new capabilities are made available as configurable options so customers can choose when to adopt them, allowing them to roll out improvements at a pace that fits their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Cloud platform includes automated tooling to evaluate customer implementations against our published Cloud Standards, including related security and operational requirements.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Guidewire Global Support team provides 24x7 platform and application support to all customers, working together with our Operations and Customer Success teams to optimize adoption, user experience, and alignment with business requirements.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Employees and Human Capital Resources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requires attracting, developing, and retaining a motivated team of individuals. Understanding and proactively anticipating the priorities and needs of our current and future employees is important to realizing our mission to be the platform P&amp;C insurers rely on to engage, innovate, and grow efficiently.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had 4,174 employees, including 2,082 in global product development and operations (comprised of research and development, cloud operations, and technical support), 1,015 in professional services, 553 in sales and marketing, and 524 in general and administrative roles. As of July 31, 2026, we had 1,762 employees in the U.S. and 2,412 employees internationally. Our employees in the U.S. are not represented by a labor union; however, in certain foreign locations, there are workers’ councils that represent our employees. We have not experienced any work stoppages, and we consider our relations with our employees to be good. </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Attracting, Developing, and Retaining Employees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recruiting, development, and retention objectives focus on providing an optimal employee experience and culture across the employee life cycle, and involve attracting skilled and engaged employees who contribute the talent and range of perspectives critical to our innovative, forward-looking, and inclusive workforce. Our recruiting process is designed to foster a workplace where individuals are treated equitably, evaluated on professional qualifications and personal potential, and given equal opportunity to succeed. For certain roles and when required to meet our business needs, flexible work policies expand our ability to hire and retain talent in geographies where we do not have physical offices. Fostering career progression through continuous learning empowers our employees to pursue their professional goals, which is critical to developing and retaining our employees. We invest in broad-based development by providing diverse growth opportunities, including skills training, technology-enabled learning resources, mentorship, and leadership programs. We gauge progress and efficacy, identify opportunities for change, and pursue solutions through tracking and analyzing data from various sources such as annual talent reviews, employee feedback, and our progress toward hiring and promotion goals.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Total Rewards and Well-Being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 competitive total rewards program designed to attract, motivate, and retain top talent while aligning employee interests with long-term stockholder value. Our compensation structure utilizes a combination of market-competitive base pay, performance-based cash bonuses, and, where appropriate, long-term incentive awards. Eligible employees may also participate in our employee stock purchase plan to purchase our common stock at a discount. To support our employees’ physical, emotional, and financial well-being, we provide comprehensive, country-specific benefits that generally include health insurance and retirement plans. Additionally, we provide global lifestyle spending accounts that allow employees to personalize their well-being support, alongside global recognition and referral programs that celebrate peer contributions, service milestones, and alignment with our core values.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Corporate Culture and Employee Engagement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values of integrity, rationality, and collegiality are the foundation of how we work with one another. We believe that understanding and respecting broad perspectives and experiences drives an innovative, collaborative, and engaged workplace. We actively gauge workforce sentiment and measure the health of our culture through regular, confidential employee engagement surveys, annual talent reviews, and ongoing communication channels. Insights from employee feedback help guide company initiatives, refine talent strategies, and foster an inclusive, respectful work environment.</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Guidewire Gives Back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Guidewire Gives Back (“GGB”) is our program focused on investing in local communities where we operate by encouraging employee volunteerism, philanthropy, and social impact investment. The GGB program is centered around employee engagement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community impact through volunteer hours from the Guidewire community and financial donations, both of which are geared toward making a measurable difference. The GGB strategy, programs, and collaborative partnerships reflect employees’ passions and embody Guidewire’s corporate mission, as well as our customers’ purpose.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market and sell our products to a wide variety of global P&amp;C insurers ranging from some of the largest global insurers to national, regional, and state companies. We believe strong customer relationships are a key driver of our success given the long-term nature of our customer engagements and importance of customer references for new sales. We focus on developing and maintaining our customer relationships through customer service and account management. Customers are defined as entities that have placed orders for our services or products. In some instances, a parent corporation can have multiple entities, or insurance brands, that place orders for our services or products and, in other instances, customers are in industries adjacent to the insurance industry and do not have an insurance brand. As of July 31, 2026, we had approximately 550 customers in 44 countries. In some cases, our customers may represent more than one insurance brand. Our customer definition excludes customers that pay us less than $10,000 per year, which primarily represents customers of our HazardHub product.</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Strategic Relationships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extensive relationships with SI, consulting, technology, and industry partners. Our network of partners has expanded as interest in and adoption of our platform has grown. Our strong relationships with leading SI partners enhance our direct sales through co-marketing efforts and by providing additional market validation of the distinctiveness and quality of our offerings. We encourage our partners to pursue joint sales initiatives, obtain certifications related to our products, and drive broader adoption of our technology, helping us grow our business more efficiently and enabling us to focus our resources on continued innovation and further enhancement of our solutions.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work closely with our network of SI partners to facilitate new sales and implementations of our products. Our partnerships with leading SI partners allow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PartnerConnect alliance program, we have a community of solution partners developing integrations that enable software and insurance business solutions to interoperate with our products, many of which are in the Guidewire Marketplace. These integrations help customers reduce implementation risk and effort, and lower the total cost of implementation and operation.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our industry focus and the mission-critical needs our products address, our sales and marketing efforts are tailored to communicate effectively to senior executives within the P&amp;C insurance industry. Our sales, marketing, customer success, and executive teams work together to cultivate long-term relationships with current and prospective customers in each of the geographies in which we are active.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direct sales team serves as both our exclusive sales channel and our account management function and is organized by geographic region across the Americas, EMEA, and APAC. We augment our sales professionals with a pre-sales team possessing insurance domain and technical expertise, who engage customers to understand their specific business needs and then represent our products through demonstrations tailored to address those needs.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marketing team supports sales with competitive analysis and sales tools, while investing to strengthen our brand name and reputation. We participate at industry conferences, are published frequently in the industry press, and have active relationships with all of the major industry analysts. We also host Connections, our annual customer conference, where customers both participate in and deliver presentations on a wide range of Guidewire and insurance technology topics. We invite potential customers and partners to our customer conference, as we believe customer references are a key component of driving new sales. We optimize website content for both traditional search engines and large language models to extend our brand reach.</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 success team supports our customers from the outset of their transformation programs through ongoing production operations by coordinating specialized resources focused on adoption and value realization. We partner with customers at onboarding to understand their strategic objectives, monitor the use of existing and new product capabilities, and advocate for customer needs across our product, services, and support teams, in order to help customers realize the value of their investments in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Customer success provides ongoing technical alignment, including cloud onboarding, enablement, and update planning, and helps ensure that customer implementations operate in accordance with our cloud standards and practices.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efforts focus on new enhanced products, embedding AI services across our platform, delivering AI assistants to guide users, automating tasks across the P&amp;C insurance lifecycle, and improving our platform services with operational efficiency, data analytics, security, and privacy in the cloud. These efforts are intended to help our customers improve their operations; drive greater digital engagement with their customers, agents, and brokers; and gather, store and analyze data to improve business decisions. We also invest significantly in developing our products and necessary integrations to meet the market requirements, including regulations, language, currency, and local terminology, of each country or state in which our customers operate. This market-segment specific functionality must be updated regularly in order to stay current with regulatory changes in each market.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investments in cloud operations are focused on managing the infrastructure for our cloud-based customers in a secure, efficient, and cost-effective manner.</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software market that caters to the P&amp;C insurance industry is highly competitive, rapidly evolving, and fragmented. Increased spending by insurers on software solutions and the emergence of new platforms that have broadened from core system modernization to new digital engagement and data and analytics solutions have generated significant interest among investors and entrepreneurs. Increased capital allows market participants, or potential market participants, such as insurtech companies and specialized AI companies, to adopt more aggressive go-to-market strategies, improve existing products, introduce new products, develop innovative solutions that disrupt the market, and consolidate with other vendors. This market is also subject to changing technology preferences, shifting customer needs, and the adoption of cloud deployed solutions. These factors create an environment of shifting and increasing competition. Our current and future competitors vary in size and in the breadth and scope of the products they offer. As we expand our product portfolio, we may begin to compete with software and service providers we have not traditionally competed against. Further, as artificial intelligence technologies, including machine learning, generative and agentic AI, and automated decision-making technologies (collectively, “AI technologies”) continue to evolve, our existing and potential customers may leverage these capabilities to develop or enhance their own solutions that could reduce or eliminate the need for our solutions. Our current competitors include, but are not limited to, customers’ internally developed proprietary solutions, which may be accelerated by evolving AI technologies; P&amp;C insurance software vendors such as Duck Creek, Majesco, Origami Risk, Sapiens, and DXC Technology; horizontal software vendors such as SAP SE, Salesforce, and ServiceNow; and enterprise AI platform providers and new market entrants utilizing AI technologies.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Competitive factors in our industry depend on the product being offered and the size, geographic market, and line of business of potential customers. The principal competitive factors include product functionality, performance, customer references, total cost of ownership, solution completeness, implementation track record, security and in-depth knowledge of the P&amp;C insurance industry. We typically compete favorably on the basis of these factors in most geographies.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upon our ability to protect our proprietary technology, to establish and adequately protect our intellectual property rights, and to protect against third-party claims and litigation related to intellectual property. To accomplish these objectives, we rely on a combination of patent, trademark, copyright, and trade secret laws in the U.S. and other jurisdictions, as well as license agreements and other contractual protections. We own or have pending patents and patent applications, which generally apply to our software. Our owned patents have expiration dates ranging from 2026 to 2039. We also rely on several registered and unregistered trademarks, as well as pending applications for such registrations, in order to protect our brand both in the U.S. and internationally.</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Information about Segment and Geographic Revenue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about geographic revenue is set forth in Note 2 “Revenue” and information about segment reporting is set forth in Note 13 “Segment Information” to our consolidated financial statements included in this Annual Report on Form 10-K.</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seasonal variations in our license revenue and, to a lesser extent, in our subscription revenue as a result of increased customer orders in our fourth fiscal quarter due to efforts by our sales team to achieve annual incentives. As a result, a significantly higher percentage of our annual license revenue and cash receipts have historically been recognized in our fourth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quarter. Because we recognize revenue upfront for term licenses compared to over time for subscription services, an increase in term licenses due to renewals or expansion orders, or a decrease from migrations or non-renewals may impact our quarterly results. Additionally, any significant multi-year term license renewal or non-renewal could impact quarterly results and cash flows. Subscription sales now represent the significant majority of total sales and, as a result when compared to term license sales, the revenue we recognize in the initial fiscal year of an order is lower, deferred revenue is higher, and our total reported revenue growth may be adversely affected in the near term due to the ratable nature of these arrangements. Over time, this ratable revenue dynamic has and will dampen the impact of seasonality on our revenue. However, our cash flows remain subject to seasonal variations and will most likely remain concentrated in the fourth fiscal quarter due to the annual billing arrangements of our customer contracts.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services revenue is also subject to seasonal fluctuations, though to a lesser degree than our license revenue and subscription revenue. Our services revenue is impacted by the number of billable days in a given fiscal quarter. Our second fiscal quarter usually has fewer billable days due to the impact of calendar year end holidays. Our fourth fiscal quarter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 </w:t>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180" w:after="283"/>
        <w:ind w:left="0" w:right="0" w:firstLine="360"/>
        <w:jc w:val="both"/>
        <w:rPr/>
      </w:pPr>
      <w:r>
        <w:rPr>
          <w:rFonts w:ascii="Times New Roman;serif" w:hAnsi="Times New Roman;serif"/>
          <w:b w:val="false"/>
          <w:color w:val="000000"/>
          <w:sz w:val="20"/>
        </w:rPr>
        <w:t xml:space="preserve">The following filings are available to view and download free of charge on our investor relations website as soon as reasonably practicable after we file them with the SEC: Annual Report on Form 10-K, Quarterly Reports on Form 10-Q, Current Reports on Form 8-K, and our Proxy Statement for our annual meeting of stockholders. Our website is located at </w:t>
      </w:r>
      <w:r>
        <w:rPr>
          <w:rFonts w:ascii="Times New Roman;serif" w:hAnsi="Times New Roman;serif"/>
          <w:b w:val="false"/>
          <w:color w:val="000000"/>
          <w:sz w:val="20"/>
          <w:u w:val="single"/>
        </w:rPr>
        <w:t>www.guidewire.com</w:t>
      </w:r>
      <w:r>
        <w:rPr>
          <w:rFonts w:ascii="Times New Roman;serif" w:hAnsi="Times New Roman;serif"/>
          <w:b w:val="false"/>
          <w:color w:val="000000"/>
          <w:sz w:val="20"/>
        </w:rPr>
        <w:t xml:space="preserve">, and our investor relations website is located at </w:t>
      </w:r>
      <w:r>
        <w:rPr>
          <w:rFonts w:ascii="Times New Roman;serif" w:hAnsi="Times New Roman;serif"/>
          <w:b w:val="false"/>
          <w:color w:val="000000"/>
          <w:sz w:val="20"/>
          <w:u w:val="single"/>
        </w:rPr>
        <w:t>ir.guidewire.com</w:t>
      </w:r>
      <w:r>
        <w:rPr>
          <w:rFonts w:ascii="Times New Roman;serif" w:hAnsi="Times New Roman;serif"/>
          <w:b w:val="false"/>
          <w:color w:val="000000"/>
          <w:sz w:val="20"/>
        </w:rPr>
        <w:t xml:space="preserve">. We also provide a link to the section of the SEC’s website at </w:t>
      </w:r>
      <w:r>
        <w:rPr>
          <w:rFonts w:ascii="Times New Roman;serif" w:hAnsi="Times New Roman;serif"/>
          <w:b w:val="false"/>
          <w:color w:val="000000"/>
          <w:sz w:val="20"/>
          <w:u w:val="single"/>
        </w:rPr>
        <w:t>www.sec.gov</w:t>
      </w:r>
      <w:r>
        <w:rPr>
          <w:color w:val="000000"/>
        </w:rPr>
        <w:t xml:space="preserve"> </w:t>
      </w:r>
      <w:r>
        <w:rPr>
          <w:rFonts w:ascii="Times New Roman;serif" w:hAnsi="Times New Roman;serif"/>
          <w:b w:val="false"/>
          <w:color w:val="000000"/>
          <w:sz w:val="20"/>
        </w:rPr>
        <w:t xml:space="preserve">that has all of our public filings, including periodic reports, proxy statements, and other information.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access to a recording of our earnings calls and certain events we participate in or host with members of the investment community on our investor relations website. Additionally, we also provide notifications on our investor relations website of news or announcements regarding our financial performance, including our filings with the Securities and Exchange Commission (“SEC”), investor events, press releases, and earnings releases. Investors and others can receive notifications of new information posted on our investor relations website in real time by signing up for email alerts and RSS feeds. Corporate governance information, including our governance guidelines and code of business conduct and ethics, is also available on our investor relations website under the heading “Corporate Governance.” Corporate sustainability information is available on our website and is located at www.guidewire.com/corporate-sustainability. The contents of our websites, including any information contained in reports or other resources found on such websites, are not intended to be incorporated by reference into this Annual Report on Form 10-K or in any other report or document we file with the SEC. Any references to our websites are intended to be inactive, textual references only.</w:t>
      </w:r>
    </w:p>
    <w:p>
      <w:pPr>
        <w:pStyle w:val="TextBody"/>
        <w:bidi w:val="0"/>
        <w:spacing w:before="180" w:after="283"/>
        <w:ind w:left="0" w:right="0" w:firstLine="495"/>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417" w:before="0" w:after="0"/>
        <w:ind w:left="0" w:right="0" w:hanging="1440"/>
        <w:jc w:val="left"/>
        <w:rPr/>
      </w:pPr>
      <w:r>
        <w:rPr>
          <w:rFonts w:ascii="Times New Roman;serif" w:hAnsi="Times New Roman;serif"/>
          <w:b/>
          <w:color w:val="0000FF"/>
          <w:sz w:val="20"/>
          <w:u w:val="single"/>
        </w:rPr>
        <w:t>Item 1A.</w:t>
      </w:r>
      <w:r>
        <w:rPr>
          <w:rFonts w:ascii="Times New Roman;serif" w:hAnsi="Times New Roman;serif"/>
          <w:b/>
          <w:color w:val="000000"/>
          <w:sz w:val="20"/>
        </w:rPr>
        <w:t>Risk Factors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You should carefully consider such risks and uncertainties, together with the other information contained in this Annual Report on Form 10-K,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pStyle w:val="TextBody"/>
        <w:bidi w:val="0"/>
        <w:spacing w:lineRule="auto" w:line="288" w:before="180" w:after="283"/>
        <w:ind w:left="0" w:right="0" w:firstLine="495"/>
        <w:jc w:val="center"/>
        <w:rPr>
          <w:rFonts w:ascii="Times New Roman;serif" w:hAnsi="Times New Roman;serif"/>
          <w:b/>
          <w:color w:val="000000"/>
          <w:sz w:val="20"/>
        </w:rPr>
      </w:pPr>
      <w:r>
        <w:rPr>
          <w:rFonts w:ascii="Times New Roman;serif" w:hAnsi="Times New Roman;serif"/>
          <w:b/>
          <w:color w:val="000000"/>
          <w:sz w:val="20"/>
        </w:rPr>
        <w:t>SUMMARY OF MATERIAL RISKS ASSOCIATED WITH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risks and uncertainties affecting our business include the following: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our quarterly and annual results have fluctuated significantly and may continue to fluctuate significantly due to a number of factors, including economic conditions, shifts in investor sentiment regarding our industry, including with respect to AI and technological displacement, customer behavior, contract provisions and changes, operational costs and reliability, seasonality, and other uncertainties, which has impacted, and could continue to impact, our stock price;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reliance on orders from a relatively small number of customers in the P&amp;C insurance industry for a substantial portion of our revenue and Annual Recurring Revenue (“ARR”) and the related substantial negotiating leverage of these customers, as well as our dependence on customer renewals and expansions of their contracts for our products, which may not occur;</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lengthy and variable sales and implementation cycles, with factors beyond our control, including competitive pressures, potentially causing expenditure of significant time and resources prior to revenue generation;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competitive attributes of our applications, including the need to continuously develop and enhance our products to satisfy customer demands, maintain market acceptance, respond to competitive pressures, and meet local requirements of international markets;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grow our business and manage our expanding operations, including internationally, effectively;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issues in the development, adoption, deployment, workforce use, and maintenance of AI technologies, combined with an uncertain regulatory environment, may result in reputational harm, operational disruptions, liability, or other adverse consequences to our business operations;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expand adoption of our cloud-based subscription offerings, migrate existing term license customers to cloud-based offerings on a subscription basis, and manage long-term pricing commitments in our customer contracts that are based on available information and estimates about future costs that may change;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errors or failures in our products or services, as well as failures, security vulnerabilities, or service interruptions of third-party technologies and service providers we utilize, could impair the availability of our products, harm our reputation, lead to customer loss, increase liability claims, or harm our future financial results;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dependence on the quality and effectiveness of our professional services, technical support, and SI partners, and successful development of our global direct sales force and the expansion of our relationships with SI partners;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factors that could affect our gross and operating margins, including revenue mix and costs related to operating, securing, and enhancing our subscription services;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pursuing acquisitions or partnerships may lead to management distractions, integration challenges, increased costs, and stockholder dilution, with risks including unforeseen difficulties, capital investment needs, and competitive pressures;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exposure to risks in relation to data security incidents or breaches of our cloud-based products, including increasingly sophisticated, AI-accelerated cyberattacks that may outpace our defensive measures, unauthorized access to our customers’ or employees’ data, and the related impact on our ability to effectively operate our cloud environment for our customers;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required compliance with current and evolving local data privacy and cybersecurity laws and regulations in all jurisdictions where we have customers, and our ability to maintain the security of our customers’ data and our cloud-based products, appropriately limit the use of information, and manage related costs and liabilities incurred;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retaining existing and hiring new personnel, maintaining our company culture, and managing a hybrid and geographically distributed workforce;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exposure to market risks, including geographical and global events, supply chain disruptions, inflation, political and regional conflicts, interest rates, foreign currency exchange rates, tariffs, and financial markets’ volatility, all of which have impacted or may impact our stock price and its volatility and our customers, partners, vendors, or our business operations. </w:t>
      </w:r>
    </w:p>
    <w:p>
      <w:pPr>
        <w:pStyle w:val="TextBody"/>
        <w:bidi w:val="0"/>
        <w:spacing w:before="0" w:after="0"/>
        <w:jc w:val="center"/>
        <w:rPr/>
      </w:pPr>
      <w:r>
        <w:rPr/>
      </w:r>
    </w:p>
    <w:p>
      <w:pPr>
        <w:pStyle w:val="TextBody"/>
        <w:bidi w:val="0"/>
        <w:spacing w:lineRule="auto" w:line="288" w:before="180" w:after="283"/>
        <w:ind w:left="0" w:right="0" w:firstLine="495"/>
        <w:jc w:val="center"/>
        <w:rPr>
          <w:rFonts w:ascii="Times New Roman;serif" w:hAnsi="Times New Roman;serif"/>
          <w:b/>
          <w:color w:val="000000"/>
          <w:sz w:val="20"/>
          <w:u w:val="single"/>
        </w:rPr>
      </w:pPr>
      <w:r>
        <w:rPr>
          <w:rFonts w:ascii="Times New Roman;serif" w:hAnsi="Times New Roman;serif"/>
          <w:b/>
          <w:color w:val="000000"/>
          <w:sz w:val="20"/>
          <w:u w:val="single"/>
        </w:rPr>
        <w:t>Risks Related to Our Business and Industry</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have experienced, and may continue to experience, significant quarterly and annual fluctuations in our results of operations due to a number of factors.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quarterly and annual results of operations have fluctuated in the past and may fluctuate significantly in the future due to a variety of factors, many of which are outside of our control. This variability has led, and may continue to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Factors that may affect our results of operations include: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impact of economic downturns, recessions, or market volatility caused by inflation, deflation, financial instability, public health crises, geopolitical conflicts, and trade uncertainties, which may negatively affect our partners and vendors, or cause a delay, failure to execute, collection issues, or cancellation of significant customer agreements and professional service arrangements;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attract new domestic and international customers and renew existing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seasonal buying patterns of our potential customers and our ability to sell additional software and services to existing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proportion and timing of subscription sales as opposed to term licenses, and the variations in revenue recognition between these contract types;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renewals or modifications of customer contracts or term licenses with duration greater than one year;</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increases in costs related to cloud operations, cybersecurity, product development, and services;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expand market adoption of cloud-based services, including the impact of our customers transitioning from term licenses to subscription services;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erosion in services margins or significant fluctuations in services revenue caused by changing customer demand, negotiated professional services billing rates, investments in customer implementation and migration projects, utilization rates, or fixed fee contracts;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our ability to negotiate and maintain favorable terms with customers and prospects that possess substantial negotiating leverage, as well as our ability to avoid penalties or renegotiations triggered by failures to meet contractual obligations such as service levels, implementation times, and product delivery;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security and privacy concerns related to employee data, customer data, and systems that are accessed or otherwise used by our hybrid workforce and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employee retention, the ability to hire and onboard appropriate personnel, and the timing of hiring personnel and employee related expenses;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realize expected benefits from our acquisitions and other strategic business transactions;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reductions in our customers’ budgets for information technology purchases and delays in their purchasing decisions;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adverse litigation judgments, dispute-related settlement payments, or litigation-related costs;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future accounting pronouncements, changes in accounting rules, new tax laws or regulations, or tax interpretations and our related accounting policies, interpretations, and controls;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factors are difficult to forecast, and these, as well as other factors, could materially adversely affect our quarterly and annual results of operations. Further, due to multi-year term licenses and multi-year term license renewals, timing and pricing of cloud-based subscription services, timing of and billing rates for professional services engagements, and other ongoing aspects of our business, it is challenging to forecast our quarterly and annual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ability to adjust spending quickly enough to compensate for a potential revenue shortfall is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has declined in the past and may decline in the future.</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reliance on a relatively small number of P&amp;C insurance customers for a significant portion of our revenue and ARR and the substantial negotiating leverage of these customers could adversely affect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varied and will continue to vary from year to year. Our ten largest customers accounted for 21% and 20% of our revenue in fiscal years 2026 and 2025, respectively. Additionally, our ten largest customers based on ARR accounted for 20% of total ARR at July 31, 2026.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 we expect that we will continue to depend upon a relatively small number of customers for a significant portion of our revenue and ARR for the foreseeable future. As a result, if we fail to successfully sell our products to one or more of these anticipated customers in any particular period or fail to identify additional potential customers, or if such customers purchase fewer of our products or professional services,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We have been required to, and may again be required to, reduce the average selling price and ARR of our products, along with agreeing to ramps that delay reaching fully ramped ARR, in response to these pressures. If we are unable to avoid reducing our average selling prices or ARR, our results of operations could be harmed. In addition, consolidation among P&amp;C insurers may further concentrate our customer base and increase the negotiating leverage of our large customers, which could heighten pricing and margin pressures.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sales and implementation cycles are lengthy and variable, depend upon factors outside our control, and could cause us to expend significant time and resources prior to generating revenue.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typical sales cycle for our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the potential cost savings achievable by organizations deploying our products, and the benefits and risks associated with cloud-based services. Customers typically undertake a significant evaluation process, which frequently involves not only our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timing, and terms of the initial contract until very late in the sales cycle, which affects our ability to accurately forecast revenue and ARR. In addition, if we commit to include specific features in our base product offering at the request of a customer or group of customers, we may be unable to recognize revenue until the specific features have been delivered with our products or be subject to penalties or costs.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implementation and testing of our products by our customers typically lasts six to 24 months or longer and unexpected implementation delays and difficulties can occur. Implementing our products typically involves integration with our customers’ and third parties’ systems and creating or updating the digital experience,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products or upon renewal of existing products, potential reversals of previously recognized revenue, renegotiating existing customers’ contractual terms, and a customer’s refusal to pay their contractually obligated license, subscription,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face intense competition in our market, which could negatively impact our business, results of operations, and financial condition and cause our market share to decline.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our products is intensely competitive and rapidly evolving.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We may also face competition from new market entrants, specialized AI companies, enterprise AI platform providers, and cloud-based vendors that utilize innovative technologies, including AI technologies, to compete with or disrupt portions of our business. These competitors may compete on the basis of price, total cost of ownership, security, innovative technologies such as AI technologies, the time and cost required for implementation, custom development, or unique product features or functions. Outside of the U.S.,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 Further, as AI technologies continue to evolve, our existing and potential customers may leverage these capabilities to develop their own solutions that could reduce or eliminate the need for our solutions.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expand our product portfolio, we may begin to compete with software and service providers we have not competed against previously. Such potential competitors offer digital engagement and data and analytics tools that may, in time, become more competitive with our offerings.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competitors’ products, services, or technologies become more accepted than our solutions, if they are successful in bringing their products or services to market earlier than we are, if their products or services are more technologically capable than ours (including, without limitation, as a result of new or better use of evolving AI technologies), or if our customers or potential customers replace our solutions with custom-built software, then our revenue could be adversely affected.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the intensity of competition to remain high in the future, as the amount of capital invested in current and potential competitors, including insurtech companies, has increased significantly in recent years. Additionally, we anticipate that the amount of capital invested in potential new market entrants utilizing AI technologies may increase. As a result, our competitors or potential competitors may develop improved product or sales capabilities, or even a technology breakthrough, such as through the use of AI technologies,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security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and potential competitors may also establish cooperative relationships among themselves or with third parties to further enhance their resources and offerings. Market consolidation may increase as current or potential competitors may be acquired by other vendors or third parties with greater available resources. As a result of such acquisitions or consolidation, our current or potential competitors might be more able than we are to adapt quickly to new technologies and customer needs, to devote greater resources to the promotion or sale of their products, to initiate or withstand substantial price competition, or to take advantage of emerging opportunities by developing and expanding their product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manage our expanding operations effectively could harm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consistent growth and expect to continue expanding our operations, including increasing the number of employees and broadening the locations and scope of our international operations. Additionally, we operate a hybrid work environment in which a large portion of our workforce works either in-person on a part-time basis or remotely on a permanent basis, which brings challenges to managing our business and workforce. Specifically, we may be exposed to risks associated with the locations of remote workers, including compliance with local laws and regulations. Our expansion, combined with the complexity of managing a hybrid and geographically distributed workforce, has placed, and will continue to place, a significant strain on our managerial, administrative, operational, financial and other resources. 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customers, including our ability to transition employees to new assignments on a timely basis. If we are unable to effectively deploy our employees globally on a timely basis to fulfill the needs of our customers, our reputation could suffer and our ability to attract new customers may be harmed.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products or investments in cloud operations. If we increase the size of our organization without experiencing an increase in sales of our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Issues in the development, adoption, deployment, workforce use, and maintenance of AI technologies, combined with an uncertain regulatory environment, may result in reputational harm, operational disruptions, liability, or other adverse consequences to our business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internally developed and third-party AI technologies across our products and internal business operations, and are continuing to make investments in expanding such AI capabilities. We consider AI to be an important driver of our future growth, product innovation, and internal business operations, although, as with many technological innovations, there are significant risks involved in developing, maintaining and deploying these capabilities and there can be no assurance that the usage of or our investments in such technologies will always enhance our products, reduce implementation complexity or costs, improve service margins, or be beneficial to our overall efficiency or profitability.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our ability to offer and utilize AI capabilities depends on the continued availability, performance, and cost of third-party infrastructure, hardware, and foundational AI models. Developing, testing, and deploying AI systems may increase our operating expenses due to the intensive computing power involved. Service disruptions, unfavorable pricing changes, model deprecation, unannounced changes to model performance or behavior, or a failure by third-party model providers to secure proper licenses or training data consents could constrain our product roadmap and increase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complexity of our products that incorporate AI technologies could result in unforeseen delays or expenses, undetected defects, bugs, system misconfigurations, or new cybersecurity or data privacy vulnerabilities. These challenges may harm the market acceptance of our offerings, damage our reputation, cause service level credit penalties or implementation disruptions, cause significant remediation expenses, and harm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our use of AI technologies evolves, we may in the future license certain data from third parties or open-source databases to develop and train our models. If we choose to leverage such data, we would depend on third party assurances that the data was obtained lawfully, and we cannot be certain that licensors of open-source datasets have sufficient rights to make them available. If we utilize such data in the future and are deemed to not have sufficient rights to it, we may be subject to litigation by the owners of the content or other materials that comprise such data, similar to the litigation that is currently pending in U.S. and other courts against developers of AI technologies. Additionally, as our product offerings evolve, we are developing extensible platform capabilities that will allow our customers and partners to integrate or plug-in third-party foundational AI models into core applications. To the extent we facilitate these integrations, we cannot guarantee that such users will not purposely or accidentally use AI technologies for improper purposes, including disseminating illegal, inaccurate, defamatory, or harmful content, intellectual property infringement or misappropriation, furthering bias or discrimination, cybersecurity attacks, data privacy violations, or to develop competing technologies, or that the measures we implement to prevent such improper use will be effective. Such improper use by any our customers utilizing these third-party models through our platform could adversely affect our business, reputation, and financial condition or subject us to legal liability.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models underlying our AI technologies may experience decay (also known as “model drift”) in which their performance and accuracy decrease over time without further human intervention to correct such decay. AI technologies may also create content, software code, system configurations, or analytical insights that appear facially correct but are factually inaccurate, biased, or flawed. Additionally, certain AI tools may execute unexpected or erroneous automated actions across our products, services, and solutions. Our customers, employees, or others may rely on or use such factually incorrect or flawed content or automated actions to their detriment and we may offer AI solutions that draw scrutiny or controversy due to their perceived or actual societal impact. Any of these issues could expose us to brand or reputational harm, customer attrition, competitive harm, additional costs, and/or legal liability. If our AI technologies development, deployment, oversight, or governance is ineffective or inadequate, it may result in incidents that impair the public acceptance of AI solutions or cause harm to individuals, customers or society, or result in our offerings not working as intended or producing unexpected outcomes. The use of AI by our workforce presents additional cybersecurity, confidentiality, and intellectual property rights risks. Because the legal landscape regarding intellectual property rights in AI technologies remains unsettled, our use of such technologies may lead to allegations of infringement or misappropriation. Employee or contractor engagement with authorized or unapproved AI tools could inadvertently expose our proprietary source code, trade secrets, or confidential customer data to public model training sets or third parties. Incorporating generative AI code-assist tools into our software development lifecycle or customer deployments may introduce additional bugs and vulnerabilities and could also expose us to third-party IP infringement claims if outputs are deemed “substantially similar” to copyrighted third-party code, impair our ability to obtain and enforce copyright or intellectual property protection on AI-generated software outputs, risk losing proprietary protection due to open-source commingling, or result in third-party tool providers retaining rights in generated code.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the regulatory framework for AI technologies is rapidly evolving as many federal, state and foreign government bodies and agencies have enacted or are currently considering laws and regulations governing AI. Additionally, existing laws and regulations may be interpreted or enforced in ways that would affect our use of AI technologies. For example, evolving legal and regulatory frameworks targeted at AI technologies, such as the EU Artificial Intelligence Act, the EU Product Liability Directive as revised, and emerging U.S. federal and state standards, may require us to modify our data handling, model governance and compliance practices. Compliance with these diverse and evolving regulations may be costly or disruptive to our operations, increase our expenses, and restrict our ability to deploy specific AI features in certain markets, which may hinder our customers’ ability to adopt our AI-enabled products. Furthermore, any actual or perceived failure to successfully navigate these complex requirements could subject us to regulatory investigations, administrative fines, or operational restrictions that could harm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development of next-generation solutions that utilize new and advanced features using or incorporating AI technologies involves making predictions regarding the willingness of the market to adopt such technologies over legacy solutions. The market for products and services that incorporate AI technologies is rapidly evolving, and important assumptions about the characteristics of targeted markets, pricing, sales cycles, cost, performance, and perceived value may be inaccurate. We cannot be sure that the market will continue to grow or that it will grow in ways we anticipate. We may be required to commit significant resources to developing new products, tools, and capabilities before knowing whether such investment will result in products that the market will accept.</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may fail to set the optimal pricing and packaging of our products, which could negatively impact our growth strategy and ability to effectively compete in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face challenges in selling our solutions to insurers that have internally developed their own proprietary software solutions, and we face competition from emerging and established vendors. As a result, these companies may offer lower prices, additional products or services, or other incentives that may impact our ability to maintain our prices.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our products is constantly evolving, and our pricing and packaging decisions are made based on the best information available at the time, but future outcomes may differ significantly from our expectations. We are continually analyzing and refining our pricing and packaging models to adapt to this dynamic environment. For example, we may need to change our pricing in future periods in response to market demands, inflation, tariffs, and interest rate environment, or increased costs, especially for the third-party costs that we incur to operate and secure our cloud infrastructure. Our contracts are often multi-year in duration and our inability to foresee changing events could impact the profitability of certain contracts. Further, as competitors introduce new products that compete with ours or reduce their prices, we may be unable to attract new customers or retain existing customers based on our historical pricing. As we expand internationally, we also must determine the appropriate price to enable us to compete effectively in each market. In addition, if our mix or bundle of products sold changes, then we may need to, or choose to, revise our pricing. As a result, we may be required or choose to reduce our prices or change our pricing model, which could harm our business, results of operations, and financial condition. In addition, we cannot predict whether our current or prospective customers, or the market in general, will accept these changes. If these adjustments do not gain acceptance, our business and operational results could be adversely affected. Failure to identify an optimal pricing and packaging strategy may harm our business and operational outcomes. Should customers reject our new or modified pricing plans, we may face increasing challenges in attracting new customers and retaining existing ones, particularly if we apply new pricing models to current customer subscriptions.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expand adoption of our cloud-based subscription offerings, or if we fail to meet stipulated service levels, our results of operations could be harmed.</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To address demand trends in the P&amp;C insurance industry, we offer customers the use of our software products primarily through a cloud-based offering sold on a subscription basis. Our subscription business model has required, and will continue to require, a considerable investment of technical, operational, financial, legal, and sales resources.</w:t>
      </w:r>
      <w:r>
        <w:rPr>
          <w:color w:val="000000"/>
        </w:rPr>
        <w:t xml:space="preserve"> </w:t>
      </w:r>
      <w:r>
        <w:rPr>
          <w:rFonts w:ascii="Times New Roman;serif" w:hAnsi="Times New Roman;serif"/>
          <w:b w:val="false"/>
          <w:color w:val="000000"/>
          <w:sz w:val="20"/>
        </w:rPr>
        <w:t xml:space="preserve">Our software and cloud services involve the storage and transmission of customer data, including in some cases, personal data, and security incidents or breaches could result in the loss of this information, which in turn could result in litigation, breach of contract claims, indemnity obligations, harm to our reputation, and other liabilities for us. Our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on which we rely to host our subscription services, may be difficult to predict over time. Furthermore, we may assume greater responsibilities for implementation of subscription services due to our operating and maintaining the cloud environment for our customers. As a result, we may face risks associated with new and complex implementations or migrations, the cost of which may differ from original estimates. Our subscription contracts also contain penalty clauses, for matters such as failing to meet stipulated service levels or other contractual provisions. Should these penalties be triggered, our results of operations may be adversely affected. These penalties and costs have taken, and could in the future take, the form of monetary credits for current or future service engagements, reduced fees for additional services or products or upon renewal of existing agreements, and a customer’s renegotiation or refusal to pay its contractually obligated subscription or service fees.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under our cloud-based subscription model is generally recognized ratably over the term of the contract. Ratable revenue recognition results in lower revenue in the initial period of the customer agreement. This effect on recognized revenue may be magnified due to the concentration of our orders in the fourth fiscal quarter. Additionally, the timing of our customers’ decision to transition from self-managed licenses to cloud-based subscription services could negatively affect our ability to forecast the timing and amount of our revenue in any period.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market acceptance of our cloud-based solutions has increased, our future growth depends on our ability to further expand adoption among existing and new customers. Factors such as cost, security, reliability, performance, customer preference, perceived value associated with such offerings, public concerns regarding privacy, and the enactment of restrictive laws or regulations could continue to affect the pace and extent of this expansion. If adoption or renewal of our cloud-based solutions does not grow as expected, we could experience reduced customer purchases, reduced renewal rates, lower ARR, and decreased revenue, any of which will adversely affect our business, results of operations, or financial condition.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continually updating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address customer requirements, our customers’ ability to successfully migrate to and implement our subscription services, tax and accounting implications, and our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metrics we and our investors use to evaluate our business model may evolve over the course of time as significant trends emerge. It may be difficult, therefore, to accurately determine the impact on our business on a contemporaneous basis, or to clearly communicate the appropriate metrics to our investors. If we are unable to expand adoption of our cloud offerings in light of the foregoing risks and uncertainties, our reputation could suffer and our results of operations could be harmed, which may cause our stock price to decline.</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depends on customers renewing and expanding their license, support, and subscription contracts for our products. A decline in our customer renewals and expansions could harm our future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Our customers’ renewal rates may fluctuate or decline because of several factors, including their satisfaction or dissatisfaction with our products, the prices of our products, the prices of products offered by our competitors, reduction in our customers’ business including their DWP, reductions in our customers’ spending levels due to the macroeconomic environment or other factors, or the sale of their operations to a buyer that is not a current customer. Additionally, customers may delay making payments under existing agreements, or at renewal, in an attempt to obtain more favorable terms from us.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in certain limited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Seasonal sales patterns may cause significant fluctuations in our results of operations and cash flows and may prevent us from achieving our quarterly or annual forecasts, which may cause our stock price to decline.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see increased new orders in our fourth fiscal quarter, which is the quarter ending July 31, due to efforts by our sales team to achieve annual incentives. As a result, a significantly higher percentage of our annual license revenue and cash receipts have historically been recognized in our fourth fiscal quarter. Since a substantial majority of our license revenue has annual renewals after the initial term of the contract, we expect to continue to experience this seasonality effect in subsequent years. Because of the upfront nature of revenue recognition for new multi-year term licenses and multi-year term license renewals, any quarter in which a significant agreement of this nature is signed, renewed, cancelled, or not renewed when scheduled to do so may be impacted.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will most likely remain concentrated in the fourth fiscal quarter and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and ramped nature of annual installments over the initial term, even if the revenue is recognized ratably.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quarterly growth in revenue or ARR also may not coincide with new orders or cash flows in a given quarter, which could mask the impact of seasonal variations. This mismatch is primarily due to the following reasons: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subscription arrangements are recognized ratably and only a portion, if any, of the revenue from an order is recognized in the same fiscal period of the order;</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subscription arrangements generally have ramped invoicing schedules over the initial term, which affects ARR and cash flows, but revenue is recognized ratably over the initial term;</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term license agreements and multi-year term license renewals have annual billing arrangements even though revenue is recognized upfront for the entire committed term;</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 may enter into agreements with future product delivery requirements, specified terms for product upgrades or functionality, acceptance terms, future product discounts, early termination rights, or unconditional return rights, which may require us to delay revenue recognition for a period of time;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revenue recognition may not occur in the period when the order is placed due to certain revenue recognition criteria not being met, such as delivery of the software or providing access to the subscription 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seasonal patterns may be affected by the timing of particularly large transactions and the number of renewals in a given quarter. Seasonal and other variations may cause significant fluctuations in our revenue,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develop, introduce, and market new and enhanced versions of our products, we may be put at a competitive disadvantage.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Our success depends on our continued ability to develop, introduce, and market new and enhanced versions of our products to meet evolving customer requirements. Because our products are complex and require rigorous testing, new features, new functionality, and updates to our existing products can take significant time and resources to develop and bring to market.</w:t>
      </w:r>
      <w:r>
        <w:rPr>
          <w:color w:val="000000"/>
        </w:rPr>
        <w:t xml:space="preserve"> </w:t>
      </w:r>
      <w:r>
        <w:rPr>
          <w:rFonts w:ascii="Times New Roman;serif" w:hAnsi="Times New Roman;serif"/>
          <w:b w:val="false"/>
          <w:color w:val="000000"/>
          <w:sz w:val="20"/>
        </w:rPr>
        <w:t>As we expand internationally, our products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If we fail to develop new products, enhance our existing products, or manage our products in the cloud, our business could be adversely affected, especially if our competitors are able to introduce products with enhanced functionality in the cloud. It is critical to our success for us to anticipate changes in technology, industry standards and regulations, and customer requirements and to successfully introduce new, enhanced, and competitive products to meet our customers’ and prospective customers’ needs on a timely basis. We have invested and intend to increase investments in research and development and cloud operations to meet these challenges.</w:t>
      </w:r>
      <w:r>
        <w:rPr>
          <w:color w:val="000000"/>
        </w:rPr>
        <w:t xml:space="preserve"> </w:t>
      </w:r>
      <w:r>
        <w:rPr>
          <w:rFonts w:ascii="Times New Roman;serif" w:hAnsi="Times New Roman;serif"/>
          <w:b w:val="false"/>
          <w:color w:val="000000"/>
          <w:sz w:val="20"/>
        </w:rPr>
        <w:t>Revenue may not be sufficient to support the future product development that is required for us to remain competitive. If we fail to develop products in a timely manner that are competitive in technology and price or develop products that fail to meet customer demands, our market share will decline and our business and results of operations could be harmed.</w:t>
      </w:r>
      <w:r>
        <w:rPr>
          <w:color w:val="000000"/>
        </w:rPr>
        <w:t xml:space="preserve"> </w:t>
      </w:r>
      <w:r>
        <w:rPr>
          <w:rFonts w:ascii="Times New Roman;serif" w:hAnsi="Times New Roman;serif"/>
          <w:b w:val="false"/>
          <w:color w:val="000000"/>
          <w:sz w:val="20"/>
        </w:rPr>
        <w:t>If our development efforts do not develop services, products or features that our customers find valuable, then we might incur impairment charges related to our capitalized software development costs.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Real or perceived errors or failures in our products and professional services, including implementation and cloud support services, may affect our reputation, cause us to lose customers, and reduce sales and renewal rates, which may harm our business and results of operations and subject us to liability for breach of warranty claims.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 offer complex products, undetected errors or failures may exist or occur, especially when products are first introduced or when new versions or updates are released. Our products are often used in large-scale computing environments with different operating systems, system management software, and equipment and networking configurations, which may result in errors or failures or expose undetected errors, failures, or bugs in our products. Despite extensive testing by us, we may not identify all errors, failures, or bugs in new products or releases until after commencement of commercial sales or installation. As is common with complex software, errors, failures, or bugs may be discovered in our offerings after their introduction. While we have implemented, and continually improve, a breadth of industry standard technology controls designed to ensure system stability and availability, we may introduce errors, design flaws, software bugs, and other issues into the environment, and fail to remediate them in a timely manner, which may cause serious or prolonged service interruptions to our customers.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We provide our customers with upfront estimates regarding the duration, resources, and costs associated with the migration and</w:t>
      </w:r>
      <w:r>
        <w:rPr>
          <w:color w:val="000000"/>
        </w:rPr>
        <w:t xml:space="preserve"> </w:t>
      </w:r>
      <w:r>
        <w:rPr>
          <w:rFonts w:ascii="Times New Roman;serif" w:hAnsi="Times New Roman;serif"/>
          <w:b w:val="false"/>
          <w:color w:val="000000"/>
          <w:sz w:val="20"/>
        </w:rPr>
        <w:t xml:space="preserve">implementation of our products. Failure to meet these upfront estimates and the expectations of our customers could result from inadequate initial assessments, changes in project scope, our product capabilities, or professional service engagements performed by us, our SI partners, or our customers’ employees, the latter two of which are beyond our direct control. The consequences could include, and have included, monetary credits for current or future service engagements, reduced fees for additional products or upon renewal of existing products, renegotiation or modification of existing contracts that could potentially result in reversals of previously recognized revenue, or a customer’s refusal to pay its contractually obligated fees. In addition, time-consuming or difficult migrations and implementations may also increase the amount of services personnel we must allocate to the project, potentially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commensurate compensation, thereby increasing our costs, lowering our services margin, and adversely affecting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license, subscription, and support of our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to new customers and renew agreements with our existing customers.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products to these customers or to transition existing license customers to subscription services, a key strategy for the growth of our revenue and profitability. In addition, as we further expand our cloud-based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 partners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and support of our products by our SI partners. Our failure to maintain high-quality implementation and support services, or to ensure that SIs provide the same, could have a material adverse effect on our business, results of operations, financial condition, and growth prospects.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mix, as well as declines in our subscription and support gross margin or our services gross margin, could adversely affect our overall gross margin and profitability.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subscription and support revenue was 66% and 61% of total revenue for fiscal years 2026 and 2025, respectively. Our subscription and support revenue produces lower gross margins than our license revenue. The gross margin of our subscription and support revenue was 73% and 68% for fiscal years 2026 and 2025, respectively, while the gross margin for license revenue was 99% for both fiscal years 2026 and 2025. We expect that subscription revenue will continue to increase as a percentage of total revenue as we contract with new cloud customers and existing customers migrate from term licenses to subscription services. Additionally, we are incurring expenses to operate our cloud services and manage our cloud operations which may not result in an improvement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economic volatility, inflation, tariffs, or other global events and disasters.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services revenue was 18% of total revenue for both fiscal years 2026 and 2025. Our services revenue produces significantly lower gross margin than either our license revenue or our subscription and support revenue and has at times been negative. If we experience an increase in the percentage of total revenue represented by services revenue, due to acquisitions or other factors, such increase could reduce our overall gross and operating margins. Fluctuation in our services revenue can result from several factors, some of which may be beyond our control, including change in customer demand for our services team’s involvement in the implementation of and migration to new products, the rates we charge or discounts we offer for our services, our ability to bill our customers for all time incurred to complete a project, the extent and quality of implementations and migrations provided by our SI partners, the extent to which we subcontract services to those SI partners, and the impact on the global economy as a result of economic volatility, inflation, tariffs, or other global events and disasters. Additionally, the failure to improve, or the erosion of, our services margin, whether due to discounts related to encouraging customers to enter into cloud agreements or otherwise, particularly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if we subcontract out services without an adequate markup, or if we require additional personnel on unexpectedly difficult projects to ensure customer success, perhaps without receiving commensurate compensation.</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of any of our established products to satisfy customer demands or to maintain market acceptance could harm our business, results of operations, financial condition, and growth prospects.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a significant majority of our revenue and cash flows from our established product offerings, including Guidewire InsuranceSuite,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product upgrades, enhancements, and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continue the successful development of our global direct sales force and the expansion of our relationships with our strategic partners, sales of our products will suffer and our growth could be slower than we project.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will suffer and our growth will be impeded.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products may compete directly against products that such leading SI partners support or market. Additionally, we are unable to control the quantity or quality of resources that our SI partners commit to migrating or implementing our products, the quality or timeliness of such migrations and implementations, or the effects of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international sales and operations subject us to additional risks that can adversely affect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products to customers located outside the U.S., and we are continuing to expand our international operations as part of our growth strategy. In fiscal years 2026 and 2025, $537.5 million and $431.6 million of our revenue, respectively, was from customers outside of the U.S. Our current international operations and our plans to expand our international operations subject us to a variety of risks, including: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increased management, travel, infrastructure, legal, and compliance costs associated with having multiple international operations;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unique terms and conditions in contract negotiations imposed by customers in foreign countries;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longer payment cycles and difficulties in enforcing contracts and collecting accounts receivable;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need to localize our contracts, our billing practices, and our products for international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lack of familiarity with and unexpected changes in foreign regulatory requirements, including requirements around employee compensation and benefits;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increased exposure to fluctuations in currency exchange rates, especially on revenue and ARR;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highly inflationary international economies and related governments;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geographic and political conflicts, such as the war between Russia and Ukraine, ongoing conflicts in the Middle East, and the tensions in the South China Sea;</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burdens and costs of complying with a wide variety of foreign laws and legal standards, including without limitation any new or evolving laws and regulations relating to the use of data, climate-related disclosures, operational resilience, data protection and privacy, particularly in the European Union (“EU”) and the United Kingdom (“U.K.”);</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compliance with the U.S. Foreign Corrupt Practices Act of 1977, as amended, the U.K. Bribery Act of 2010 and other anti-corruption regulations, particularly in emerging market countries;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compliance by international staff with accounting practices generally accepted in the U.S., including adherence to our accounting policies and internal controls;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import and export license requirements, tariffs, taxes and other trade barriers;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increased financial accounting, tax and reporting burdens and complexities;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weaker protection of intellectual property rights in some countries;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multiple and possibly overlapping tax regimes, including certain Organization for Economic Cooperation and Development (“OECD”) proposals, such as the implementation of the global minimum tax under the Pillar Two model rules;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government sanctions that may interfere with our ability to sell into particular countries, such as Russia;</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disruption to our operations caused by public health crises, such as epidemics and pandemics;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political, social, and economic instability abroad, terrorist attacks, and security concerns in general.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increase the number of products we offer, increase the number of countries in which we operate, and incorporate new technologies and capabilities into our products (including, without limitation, the use of AI, generative AI, and machine learning technologies), the complexity of adjusting our offerings to comply with legal and regulatory changes will increase.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may expand through acquisitions or partnerships with other companies, which may divert our management’s attention and result in unexpected operating and technology integration difficulties, increased costs, and dilution to our stockholders.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strategy includes the potential acquisition of shares or assets of companies with software, cloud-based services, technologies, as well as businesses that are complementary to ours. Our strategy also includes alliances with such companies. We have made several acquisitions in the past, and we may continue to pursue transactions that we believe could complement or expand our solutions. From time to time, we also invest in private growth-stage companies to support strategic initiatives, and such investments involve the risk of partial or total loss of capital and may not generate a return. Acquisitions, alliances, and strategic investments are inherently risky and may result in unforeseen operating difficulties and expenditures, be dilutive to earnings, negatively impact margins, and fail to generate the anticipated benefits. In particular, we may fail to assimilate or integrate the businesses, technologies, services, products, personnel, or operations of the acquired companies, retain key personnel necessary to favorably execute the combined companies’ business plan, retain existing customers or sell acquired products to new customers, or adequately test and assimilate the internal control processes of the acquired business in accordance with the requirements of Section 404 of the Sarbanes-Oxley Act of 2002 (“Sarbanes-Oxley Act”). Our due diligence may fail to identify all of the problems, liabilities, or challenges, and our mitigation strategies for identified issues may not be effective. As a result, we may overpay, fail to achieve expected synergies or earnings accretion, or incur unexpected costs, any of which could harm our business, prospects, financial condition, results of operations, cash flows, or stock price.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from the timing of revenue from existing products. In addition, our ability to maintain favorable pricing of new products may be challenging if we bundle such products with existing products. A delay in the recognition of revenue from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acquired or alliance products, or reduced pricing due to bundled sales, may cause fluctuations in our quarterly financial results, may adversely affect our operating margins, and may reduce the benefits of such acquisitions or alliances.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competition within the software industry for acquisitions of businesses, technologies, and assets has been, and may continue to be, intense. Acquisitions may be subject to regulatory reviews, which could increase legal and compliance costs or delay, limit, or prevent completion of the transaction.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Incorrect or improper use of our products or our failure to properly train customers on how to utilize our products could result in customer dissatisfaction and negatively affect our business, results of operations, financial condition, and growth prospects.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are complex and are deployed in a wide variety of environments. The proper use of our products requires training of the customer. If our products are not used correctly or as intended, inadequate performance may result. Our products may also be intentionally misused or abused by customers or their employees or third parties who are able to access or use our products. Because our customers rely on our services, products, and support to manage a wide range of operations, the incorrect or improper use of our products, our failure to properly train customers on how to efficiently and effectively use our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products.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there is substantial turnover of customer personnel responsible, especially at the executive level, for the use and support of our products, or if customer personnel are not well trained in the use and support of our products, customers may defer the deployment of our products, may deploy them in a more limited manner than originally anticipated, or may not deploy them at all. Further, if there is substantial turnover of the customer personnel responsible for use of our products, our ability to renew existing licenses and make additional sales may be substantially limited.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not be able to obtain capital when desired on favorable terms, if at all, and we may not be able to obtain capital or complete acquisitions through the use of equity without dilution to our stockholders.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need additional financing to execute on our current or future business strategies, including to develop new or enhance existing products, acquire businesses and technologies, service our existing debt, or otherwise to respond to competitive pressures.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through the issuance of equity or convertible debt securities, the percentage ownership of our existing stockholders could be significantly diluted, and newly 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or otherwise respond to competitive pressures would be significantly limited. Any of these factors could harm our results of operations.</w:t>
      </w:r>
    </w:p>
    <w:p>
      <w:pPr>
        <w:pStyle w:val="TextBody"/>
        <w:bidi w:val="0"/>
        <w:spacing w:lineRule="auto" w:line="288" w:before="280" w:after="283"/>
        <w:ind w:left="0" w:right="0" w:firstLine="495"/>
        <w:jc w:val="center"/>
        <w:rPr>
          <w:rFonts w:ascii="Times New Roman;serif" w:hAnsi="Times New Roman;serif"/>
          <w:b/>
          <w:color w:val="000000"/>
          <w:sz w:val="20"/>
          <w:u w:val="single"/>
        </w:rPr>
      </w:pPr>
      <w:r>
        <w:rPr>
          <w:rFonts w:ascii="Times New Roman;serif" w:hAnsi="Times New Roman;serif"/>
          <w:b/>
          <w:color w:val="000000"/>
          <w:sz w:val="20"/>
          <w:u w:val="single"/>
        </w:rPr>
        <w:t>Risks Related to Data Security and Privacy, Intellectual Property, and Information Technology</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If our products experience cybersecurity incidents or breaches, there is unauthorized access to our customers’ data, or unauthorized use of our products or any of these events are perceived to happen, we may lose current or future customers and our reputation and business may be harmed.</w:t>
      </w:r>
    </w:p>
    <w:p>
      <w:pPr>
        <w:pStyle w:val="TextBody"/>
        <w:bidi w:val="0"/>
        <w:spacing w:lineRule="auto" w:line="288" w:before="180" w:after="283"/>
        <w:ind w:left="0" w:right="0" w:firstLine="360"/>
        <w:jc w:val="both"/>
        <w:rPr/>
      </w:pPr>
      <w:r>
        <w:rPr>
          <w:rFonts w:ascii="Times New Roman;serif" w:hAnsi="Times New Roman;serif"/>
          <w:b w:val="false"/>
          <w:color w:val="000000"/>
          <w:sz w:val="20"/>
        </w:rPr>
        <w:t>Our products and business involve the collection, storage and processing of customer data and, in some cases, information that relates to individuals and/or constitutes personal data (including from our employees, business partners and others, and, in some cases, from our customers), and our products may provide business critical software and analytics necessary for our customers’ operations. As such, we may be an attractive target for data security attacks that threaten the confidentiality, integrity, and availability of our information technology systems and confidential information. Security incidents or breaches could result in public disclosure of confidential information or personal information, loss or modification of data affecting our customers’ operations, fraud or theft, ransom demands, or other misuse of confidential information or personal information, which in turn could result in</w:t>
      </w:r>
      <w:r>
        <w:rPr>
          <w:color w:val="000000"/>
        </w:rPr>
        <w:t xml:space="preserve"> </w:t>
      </w:r>
      <w:r>
        <w:rPr>
          <w:rFonts w:ascii="Times New Roman;serif" w:hAnsi="Times New Roman;serif"/>
          <w:b w:val="false"/>
          <w:color w:val="000000"/>
          <w:sz w:val="20"/>
        </w:rPr>
        <w:t xml:space="preserve">our cloud services being perceived as not being secure, a reduction in customers using our products, as well as litigation, breach of contract claims, indemnity obligations, additional reporting requirements and/or oversight, restrictions on processing data, and other liabilities, all of which could lead to loss of revenue, a diminished ability to retain existing or attract new customers due to reputational harm,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costs, or other penalties or sanctions.</w:t>
      </w:r>
      <w:r>
        <w:rPr>
          <w:color w:val="000000"/>
        </w:rPr>
        <w:t xml:space="preserve"> </w:t>
      </w:r>
      <w:r>
        <w:rPr>
          <w:rFonts w:ascii="Times New Roman;serif" w:hAnsi="Times New Roman;serif"/>
          <w:b w:val="false"/>
          <w:color w:val="000000"/>
          <w:sz w:val="20"/>
        </w:rPr>
        <w:t xml:space="preserve">While we have taken, and are continually updating and enhancing, steps to protect the confidential information, customer data and personal data that we steward, including confidential information we may obtain through our customer support services or customer usage of our cloud-based services, our security measures or the security measures of companies we rely on could be breached. We rely on third-party technology and systems for a variety of information technology systems and related products and services, including, without limitation, cloud computing services, encryption and authentication technology, employee collaboration tools, content delivery to customers, back-office support, and other functions. Our ability to control or prevent breaches of any of these systems may be beyond our control. Any failure by a third party to prevent or mitigate data security incidents, breaches or improper access to, or use, acquisition, disclosure, alteration or destruction of customer data could have adverse consequences for us. Because techniques used to obtain unauthorized access or infiltrate, sabotage, disable or degrade systems change frequently and generally are not identified until they are launched against a target, we may be unable to anticipate these techniques or to implement adequate preventative measures despite our efforts in implementing and deploying security measures.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Furthermore, as AI technologies continue to advance rapidly, threat actors are leveraging these evolving capabilities to create novel and sophisticated attack methods that are increasingly automated, targeted, coordinated, and more difficult to defend against. The broad availability of these AI technologies can enable less-skilled threat actors to initiate attacks and significantly increase the velocity, frequency, scale, and impact of security incidents across our software supply chain and cloud environment. The risk that offensive AI capabilities may evolve faster than defensive security measures, including any AI-powered defensive tools we deploy, creates an asymmetric threat environment that exists across the broader technology landscape. Whether accelerated by AI or utilizing traditional methods, these attack vectors may include social engineering/phishing, malware (including ransomware), malfeasance by insiders, human or technological error, the introduction of malicious code embedded in open source software, or the exploitation of bugs, misconfigurations or vulnerabilities in software or hardware</w:t>
      </w:r>
      <w:r>
        <w:rPr>
          <w:color w:val="000000"/>
        </w:rPr>
        <w:t xml:space="preserve"> </w:t>
      </w:r>
      <w:r>
        <w:rPr>
          <w:rFonts w:ascii="Times New Roman;serif" w:hAnsi="Times New Roman;serif"/>
          <w:b w:val="false"/>
          <w:color w:val="000000"/>
          <w:sz w:val="20"/>
        </w:rPr>
        <w:t>that is integrated into our (or our suppliers’ or service providers’) information technology systems, products or services. Although we have developed systems and processes designed to protect our and our customers’ data, prevent loss or unauthorized modification of data, ensure only authorized use of services, and prevent other cybersecurity incidents or breaches, including systems and processes designed to reduce the impact of a security incident or breach to a third-party vendor, such measures cannot provide absolute security, and our systems may be vulnerable to malware or physical or electronic break-ins that our security measures may not be able to detect, investigate, remediate or recover from, or to avoid a material adverse impact to our information technology systems, confidential information, supply chain or business. Moreover, we have acquired and continue to acquire companies whose systems may contain cybersecurity vulnerabilities and/or unsophisticated security measures, which may expose us to significant cybersecurity, operational, and financial risks. Because our products are integrated with our customers’ systems and processes, any circumvention or failure of our cybersecurity defenses or measures could compromise the confidentiality, integrity, and availability of our customers’ own information technology systems and/or confidential information as well. Furthermore, members of our workforce who work remotely may utilize remote networks and hardware that are less robust or reliable than our corporate infrastructure, which could expose us to increased cybersecurity vulnerabilities, compromised internet infrastructure, and business disruptions.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We cannot ensure that our cybersecurity risk management program and processes, including our policies, controls or procedures, will be fully implemented, complied with or effective in all instances, and even if fully implemented, they may not fully protect our information technology systems or confidential information. Furthermore, given the potential limitations of scanning tools and the complex nature of systems, software and services like ours, even if we regularly identify and track security vulnerabilities, we may be unable to comprehensively apply patches, confirm that measures are in place to mitigate all such vulnerabilities, or ensure that patches are applied before vulnerabilities are exploited by a threat actor. Individuals, including our employees and contractors, who circumvent our security measures may misappropriate proprietary, confidential, or personal data held by or on behalf of us, disrupt our or our customers’ operations, damage our systems, or otherwise damage our business. While to date no incidents have had a material impact on our operations or financial results, we cannot guarantee that material incidents will not occur in the future. In addition, we may need to expend significant resources to protect against cybersecurity incidents or breaches or mitigate the impact of any such incidents or breaches. Any or all of these issues</w:t>
      </w:r>
      <w:r>
        <w:rPr>
          <w:color w:val="000000"/>
        </w:rPr>
        <w:t xml:space="preserve"> </w:t>
      </w:r>
      <w:r>
        <w:rPr>
          <w:rFonts w:ascii="Times New Roman;serif" w:hAnsi="Times New Roman;serif"/>
          <w:b w:val="false"/>
          <w:color w:val="000000"/>
          <w:sz w:val="20"/>
        </w:rPr>
        <w:t xml:space="preserve">that adversely impact the availability, integrity or confidentiality of our information technology systems or confidential information could negatively impact our ability to attract new customers or to increase engagement with existing customers, could cause existing customers to elect not to renew their term licenses or subscription agreements, or could subject us to third-party lawsuits (including class actions), regulatory investigations and enforcement actions, fines and penalties, other action or liability, and/or significant incident response, system restoration or remediation and future compliance costs, which could adversely affect our business, results of operations, financial condition, or reputation. We cannot guarantee that any costs and liabilities incurred in relation to an attack or incident will be covered by our existing insurance policies or that applicable insurance will be available to us in the future on economically reasonable terms or at all.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data security incidents or breaches could expose us to liability under various laws and regulations across jurisdictions, increase the risk of litigation and governmental or regulatory investigation, and increase our costs for compliance. For example, we may need to notify governmental authorities and/or affected individuals with respect to certain cybersecurity incidents or breaches in light of a growing number of laws, including those in the European Economic Area (“EEA”), U.K., and the U.S. Complying with such numerous and complex regulations in the event of a cybersecurity incident or breach would be expensive and difficult, and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comply with these regulations could subject us to regulatory scrutiny and additional liability. We may also be contractually required to notify customers or other counterparties of a cybersecurity incident or breach.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Service interruptions or failures of our third-party service providers or technology could disrupt our products and harm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utilize services and technology and intellectual property provided or licensed by unaffiliated third parties to operate our products, including AWS, Okta and Datadog. Any interruptions, failure, slowdown, errors, defects, bugs, design flaws, or security vulnerabilities in our services or in third-party technology on which we rely could cause outages or delays in our products, negatively affect our platform, damage our reputation with current and potential customers, expose us to liability, cause us to lose customers, adversely affect our results of operations, or otherwise harm our business. Our operations depend on our ability, and that of our service providers, to protect our virtual cloud infrastructure, preserve GWCP’s configuration, delivering capability, and interconnections, and maintain access to our products and to the information stored in virtual data centers and transmitted over internet service providers. Although we have disaster recovery plans that use multiple virtual data center locations, any incident affecting our service providers’ operations and infrastructure, including software errors, bugs, design flaws, power loss, telecommunications failures, unauthorized intrusion or malicious action, malware and disabling devices, natural catastrophes, terrorism, wars, or other similar events beyond our control, could negatively affect our products. A prolonged third-party service disruption affecting our supply chain or our platform for any of the foregoing reasons could be detrimental to our business. We may also incur significant costs for taking other actions in preparation for, or in reaction to, events that disrupt the third-party services we use.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is accessed by a large number of customers, often at the same time, and we do not control the operation of our third-party service providers. As we continue to expand the number of our customers and products available to our customers, we and/or our third-party service providers may not be able to scale our technology to accommodate the increased capacity requirements, which may result in interruptions or delays in our products. In addition, the failure of third-party virtual data centers, third-party internet service providers, or other third-party service providers whose services are integrated with our products, to meet our capacity requirements, could result in interruptions or delays in access to our products or impede our ability to scale our operations. In the event that our third-party service agreements are not renewed or are terminated, or there is a lapse of service, interruption of service provider connectivity or damage to such services, we could experience interruptions in access to our products as well as material delays and material additional expense in securing alternative third-party service providers, particularly where such service providers perform critical functions and may not be readily replaceable, all of which could harm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technology and intellectual property licensed from unaffiliated third parties in certain of our products, and we may license additional third-party technology and intellectual property in the future. Any errors, defects, or security issues in this third-party technology and intellectual property or the integration of third-party technology and intellectual property with our products could result in errors that could harm our brand and business. Though we have not experienced any material impact to date, industry incidents involving vulnerabilities in third-party technology underscore the potential risks associated with the use of third-party technology and intellectual property. Moreover, licensed technology and intellectual property may not continue to be available on commercially reasonable terms, or at all, or otherwise will be subject to restrictions that under applicable law could adversely affect our proprietary software. The loss of the right to license and distribute this third-party technology could limit the functionality of our products and might require us to redesign our products. </w:t>
      </w:r>
    </w:p>
    <w:p>
      <w:pPr>
        <w:pStyle w:val="TextBody"/>
        <w:bidi w:val="0"/>
        <w:spacing w:lineRule="auto" w:line="288" w:before="180" w:after="283"/>
        <w:ind w:left="0" w:right="0" w:firstLine="360"/>
        <w:jc w:val="both"/>
        <w:rPr/>
      </w:pPr>
      <w:r>
        <w:rPr>
          <w:rFonts w:ascii="Times New Roman;serif" w:hAnsi="Times New Roman;serif"/>
          <w:b/>
          <w:i/>
          <w:color w:val="000000"/>
          <w:sz w:val="20"/>
        </w:rPr>
        <w:t>Privacy concerns could result in regulatory changes, and compliance with ever-evolving privacy and data protection laws could impose additional costs and require significant resources, and any actual or alleged failure by us or our vendors to comply could result in significant</w:t>
      </w:r>
      <w:r>
        <w:rPr>
          <w:color w:val="000000"/>
        </w:rPr>
        <w:t xml:space="preserve"> </w:t>
      </w:r>
      <w:r>
        <w:rPr>
          <w:rFonts w:ascii="Times New Roman;serif" w:hAnsi="Times New Roman;serif"/>
          <w:b/>
          <w:i/>
          <w:color w:val="000000"/>
          <w:sz w:val="20"/>
        </w:rPr>
        <w:t>liabilities, limit our use of information, cause negative publicity and/or an erosion of trust, and adversely affect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adoption of our cloud-based products expands, the amount of customer data and transaction-level data that we manage continues to increase. We anticipate that over time, we will continue to expand the use and collection of personal data as greater amounts of such personal data may be transferred from our customers to us. We recognize that privacy and data security has become a significant issue in the U.S., Europe, the U.K., and many other jurisdictions where we operate, and we and our vendors are subject to a variety of federal, state and foreign data privacy laws, rules, regulations, industry standards and other requirements. Even though we believe we are generally in compliance with applicable laws, rules and regulations relating to privacy and data security, these laws are in some cases relatively new and the interpretation and application of these laws are uncertain. In addition, we depend on our vendors to comply with such requirements, and any failure by them to do so may subject us to liability or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federal, state, and foreign legislatures and government agencies have imposed, are considering imposing, or are considering changing restrictions and requirements about the collection, use, and disclosure of personal data. New, or changes to existing, laws or regulations affecting privacy could impose additional costs and liabilities, including fines, on us, require us to implement new processes, and limit our use of such information to add value for customers, including, for example, the California Consumer Privacy Act, as amended by the California Privacy Rights Act (collectively, “CCPA”), and other state privacy laws enacted in recent years. The enactment of the CCPA has prompted a wave of similar legislative developments in other states in the U.S., which has created a patchwork of overlapping but different state laws, which we may become subject to directly or by contract. Additionally, we may be considered a service provider to “financial institutions” under the Gramm-Leach Bliley Act (the “GLBA”). The GLBA includes a “Safeguards Rule,” which imposes obligations on financial institutions, and indirectly, their service providers to implement and maintain physical, administrative and technological measures to protect the security of personal data. New EU laws related to the use of data, including the Digital Services Act and the EU Data Act, may impose additional rules and restrictions on the use of the data in our products. Additionally, evolving regulations aimed at enhancing financial sector resilience, such as the Digital Operational Resilience Act, may impact our operations by requiring adaptations for risk management and compliance, potentially leading to increased costs and operational adjustments. If we were required to change our business activities or revise or eliminate services, or to implement burdensome compliance measures, our business and results of operations could be harmed. We may be subject to significant fines, penalties, and damages resulting from potential litigation, including class action lawsuits, proceedings or actions by individuals, consumer rights groups, government agencies, or others, if we fail or are perceived to fail to comply with applicable privacy and/or data security laws, regulations, standards, and other requirements, and could incur significant costs in investigating and defending such claims. The costs of compliance with, and other burdens imposed by, evolving privacy and data-protection laws, regulations, and standards may limit the use and adoption of our products and reduce overall demand, and, depending on how these evolving rules are interpreted, may require updates or adjustments to our contract terms.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concerns regarding data privacy and/or security may cause our customers’ customers to resist providing the data and information necessary to allow our customers to use our products effectively. Even the perception that the privacy and/or security of personal data is not satisfactorily managed, or does not meet applicable legal, regulatory, and other requirements, could inhibit sales of our products, and could limit adoption of our solutions, resulting in a negative impact on our sales, reputation, and results of operations. If any of these events were to occur, our business, results of operations, and financial condition could be adversely affected.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European General Data Protection Regulation (the “GDPR”) applies, in part, to companies outside the EEA that carry out processing of personal data of individuals in the EEA that is related to the offering of goods or services to them or the monitoring of their behavior. The GDPR has enhanced data protection obligations for processors and controllers of personal data and non-compliance with the GDPR can trigger substantial fines. We have in the past, and may in the future, need to allocate additional resources in response to new interpretations, regulatory guidance, and enforcement decisions, or ongoing negotiation of data processing agreements with our customers and business partners, which may increase our costs of compliance and impose limitations on our operations.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In addition, the GDPR restricts transfers of personal data outside the EEA to countries without adequate privacy protections, such as the U.S., unless an appropriate safeguard specified by the GDPR such as the Standard Contractual Clauses is implemented. We (and many other companies) have and may in the future be required to adopt additional measures to accomplish and maintain legitimate means for the transfer and receipt of personal data from the EU to the U.S. and other countries.</w:t>
      </w:r>
      <w:r>
        <w:rPr>
          <w:color w:val="000000"/>
        </w:rPr>
        <w:t xml:space="preserve"> </w:t>
      </w:r>
      <w:r>
        <w:rPr>
          <w:rFonts w:ascii="Times New Roman;serif" w:hAnsi="Times New Roman;serif"/>
          <w:b w:val="false"/>
          <w:color w:val="000000"/>
          <w:sz w:val="20"/>
        </w:rPr>
        <w:t>As data protection authorities continue to issue guidance and orders on personal data export mechanisms or take enforcement action, we could suffer additional costs, complaints, regulatory investigations, or fines. If we are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we may experience hesitancy, reluctance, or refusal by European or multi-national customers to continue to use our products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the nature of our cloud-based products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we are subject to the supervision of relevant data protection authorities under both the GDPR and United Kingdom’s General Data Protection Regulation (“U.K. GDPR”), we could be fined under each of those regimes independently in respect of the same breach. There may be further developments under the U.K. GDPR, independent of the GDPR, that could cause our cost of and risks associated with compliance to increase. Further evolution of EU and U.K. regulations on data privacy and security and any related changes to the regulatory framework in these or other countries may substantially increase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Assertions by third parties of infringement or other violation by us of their intellectual property rights could result in significant costs and substantially harm our business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our products do not infringe upon the intellectual property rights of third parties, we cannot assure you that we are not infringing or otherwise violating any third-party intellectual property rights or that third parties will not assert infringement or misappropriation claims against us with respect to current or future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that are alleged to infringe or misappropriate the intellectual property of others; expend additional development resources to redesign our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protect our intellectual property could substantially harm our business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U.S. federal, state, and international intellectual property laws offer only limited protection. The laws of some foreign countries do not protect our intellectual property rights to as great an extent as the laws of the U.S., and many foreign countries do not enforce these laws as diligently as governmental agencies and private parties in the U.S. Moreover, policing our intellectual property rights is difficult, costly, and may not always be effective. Furthermore, allowing members of our workforce to work remotely may create intellectual property risks if employees create intellectual property on our behalf while residing in a jurisdiction with unenforced or uncertain intellectual property laws.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have licensed, and may license in the future, intellectual property rights from third parties, and the licenses we receive to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If we violate the terms of any of our license agreements, such as by failing to make specified payments or failing to comply with quality control standards, a licensor may have the right to terminate our license. Even if we comply with all the terms of a license agreement, we cannot guarantee that we will be able to renew an agreement when it expires even if we desire to do so. The failure to maintain or renew our material license agreements could result in a loss of revenue and negatively impact our results of operations.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Some of our products and technologies may use “open source” software, which may restrict how we use or distribute our services or require that we release the source code of certain products subject to those licenses.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products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 Further, this third-party technology and intellectual property has the potential for security-related concerns, given that we do not create or maintain such third-party technology and intellectual property that may be exposed to unknown future security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may be obligated to disclose our proprietary source code to our customers, which may limit our ability to protect our intellectual property and could reduce the renewals of our support 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pStyle w:val="TextBody"/>
        <w:bidi w:val="0"/>
        <w:spacing w:lineRule="auto" w:line="288" w:before="280" w:after="283"/>
        <w:ind w:left="0" w:right="0" w:firstLine="360"/>
        <w:jc w:val="center"/>
        <w:rPr>
          <w:rFonts w:ascii="Times New Roman;serif" w:hAnsi="Times New Roman;serif"/>
          <w:b/>
          <w:color w:val="000000"/>
          <w:sz w:val="20"/>
          <w:u w:val="single"/>
        </w:rPr>
      </w:pPr>
      <w:r>
        <w:rPr>
          <w:rFonts w:ascii="Times New Roman;serif" w:hAnsi="Times New Roman;serif"/>
          <w:b/>
          <w:color w:val="000000"/>
          <w:sz w:val="20"/>
          <w:u w:val="single"/>
        </w:rPr>
        <w:t>Risks Related to Legal, Regulatory, Accounting, and Tax Matters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accounting standards or our accounting estimates, or variability between GAAP results and key metrics, may adversely affect our operating results and stock price.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to conform to U.S. Generally Accepted Accounting Principles (“GAAP”). These accounting principles are subject to interpretation by the SEC, Financial Accounting Standards Board (“FASB”), and various bodies formed to interpret and create accounting rules and regulations. Accounting standards,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 We cannot predict the impact of future changes to accounting principles or our related accounting policies on our financial statements going forward. If we are unsuccessful in adapting to the requirements of any new standard, or if changes to our business model create new risks, then we may experience greater volatility in our quarterly and annual results, which may cause our stock price to decline.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GAAP requires management to make estimates and assumptions that affect the amounts reported in the consolidated financial statements. Were we to change our accounting estimates, including those related to the timing of revenue recognition and those used to allocate revenue between various performance obligations, our reported revenue and results of operations could be significantly impacted.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Further, revenue recognition standards require significant judgment and estimates that impact our reported revenue and results of operations. Additionally, reported revenue has and will vary from ARR, a non-GAAP metric, and cash flow associated with each customer agreement.</w:t>
      </w:r>
      <w:r>
        <w:rPr>
          <w:color w:val="000000"/>
        </w:rPr>
        <w:t xml:space="preserve"> </w:t>
      </w:r>
      <w:r>
        <w:rPr>
          <w:rFonts w:ascii="Times New Roman;serif" w:hAnsi="Times New Roman;serif"/>
          <w:b w:val="false"/>
          <w:color w:val="000000"/>
          <w:sz w:val="20"/>
        </w:rPr>
        <w:t>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generally only impacts the initial term of the contract. This means that if we increase arrangements with multiple performance obligations that include services at discounted rates, more of the total contract value would be recognized as services revenue, but our reported ARR amount would not be impacted. This potential difference and variability in the trends of reported amounts may cause volatility in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requires, among other things, that as a publicly traded company we disclose whether our internal control over financial reporting and disclosure controls and procedures are effective.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various software applications to accurately maintain our books and records and prepare our financial statements, and are in the process of updating our quote-to-cash process, including our customer quoting, contracting, revenue, and billing. While we have invested significant resources, including additional personnel and third-party consultants, to implement these applications, we may experience difficulties during or following the transition. Any errors in our new applications could adversely affect our operations, including our ability to accurately report our financial results in a timely manner, maintain appropriate internal controls and processes, file our quarterly or annual reports with the SEC, and invoice and collect from our customers, each of which may harm our operations and reduce investor confidence. Data integrity problems or other issues may be discovered even after the transition is complete which, if not corrected, could impact our business, reputation, or results of operations. If we encounter unforeseen difficulties with our implementation, our business, operations, and results of operations could be adversely affected.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If tax laws change or we experience adverse outcomes resulting from examination of our income tax returns, it could adversely affect our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income taxes in the U.S. and in foreign jurisdictions in which we operate. Our future effective tax rates and the value of our deferred tax assets could be adversely affected by changes in, interpretations of, and guidance regarding tax laws, including impacts of the Tax Cuts and Jobs Act of 2017, the Coronavirus Aid, Relief, Economic Security Act of 2020, the Inflation Reduction Act of 2022, the One Big Beautiful Bill Act of 2025, and certain OECD proposals, including the implementation of the global minimum tax under the Pillar Two model rules.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results of operations, or financial condition.</w:t>
      </w:r>
    </w:p>
    <w:p>
      <w:pPr>
        <w:pStyle w:val="TextBody"/>
        <w:bidi w:val="0"/>
        <w:spacing w:lineRule="auto" w:line="288" w:before="280" w:after="283"/>
        <w:ind w:left="0" w:right="0" w:firstLine="360"/>
        <w:jc w:val="center"/>
        <w:rPr>
          <w:rFonts w:ascii="Times New Roman;serif" w:hAnsi="Times New Roman;serif"/>
          <w:b/>
          <w:color w:val="000000"/>
          <w:sz w:val="20"/>
          <w:u w:val="single"/>
        </w:rPr>
      </w:pPr>
      <w:r>
        <w:rPr>
          <w:rFonts w:ascii="Times New Roman;serif" w:hAnsi="Times New Roman;serif"/>
          <w:b/>
          <w:color w:val="000000"/>
          <w:sz w:val="20"/>
          <w:u w:val="single"/>
        </w:rPr>
        <w:t>Risks Related to Ownership of Our Common Stock</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stock price has been and may continue to be volatile, and it may rise or fall regardless of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may continue to be, volatile and subject to wide fluctuations. The volatility may occur in response to the risk factors described in this report and other factors beyond our control, including: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shifts in investor sentiment or market narratives regarding our industry or business model, including with respect to technological displacement or disruption;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changes in market expectations regarding the adoption of emerging technologies including AI technologies; and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research analyst coverage of, or reports about, our business.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the stock markets have experienced price and volume fluctuations that have affected and continue to affect the market prices of equity securities of many companies,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international currency fluctuations, tariffs, or other global events have affected and may continue to affect the market price of our common stock, regardless of our actual operating performance.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In the past, we and many companies</w:t>
      </w:r>
      <w:r>
        <w:rPr>
          <w:color w:val="000000"/>
        </w:rPr>
        <w:t xml:space="preserve"> </w:t>
      </w:r>
      <w:r>
        <w:rPr>
          <w:rFonts w:ascii="Times New Roman;serif" w:hAnsi="Times New Roman;serif"/>
          <w:b w:val="false"/>
          <w:color w:val="000000"/>
          <w:sz w:val="20"/>
        </w:rPr>
        <w:t>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currently do not intend to pay dividends on our common stock and, consequently, the only opportunity to achieve a return on investment is if the price of our common stock appreciates.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Certain provisions of our certificate of incorporation and bylaws and of Delaware law could prevent a takeover that stockholders consider favorable and could also reduce the market price of our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not providing for cumulative voting in the election of directors, which limits the ability of minority stockholders to elect director candidates;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authorizing our board of directors to issue, without stockholder approval, preferred stock rights senior to those of common stock, which could be used to significantly dilute the ownership of a hostile acquirer;</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prohibiting stockholder action by written consent, which forces stockholder action to be taken at an annual or special meeting of our stockholders;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limiting the persons who may call special meetings of stockholders, which could delay the ability of our stockholders to force consideration of a proposal or to take action, including the removal of directors;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a majority of our shares of capital stock entitled to vote.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Our amended and restated bylaws designate certain state or federal courts as the exclusive forum for certain litigation that may be initiated by our stockholders, which could limit stockholders’ ability to obtain a favorable judicial forum for disputes with us.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 that, unless we consent in writing to the selection of an alternative forum, to the fullest extent permitted by law, the Court of Chancery of the State of Delaware will be the sole and exclusive forum for any state law claim for: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any action asserting a claim of breach of a fiduciary duty owed by any of our directors, officers, or other employees to us or our stockholders;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any action asserting a claim arising pursuant to the Delaware General Corporation Law, our amended and restated certificate of incorporation or our amended and restated bylaws; or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any action asserting a claim that is governed by the internal affairs doctrine (the “Delaware Forum Provision”).</w:t>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 Delaware Forum Provision will not apply to any causes of action arising</w:t>
      </w:r>
      <w:r>
        <w:rPr>
          <w:color w:val="000000"/>
        </w:rPr>
        <w:t xml:space="preserve"> </w:t>
      </w:r>
      <w:r>
        <w:rPr>
          <w:rFonts w:ascii="Times New Roman;serif" w:hAnsi="Times New Roman;serif"/>
          <w:b w:val="false"/>
          <w:color w:val="000000"/>
          <w:sz w:val="20"/>
        </w:rPr>
        <w:t>under the Securities Act or the Exchange Act.</w:t>
      </w:r>
      <w:r>
        <w:rPr>
          <w:color w:val="000000"/>
        </w:rPr>
        <w:t xml:space="preserve"> </w:t>
      </w:r>
      <w:r>
        <w:rPr>
          <w:rFonts w:ascii="Times New Roman;serif" w:hAnsi="Times New Roman;serif"/>
          <w:b w:val="false"/>
          <w:color w:val="000000"/>
          <w:sz w:val="20"/>
        </w:rPr>
        <w:t>Further, our amended and restated bylaws provide that, unless we consent in writing to the selection of an alternative forum, the U.S.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(including, without limitation, any claims in respect of stockholder nominations of directors as permitted under our amended and restated bylaws),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cannot guarantee that any share repurchase program will be fully consummated or it will enhance stockholder value, and share repurchases could affect the price of our common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our board of directors authorized and approved a share repurchase program of up to $500.0 million of our outstanding shares of common stock, following the completion of our previous $400.0 million share repurchase program authorized in September 2022. As of July 31, 2026, $31.9 million of our share repurchase program remained available for future repurchases. Share repurchases under our share repurchase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Our share repurchase program does not obligate us to repurchase any dollar amount or number of shares, and the program may be suspended or discontinued at any time, which may result in a decrease in the price of our common stock. Our share repurchase program could affect the price of our common stock, increase volatility, and diminish our cash reserves. Additionally, certain of our share repurchases have been, and may be in the future, subject to the 1% excise tax introduced in the Inflation Reduction Act, which increases the cost of share repurchases.</w:t>
      </w:r>
    </w:p>
    <w:p>
      <w:pPr>
        <w:pStyle w:val="TextBody"/>
        <w:bidi w:val="0"/>
        <w:spacing w:lineRule="auto" w:line="288" w:before="280" w:after="283"/>
        <w:ind w:left="0" w:right="0" w:firstLine="495"/>
        <w:jc w:val="center"/>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retain our personnel, maintain our company culture, and hire and integrate additional skilled personnel, we may be unable to achieve our goals and our business will suffer.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upon our ability to continue to attract, train, integrate, and retain highly skilled talent across various critical roles, such as executive leadership, sales, professional services, cloud operations, security, and software engineering, particularly those with backgrounds in AI technologies and cloud-based offerings. Our inability to attract and retain qualified employees and key personnel, or delays in hiring required personnel, including attrition, retention and delay issues due to macroeconomic and other factors beyond our control, may seriously harm our business, results of operations, and financial condition. 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information security, and other personnel.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we believe that our company culture has played a critical role in our success and our ability to retain top talent. We operate a hybrid work environment in which a significant portion of our workforce works either in-person on a part-time basis or remotely on a permanent basis. As a result, preservation of our company culture has become more difficult. Hybrid and remote working arrangements may adversely affect our ability to recruit and retain personnel who prefer a fully remote or fully in-person work environment. Additionally, this operating model could decrease our workforce’s ability to collaborate, train new hires and communicate effectively, decrease innovation and productivity, and negatively affect morale and retention rates. Any failure to maintain our company culture could harm our competitive position.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the technical nature of our products and the dynamic market in which we compete, any failure to attract, integrate, and retain qualified personnel, effectively manage a hybrid workforce, and maintain our corporate culture could harm our ability to generate sales, deliver consulting services, manage our customers’ cloud environments, or successfully develop new products and enhancements of existing products.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Servicing our indebtedness requires a significant amount of cash. We may not have sufficient cash flow from our business to pay our substantial indebtedness.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we had outstanding an aggregate principal amount of $690.0 million of our convertible senior notes due November 2029 (the “2029 Convertible Senior Notes”). In addition, we have available a $300.0 million senior revolving credit facility, arranged by a syndicate of financial institutions.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Before November 1, 2029, holders of the 2029 Convertible Senior Notes will have the right to convert their notes only upon the occurrence of certain events, and on or after August 1, 2029, the 2029 Convertible Senior Notes become convertible at any time at the election of the holders until the close of business on the second scheduled trading day immediately preceding the maturity date of November 1, 2029. Upon conversion of the 2029 Convertible Senior Notes, we will be obligated to make cash payments. In addition, holders of our 2029 Convertible Senior Notes will have the right to require us to repurchase their 2029 Convertible Senior Notes upon the occurrence of a fundamental change (as defined in the 2029 Indenture) at a repurchase price equal to 100% of the principal amount of the 2029 Convertible Senior Notes to be repurchased, plus accrued and unpaid interest, if any, to, but not including, the fundamental change purchase date. Although we have the option to settle the 2029 Convertible Senior Notes in either cash, or a combination of cash and shares, we may not have sufficient available cash or be able to obtain financing at the time we are required to settle the 2029 Convertible Senior Notes. Additionally, our ability to make payments may be limited by law, by regulatory authority,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by agreements governing our future indebtedness. Our failure to repurchase the 2029 Convertible Senior Notes at a time when the repurchase is required by the 2029 Indenture or to pay any cash payable on future conversions of the 2029 Convertible Senior Notes as required by such Indenture would constitute a default under such Indenture. A default under the 2029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settle the 2029 Convertible Senior Notes or make cash payments upon conversions thereof.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and interest on our indebtedness when due or to make payments upon conversion or repurchase demands with respect to our 2029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revolving credit facility contains restrictive and financial covenants that may limit our operational flexibility. If we fail to meet our obligations under the credit facility, our operations may be interrupted and our business, results of operations, and financial condition could be adversely affected.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we entered into a five-year, $300.0 million senior revolving credit facility by and among us, certain of our subsidiaries, and certain lenders to fund working capital and general corporate purpose expenditures. The revolving credit facility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 stock of our subsidiaries, share repurchases, make investments, or engage in transactions with our affiliates, and require us to maintain a minimum consolidated net cash interest coverage ratio and a maximum total net leverage ratio. Our obligations are guaranteed by our material domestic subsidiaries and secured by substantially all of our assets, including intellectual property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Various risks, uncertainties, and events beyond our control could affect our ability to comply with these covenants in the future. Failure to comply with any of the covenants could result in a default under the credit facility. Such a default could permit lenders to accelerate the maturity of outstanding amounts under our credit facility, if any, which in turn could result in adverse consequences that negatively impact our business, the market price for our common stock, and our ability to obtain other financing in the future.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Increased scrutiny and varying stakeholder expectations with respect to sustainability matters may require us to incur additional costs or otherwise adversely impact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Increased scrutiny regarding climate change, human capital, and other sustainability matters, as well as our response to the same, may result in increased costs (including, but not limited to, increased costs related to compliance, stakeholder engagement and contracting), impact our reputation, or otherwise negatively affect our business performance. We engage in certain actions (including disclosures) to manage sustainability-related matters or respond to stakeholder expectations; however, such actions may be costly or be subject to numerous conditions that are outside our control, and we cannot guarantee that such actions will have the desired effect or outcome. For example, many sustainability initiatives leverage data, methodologies, technologies, and/or standards that are complex, subject to varying interpretations, and continuing to evolve. As with other companies, our approach is expected to continue to evolve as well, and we cannot guarantee that our approach will align with the expectations or interpretations of any particular stakeholder. Stakeholders (including policymakers) have varying, and at times conflicting, expectations. We may face reputational damage (including impacts to any related ratings) or additional costs in the event our sustainability procedures or standards do not meet the standards set by various constituencies, and any failure to successfully navigate competing stakeholder interests may also result in adverse impacts to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expect there will likely continue to be increasing levels of regulation, as policymakers in jurisdictions such as Europe, California, and Australia are adopting or considering adopting various requirements regarding sustainability disclosures or actions. Such regulations are not uniform, which may increase the cost and complexity of compliance, as well as associated risks. Moreover, both advocates and opponents of sustainability matters are increasingly resorting to a range of activism forms, including litigation, to advance their perspectives. Addressing stakeholder expectations and regulatory requirements may be costly and any failure to successfully navigate such expectations, as well as evolving interpretations of any existing or new governmental laws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requirements, may result in reputational harm, loss of customers or contracts, regulatory or investor engagement, or other adverse impacts to our business. Our customers and other stakeholders are also subject to many of these expectations and regulatory considerations, which may augment or result in additional risks that also could adversely impact our business, results of operations, or financial condition.</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Global events have adversely affected, and may continue to adversely affect, our business, results of operations, and financial condition.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Global events have adversely affected and may continue to adversely affect workforces, organizations, economies, and financial markets globally, leading to economic downturns, inflation, and increased market volatility. Geopolitical and macroeconomic factors, such as the war between Russia and Ukraine, ongoing conflicts in the Middle East, tensions in the South China Sea, high interest rates, tariffs, financial instability and crises, pandemics, and supply chain issues, have added to global economic and market volatility. Our past business and financial results, including our ARR growth rates, services revenue, and margins, have been adversely impacted due to the disruptions resulting from such events, and may be again in the future. Such global events have disrupted and may again disrupt the normal operations of our customers’ businesses and our SI partners’ businesses. The related impacts of global events on the global economy could decrease or delay technology spending and adversely affect demand for our products. Further, our sales and implementation cycles could increase, which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such global events and related implementation delays. As a result of such developments and the related economic impact to our business, we may be required to record impairment related to our operating lease assets, investments, long-lived assets, capitalized software development costs, or goodwill. Due to the continuing and evolving nature of such global events, it is not possible for us to accurately predict the duration or magnitude of the adverse impacts and effects on our business, results of operations, or financial condition.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these conditions may make it difficult for our customers and us to forecast and plan future business activities accurately, and could cause our customers to reevaluate their decision to purchase our products, which could delay and lengthen our sales cycles, delay or increase pricing pressures on services engagements,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Furthermore, the increased pace of consolidation in the P&amp;C insurance industry may result in reduced overall spending on our products and professional services. Acquisitions of customers or potential customers can delay or cancel sales cycles or result in existing arrangements not being renewed, and because we cannot predict the timing or duration of such acquisitions, our results of operations could be materially impacted.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to the extent global events adversely affect our business, results of operations, or financial condition, it may also have the effect of heightening many of the other risks described in this “Risk Factors” section.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Factors outside of our control, including, but not limited to, natural catastrophes, geopolitical instability, and adverse financial market disruptions, may adversely impact the P&amp;C insurance industry or third parties we rely on, preventing us from expanding or maintaining our existing customer base and harming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are P&amp;C insurers that have experienced, and will likely experience in the future, losses from catastrophes or terrorism that may adversely impact their businesses. Catastrophes that impact our business, our customers, or third parties we rely on can be caused by various events, including, without limitation, hurricanes, tsunamis, floods, typhoons, windstorms, earthquakes, hail, tornadoes, explosions, volcanic eruptions, severe weather, excessive heat, epidemics, pandemics, and fires. Climate change and other environmental factors are contributing to an increase in erratic weather patterns globally and intensifying the impact of certain types of catastrophes. Moreover, acts of terrorism, armed conflict, or uncertainty in the geopolitical landscape, such as the ongoing war between Russia and Ukraine and conflicts in the Middle East, as well as the escalation of tensions in the South China Sea, could cause disruptions to our business or our customers’ businesses or the economy as a whole. Additionally, adverse developments that may affect certain financial institutions and the banking system as a whole, such as events involving liquidity that are either rumored or actual, have in the past and may in the future lead to bank failures and market-wide liquidity concerns. The risks associated with natural catastrophes, the geopolitical landscape, terrorism, and bank failures are inherently unpredictable, and it is difficult to forecast the timing of such events or estimate the amount of losses they will generate. Recent events such as hurricanes, wildfires, heatwaves, earthquakes, and flooding in various regions illustrate the potential severity of such occurrences and their significant impact on P&amp;C insurers. Such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and a substantial portion of our operations are located in the San Francisco Bay Area, a region known for seismic activity, rising ocean levels, and proximity to areas prone to severe wildfires. A significant natural disaster, such as earthquake, tsunami, wildfire, flood or significant power outage affecting the Bay Area, could have a material adverse impact on our business, results of operations, and financial condition. </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revenue, results of operations and cash flows are subject to fluctuations due to changes in foreign currency exchange rates, particularly changes in the Australian Dollar, British Pound, Canadian Dollar, Euro, Indian Rupee, Japanese Yen, New Zealand Dollar, Polish Zloty, and Swiss Franc.</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volatility of exchange rates depends on many factors that we cannot forecast with reliable accuracy. Although we believe our operating activities act as a natural hedge for a majority of our foreign currency exposure at the cash flow or operating income level because we typically collect revenue and incur costs in the currency of the location in which we provide our products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quarters.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We expect global exchange rates for various currencies may be more volatile than normal as a result of global events, including the war between Russia and Ukraine, ongoing conflicts in the Middle East, the escalation of tensions in the South China Sea, and related events. We will continue to experience fluctuations in foreign currency exchange rates, which, if material, may harm our revenue, ARR, or results of operations.</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The conversion feature of the 2029 Convertible Senior Notes may adversely affect our financial condition and 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the conditional conversion feature of the 2029 Convertible Senior Notes is triggered, the holders thereof will be entitled under the terms of the 2029 Indenture to convert their 2029 Convertible Senior Notes at their option. As of July 31, 2026, the conditional conversion feature of our 2029 Convertible Senior Notes was not triggered. If the conditional conversion feature of the 2029 Convertible Senior Notes is triggered and one or more holders elect to convert their 2029 Convertible Senior Notes, we would be required to settle a portion or all of our conversion obligation through the payment of cash, which could adversely affect our liquidity. In addition, in certain circumstances, such as conversions by holders or redemption, we could be required under applicable accounting rules to reclassify all or certain of the outstanding principal of such series of notes as a current rather than long-term liability, which would result in a material reduction of our net working capital.</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Transactions relating to our 2029 Convertible Senior Notes may affect the value of our common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of some or all of the 2029 Convertible Senior Notes may dilute the ownership interests of existing stockholders to the extent we satisfy our conversion obligation by delivering shares of our common stock upon any conversion of such Convertible Senior Notes. Our 2029 Convertible Senior Notes may become in the future convertible at the option of their holders under certain circumstances. If holders of our 2029 Convertible Senior Notes elect to convert their notes, in certain circumstances we will be required to settle our conversion obligation by delivering shares of our common stock, which would cause dilution to our existing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Convertible Senior Notes, we entered into capped call transactions with certain financial institutions (collectively,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2029 Convertible Senior Notes. Such activities could cause a decrease in the market price of our common stock.</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pStyle w:val="TextBody"/>
        <w:bidi w:val="0"/>
        <w:spacing w:before="28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1B.Unresolved Staff Comments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involve the collection, storage and processing of customer data (including, in some cases, personal data), and may provide business critical software and analytics necessary for our customers’ operations. Guidewire develops, implements, and maintains cybersecurity measures designed to safeguard our products and protect the confidentiality, integrity, and availability of our customer data and our confidential information.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and implemented a cybersecurity risk management program intended to protect the confidentiality, integrity, and availability of our critical systems, information, and products. Our cybersecurity risk management program includes a cybersecurity incident response plan. </w:t>
      </w:r>
    </w:p>
    <w:p>
      <w:pPr>
        <w:pStyle w:val="TextBody"/>
        <w:bidi w:val="0"/>
        <w:spacing w:lineRule="auto" w:line="288" w:before="180" w:after="283"/>
        <w:ind w:left="0" w:right="0" w:firstLine="360"/>
        <w:jc w:val="both"/>
        <w:rPr/>
      </w:pPr>
      <w:r>
        <w:rPr>
          <w:rFonts w:ascii="Times New Roman;serif" w:hAnsi="Times New Roman;serif"/>
          <w:b w:val="false"/>
          <w:color w:val="000000"/>
          <w:sz w:val="20"/>
        </w:rPr>
        <w:t>We maintain various internationally recognized security certifications and aim to adopt best practices from industry-leading frameworks and standards for</w:t>
      </w:r>
      <w:r>
        <w:rPr>
          <w:color w:val="000000"/>
        </w:rPr>
        <w:t xml:space="preserve"> </w:t>
      </w:r>
      <w:r>
        <w:rPr>
          <w:rFonts w:ascii="Times New Roman;serif" w:hAnsi="Times New Roman;serif"/>
          <w:b w:val="false"/>
          <w:color w:val="000000"/>
          <w:sz w:val="20"/>
        </w:rPr>
        <w:t>cybersecurity and cloud computing, including, without limitation, the International Organization for Standardization 27001 certification, SOC 2, U.S. NIST Cybersecurity Framework (CSF), and the CIS Critical Security Controls. This does not imply that we have met any particular technical standards, specifications, or requirements, only that we use these frameworks, industry best practices, and standards as a guide to help us identify, assess, and manage cybersecurity risks relevant to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includes: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 assessments designed to help identify material cybersecurity risks to our critical systems, information, products, and our broader enterprise IT environment;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 enterprise-wide security team principally responsible for managing our cybersecurity risk assessment processes, implementing and maintaining our security controls, and responding to cybersecurity incidents;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controls;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cybersecurity awareness training of our employees, including incident response personnel, product development personnel, and senior management;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third-party risk management process for service providers, suppliers, and vendors, including, among others, vetting, periodic monitoring, and the implementation of contractual safeguards to ensure adherence to our cybersecurity standards.</w:t>
      </w:r>
    </w:p>
    <w:p>
      <w:pPr>
        <w:pStyle w:val="TextBody"/>
        <w:bidi w:val="0"/>
        <w:spacing w:lineRule="auto" w:line="288" w:before="180" w:after="283"/>
        <w:ind w:left="0" w:right="0" w:firstLine="360"/>
        <w:jc w:val="both"/>
        <w:rPr/>
      </w:pPr>
      <w:r>
        <w:rPr>
          <w:rFonts w:ascii="Times New Roman;serif" w:hAnsi="Times New Roman;serif"/>
          <w:b w:val="false"/>
          <w:color w:val="000000"/>
          <w:sz w:val="20"/>
        </w:rPr>
        <w:t>We have not experienced any cybersecurity incidents to date that have materially affected or are reasonably likely to materially affect us, including our operations, business strategy, results of operations, or financial condition.</w:t>
      </w:r>
      <w:r>
        <w:rPr>
          <w:color w:val="000000"/>
        </w:rPr>
        <w:t xml:space="preserve"> </w:t>
      </w:r>
      <w:r>
        <w:rPr>
          <w:rFonts w:ascii="Times New Roman;serif" w:hAnsi="Times New Roman;serif"/>
          <w:b w:val="false"/>
          <w:color w:val="000000"/>
          <w:sz w:val="20"/>
        </w:rPr>
        <w:t>However, we face ongoing cybersecurity risks, including threats that might become more sophisticated and effective over time, and we cannot anticipate when or the extent to which cybersecurity incidents or breaches will materially affect the Company. Additional information on the cybersecurity risks we face is discussed in Part I, Item 1A, “Risk Factors.”</w:t>
      </w:r>
    </w:p>
    <w:p>
      <w:pPr>
        <w:pStyle w:val="TextBody"/>
        <w:bidi w:val="0"/>
        <w:spacing w:lineRule="auto" w:line="288"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2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Board Oversight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(“Board”), by way of our Risk Committee, oversees management of cybersecurity and other information technology risks. The Risk Committee receives periodic reports from management on our cybersecurity risks and control structure. In addition, management updates the Risk Committee, as necessary, regarding cybersecurity incidents.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Risk Committee reports to the full Board regarding its activities, including those related to cybersecurity. The full Board also receives briefings from management on our cybersecurity risk management program. Board members receive reports on cybersecurity risks from our Chief Information Security Officer (“CISO”), internal security staff and/or external experts as part of the Board’s continuing education on topics that impact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Management Oversight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assessment and management of our material risks from cybersecurity threats is led primarily by our CISO, as well as leaders from our Product Development, Legal and Compliance, and Information Technology functions. The team has primary responsibility for our overall cybersecurity risk management program and supervises both our internal cybersecurity personnel and our retained external cybersecurity consultants. Our CISO has over 20 years of experience in the technology sector, including 18 years dedicated to information security. He has held multiple executive security roles in a large Fortune 500 company, overseeing product security, mergers and acquisitions security, marketplace security, and enterprise security. He holds a Bachelor of Science in Information Systems Management and a Masters of Business Administration.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team periodically receives information on our cybersecurity program designed to prevent, detect, mitigate, and remediate cybersecurity risks and incidents through various means, which may include periodic briefings from internal security personnel; threat intelligence and other information obtained from governmental, public or private sources, including external consultants engaged by us; and alerts and reports produced by security tools deployed in our information technology environment.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2.Properties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in San Mateo, California consists of approximately 79,000 square feet, for which we recently signed a new lease extending our term through December 2034. As of July 31, 2026, we lease additional facilities for our sales, services, development, operations and administrative activities in various locations in the U.S. and around the world, including in the Americas, Europe, and Asia-Pacific. We lease all of our facilities and do not own any real property.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facilities are suitable to meet our current needs. In the future, we may expand our facilities or add new facilities as we add employees and enter new geographic markets, and we believe that suitable additional or alternative space will be available as needed to accommodate any such growth. We expect to incur additional expenses in connection with any such new or expanded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3.Legal Proceedings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that arise in the ordinary course of our business. Any such proceedings, whether meritorious or not, could be time consuming, costly, and result in the diversion of significant operational resources and/or management time.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Note 9 “Commitments and Contingencies” to our consolidated financial statements included elsewhere in this Annual Report on Form 10-K, which is incorporated by reference herein, we are not party to any material pending legal proceedings.</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Stockholder Matters and Issuer Purchases of Equity Securities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New York Stock Exchange under the symbol “GWRE.”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31, 2026, the last trading day of our fiscal year 2026, the last reported sale price of our common stock on the New York Stock Exchange was $151.94 per share. As of July 31, 2026, we had 31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and do not anticipate declaring or paying, any cash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180" w:after="283"/>
        <w:ind w:left="0" w:right="0" w:firstLine="360"/>
        <w:jc w:val="both"/>
        <w:rPr>
          <w:rFonts w:ascii="Times New Roman;serif" w:hAnsi="Times New Roman;serif"/>
          <w:b/>
          <w:color w:val="000000"/>
          <w:sz w:val="20"/>
        </w:rPr>
      </w:pPr>
      <w:r>
        <w:rPr>
          <w:rFonts w:ascii="Times New Roman;serif" w:hAnsi="Times New Roman;serif"/>
          <w:b/>
          <w:color w:val="000000"/>
          <w:sz w:val="20"/>
        </w:rPr>
        <w:t>Purchases of Equity Securities by the Issuer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repurchase of equity securities during the three months ended July 31, 2026:</w:t>
      </w:r>
    </w:p>
    <w:tbl>
      <w:tblPr>
        <w:tblW w:w="10205" w:type="dxa"/>
        <w:jc w:val="left"/>
        <w:tblInd w:w="0" w:type="dxa"/>
        <w:tblLayout w:type="fixed"/>
        <w:tblCellMar>
          <w:top w:w="28" w:type="dxa"/>
          <w:left w:w="28" w:type="dxa"/>
          <w:bottom w:w="28" w:type="dxa"/>
          <w:right w:w="28" w:type="dxa"/>
        </w:tblCellMar>
      </w:tblPr>
      <w:tblGrid>
        <w:gridCol w:w="429"/>
        <w:gridCol w:w="377"/>
        <w:gridCol w:w="379"/>
        <w:gridCol w:w="525"/>
        <w:gridCol w:w="525"/>
        <w:gridCol w:w="526"/>
        <w:gridCol w:w="464"/>
        <w:gridCol w:w="464"/>
        <w:gridCol w:w="465"/>
        <w:gridCol w:w="888"/>
        <w:gridCol w:w="888"/>
        <w:gridCol w:w="891"/>
        <w:gridCol w:w="987"/>
        <w:gridCol w:w="987"/>
        <w:gridCol w:w="141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ind w:left="0" w:right="0" w:hanging="450"/>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13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Average Price Paid per Share </w:t>
            </w:r>
            <w:r>
              <w:rPr>
                <w:rFonts w:ascii="Times New Roman;serif" w:hAnsi="Times New Roman;serif"/>
                <w:b/>
                <w:color w:val="000000"/>
                <w:sz w:val="13"/>
              </w:rPr>
              <w:t>(1)</w:t>
            </w:r>
          </w:p>
        </w:tc>
        <w:tc>
          <w:tcPr>
            <w:tcW w:w="26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Programs </w:t>
            </w:r>
            <w:r>
              <w:rPr>
                <w:rFonts w:ascii="Times New Roman;serif" w:hAnsi="Times New Roman;serif"/>
                <w:b/>
                <w:color w:val="000000"/>
                <w:sz w:val="13"/>
              </w:rPr>
              <w:t>(2)</w:t>
            </w:r>
          </w:p>
        </w:tc>
        <w:tc>
          <w:tcPr>
            <w:tcW w:w="33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(in millions) of Shares That May Yet Be Purchased Under the Programs </w:t>
            </w:r>
            <w:r>
              <w:rPr>
                <w:rFonts w:ascii="Times New Roman;serif" w:hAnsi="Times New Roman;serif"/>
                <w:b/>
                <w:color w:val="000000"/>
                <w:sz w:val="13"/>
              </w:rPr>
              <w:t>(2)</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864,026</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$115.61</w:t>
            </w:r>
          </w:p>
        </w:tc>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864,026</w:t>
            </w:r>
          </w:p>
        </w:tc>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784,149</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$138.67</w:t>
            </w:r>
          </w:p>
        </w:tc>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784,149</w:t>
            </w:r>
          </w:p>
        </w:tc>
        <w:tc>
          <w:tcPr>
            <w:tcW w:w="338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bl>
    <w:p>
      <w:pPr>
        <w:pStyle w:val="TextBody"/>
        <w:bidi w:val="0"/>
        <w:spacing w:lineRule="auto" w:line="288" w:before="180" w:after="60"/>
        <w:ind w:left="0" w:right="0" w:firstLine="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Amounts exclude commissions.</w:t>
      </w:r>
    </w:p>
    <w:p>
      <w:pPr>
        <w:pStyle w:val="TextBody"/>
        <w:bidi w:val="0"/>
        <w:spacing w:lineRule="auto" w:line="288" w:before="180" w:after="60"/>
        <w:ind w:left="0" w:right="0" w:firstLine="36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On January 8, 2026, we announced that our board of directors authorized and approved a share repurchase program of up to $500.0 million of our outstanding common stock. We began repurchasing shares under this program during the second quarter of fiscal year 2026. During the three months ended July 31, 2026, we entered into a pre-set trading plan adopted in accordance with Rule 10b5-1 under the Exchange Act to effect repurchases under this program. The repurchase program does not obligate us to repurchase any dollar amount or number of shares, and the program may be modified, suspended or discontinued at any time. There is no stated expiration date for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of our filings under the Securities Act of 1933 or the Exchange Act.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graph shows a comparison of the cumulative total return for our common stock, the NASDAQ Composite-Total Return Index and S&amp;P Software &amp; Services Select Industry Index for the period from July 31, 2021 through July 31, 2026. Such returns are based on historical results and are not intended to suggest future performance. Data for the NASDAQ Composite Total Return Index and S&amp;P Software &amp; Services Select Industry Index assume reinvestment of dividends.</w:t>
      </w:r>
    </w:p>
    <w:p>
      <w:pPr>
        <w:pStyle w:val="TextBody"/>
        <w:bidi w:val="0"/>
        <w:spacing w:before="180" w:after="283"/>
        <w:ind w:left="0" w:right="0" w:firstLine="495"/>
        <w:jc w:val="center"/>
        <w:rPr/>
      </w:pPr>
      <w:r>
        <w:rPr/>
      </w:r>
    </w:p>
    <w:p>
      <w:pPr>
        <w:pStyle w:val="TextBody"/>
        <w:bidi w:val="0"/>
        <w:spacing w:before="180" w:after="283"/>
        <w:ind w:left="0" w:right="0" w:firstLine="495"/>
        <w:jc w:val="center"/>
        <w:rPr/>
      </w:pPr>
      <w:r>
        <w:rPr/>
        <w:drawing>
          <wp:inline distT="0" distB="0" distL="0" distR="0">
            <wp:extent cx="6543675" cy="3619500"/>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2"/>
                    <a:stretch>
                      <a:fillRect/>
                    </a:stretch>
                  </pic:blipFill>
                  <pic:spPr bwMode="auto">
                    <a:xfrm>
                      <a:off x="0" y="0"/>
                      <a:ext cx="6543675" cy="3619500"/>
                    </a:xfrm>
                    <a:prstGeom prst="rect">
                      <a:avLst/>
                    </a:prstGeom>
                  </pic:spPr>
                </pic:pic>
              </a:graphicData>
            </a:graphic>
          </wp:inline>
        </w:drawing>
      </w:r>
      <w:bookmarkStart w:id="0" w:name="i-1"/>
      <w:bookmarkEnd w:id="0"/>
    </w:p>
    <w:tbl>
      <w:tblPr>
        <w:tblW w:w="9996" w:type="dxa"/>
        <w:jc w:val="left"/>
        <w:tblInd w:w="0" w:type="dxa"/>
        <w:tblLayout w:type="fixed"/>
        <w:tblCellMar>
          <w:top w:w="28" w:type="dxa"/>
          <w:left w:w="28" w:type="dxa"/>
          <w:bottom w:w="28" w:type="dxa"/>
          <w:right w:w="28" w:type="dxa"/>
        </w:tblCellMar>
      </w:tblPr>
      <w:tblGrid>
        <w:gridCol w:w="1418"/>
        <w:gridCol w:w="1246"/>
        <w:gridCol w:w="1251"/>
        <w:gridCol w:w="211"/>
        <w:gridCol w:w="721"/>
        <w:gridCol w:w="109"/>
        <w:gridCol w:w="211"/>
        <w:gridCol w:w="616"/>
        <w:gridCol w:w="109"/>
        <w:gridCol w:w="211"/>
        <w:gridCol w:w="616"/>
        <w:gridCol w:w="109"/>
        <w:gridCol w:w="211"/>
        <w:gridCol w:w="721"/>
        <w:gridCol w:w="109"/>
        <w:gridCol w:w="211"/>
        <w:gridCol w:w="721"/>
        <w:gridCol w:w="109"/>
        <w:gridCol w:w="211"/>
        <w:gridCol w:w="721"/>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7/31/2021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7/31/2022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7/31/2023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7/31/2024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7/31/2025</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7/31/2026</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Composite-Total Return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Software &amp; Services Select Industry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 from Registered Securities</w:t>
      </w:r>
    </w:p>
    <w:p>
      <w:pPr>
        <w:pStyle w:val="TextBody"/>
        <w:bidi w:val="0"/>
        <w:spacing w:lineRule="auto" w:line="288" w:before="2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2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6.[Reserved]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7.Management’s Discussion and Analysis of Financial Condition and Results of Operations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consolidated financial statements and the related notes thereto included in Item 8 and the Risk Factors included in Item 1A of Part I of this Annual Report on Form 10-K. All information presented herein is based on our fiscal calendar. Unless otherwise stated, references in this Annual Report on Form 10-K to particular years or quarters refer to our fiscal years ended in July and the associated quarters of those fiscal years. We assume no obligation to revise or update any forward-looking statements for any reason, except as required by law.</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July 31, 2025, filed on September 11, 2025, for reference to discussion of the fiscal year ended July 31, 2024, the earliest of the three fiscal years presented.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is the platform that property and casualty (“P&amp;C”) insurers rely on to engage with customers, innovate, and operate more efficiently. Our platform combines core systems of record with digital, analytics, and predictive and generative AI capabilities. We serve insurers of all sizes, ranging from global carriers to regional and local providers, helping them navigate a rapidly changing insurance market.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foundational core products, InsuranceSuite and InsuranceNow, are delivered as a cloud-based subscription service leveraging our proprietary cloud platform which we refer to as Guidewire Cloud Platform (“GWCP”). These products serve as transactional systems of record, fully supporting insurance operations, including product definition, pricing and rating, underwriting, policy administration, billing, and claims management.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provide digital engagement offerings that enable seamless sales, pricing and rating solutions, and enhanced claims experiences for policyholders, agents, vendors, and field personnel. Our analytics products allow insurers to manage and use data more effectively, gain business insights, improve operational efficiency, and underwrite emerging risks. To support insurers worldwide, we localize our products to address diverse regulatory, language, and currency requirements. Additionally, we provide Guidewire Marketplace which offers a vetted collection of insurtech applications.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InsuranceSuite is a highly configurable and scalable product, delivered as a service, and primarily comprised of five core applications (PolicyCenter, ClaimCenter, BillingCenter, PricingCenter, and UnderwritingCenter) that can be subscribed to separately or together. These applications are built on and optimized for our GWCP architecture and leverage our in-house cloud operations team. InsuranceSuite is designed to support multiple releases each year to accelerate delivery of new capabilities and ensure that cloud customers remain on the latest version and gain fast access to our innovation efforts. Additionally, InsuranceSuite embeds digital, analytics, and generative AI capabilities natively into our platform. Most new sales and implementations are for InsuranceSuite.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InsuranceNow is a complete, cloud-based application that offers policy administration, claims management, and billing functionality, plus pre-integrated document production, analytics, and other capabilities, that increases agility without adding complexity. Like InsuranceSuite, InsuranceNow is hosted on GWCP and managed by our internal cloud operations team. InsuranceNow is currently only available in the U.S. and Canada, and is generally suited to mid-market carriers and managing general agents, who are highly cost sensitive and whose needs are often not as complex as a typical InsuranceSuite customer.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reach customers directly through our global sales team and in partnership with third-party global system integrators (“SIs”). Because our platform is central to insurers’ operations, customer evaluation cycles are often extensive, particularly when multiple products are involved or when insurers are moving to GWCP for the first time. Sales processes typically include detailed due diligence and customer reference checks. Our growth depends on continuously enhancing existing products, introducing new capabilities, ensuring efficient cloud operations, and expanding local or market-specific content.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products primarily through subscription services for our platform and cloud-delivered products. We generally price our subscription services for core products based on the amount of Direct Written Premium (“DWP”) managed on our platform, with certain cloud-delivered products priced based on usage and associated resource consumption. Initial subscription agreements are generally five years in duration, with annual renewals thereafter. In some instances, we have customers that sign contracts with an initial term of seven years or longer. Subscription revenue is recognized ratably over the contract term. We also offer term licenses, primarily for existing on-premise customers, as well as support and professional services. Support is typically priced as a percentage of license fees and recognized ratably. Professional services are generally billed monthly on a time-and-materials basis; however, certain services engagements are based on a fixed fee, and revenue is recognized on a percentage of completion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few years, we have primarily been entering into cloud-based subscription arrangements with our new and existing customers, and we anticipate that subscription arrangements will continue to be a significant majority of annual new sales going forward. We may decide to change certain contract terms in new arrangements to remain competitive or otherwise meet market demands which may impact the way we recognize revenue and/or ARR.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extend our technology leadership in the global market and to drive operating efficiency, we continue to invest in product development and cloud operations to enhance and improve our current products, introduce new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Our strong relationships with leading SI partners enhance our direct sales through co-marketing efforts and by providing additional market validation of the distinctiveness and quality of our offerings. We encourage our partners to pursue joint sales initiatives, obtain certifications related to our products, and drive broader adoption of our technology, helping us grow our business more efficiently and enabling us to focus our resources on continued innovation and further enhancement of our solutions.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work closely with our network of SI partners to facilitate new sales and implementations of our products. Our partnerships with leading SI partners allow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face a number of risks in the execution of our strategy, including, but not limited to, risks related to fluctuations in our results due to factors largely outside of our control, reliance on sales to a relatively small number of large customers and the related substantial negotiating leverage of these customers, lengthy and variable sales and implementation cycles, competing effectively in the global market, growing our business and managing our expanding operations, development, adoption, deployment, workforce use and maintenance of AI in an evolving regulatory environment, making long-term pricing commitments based on cost estimates that may change, expanding market adoption of our cloud-based offerings, maintaining customer satisfaction and renewals, cost-effectively and securely managing the infrastructure of our cloud-based customers, and the impact of these and other factors, including the impact of AI on the insurance and software industries, on our stock price and its volatility. In response to these and other risks we might face, we continue to invest in many areas of our business, including product development, cloud operations, cybersecurity, introduction of new products and/or new features, implementation and migration services, and sales and marketing. </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seasonal variations in our license revenue and, to a lesser extent, in our subscription revenue as a result of increased customer orders in our fourth fiscal quarter, which is the quarter ending July 31. We generally see significantly increased orders in our fourth fiscal quarter due to efforts by our sales team to achieve annual incentives. As a result, a significantly higher percentage of our annual license revenue and cash receipts have historically been recognized in our fourth fiscal quarter. Because we recognize revenue upfront for term licenses compared to over time for subscription services, an increase in term licenses due to renewals or expansion orders, or a decrease from migrations or non-renewals may impact our quarterly results. Additionally, any significant multi-year term license renewal or non-renewal could impact quarterly results and cash flows. Subscription sales now represent the significant majority of total sales and, as a result when compared to term license sales, the revenue we recognize in the initial fiscal year of an order is lower, deferred revenue is higher, and our total reported revenue growth may be adversely affected in the near term due to the ratable nature of these arrangements. Over time, this ratable revenue dynamic has and will dampen the impact of seasonality on our revenue. However, our cash flows remain subject to seasonal variations and will most likely remain concentrated in the fourth fiscal quarter due to the annual billing arrangements of our customer contracts.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services revenue is also subject to seasonal fluctuations, though to a lesser degree than our license revenue and subscription revenue. Our services revenue is impacted by the number of billable days in a given fiscal quarter. Our second fiscal quarter, which is the quarter ending January 31, usually has fewer billable days due to the impact of calendar year end holidays. Our fourth fiscal quarter usually has fewer billable days due to the impact of vacations taken by our services professionals. Because we pay our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professionals the same amount throughout the year, our gross margins on our services revenue are usually lower in these quarters. This seasonal pattern, however, may be absent in any given year.</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Global Events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events have adversely affected and may continue to adversely affect workforces, organizations, economies, and financial markets globally, leading to economic downturns, inflationary pressures, and increased market volatility. For instance, the ongoing war between Russia and Ukraine, conflicts in the Middle East, tensions in the South China Sea, currency exchange fluctuations, changes in interest rates, changes in trade policies and practices (including the imposition of tariffs), previous bank failures in the U.S. and Switzerland, and supply chain issues have contributed to global economic and market volatility in recent years. We are unable to accurately predict the full impact that these global events will have on our results of operations, financial condition, liquidity, and cash flows due to numerous uncertainties.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results have been and may in the future be impacted due to these disruptions, which may affect our ARR and revenue growth rates, sales cycles, services revenue and margins, operating cash flow and expenses, employee attrition, hiring and onboarding necessary personnel, allowance for collectibility of accounts receivable and unbilled receivables, and the change in fair value of strategic investments. Additionally, inflation levels and political uncertainty are impacting the global economy and have magnified the impact of these disruptions.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products based on the amount of DWP that will be managed by our products. As a result of these developments and the related economic impact to our business, we may be required to record impairment related to our operating lease assets, investments, long-lived assets, capitalized software development costs, intangible assets, or goodwill.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monitor and evaluate the nature and extent of these global events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certain key metrics and financial measures not prepared in accordance with U.S. Generally Accepted Accounting Principles (“GAAP”) to evaluate and manage our business, including ARR and Free Cash Flow. For a further discussion of how we use key metrics and certain non-GAAP financial measures, see “Non-GAAP Financial Measures” in this Annual Report on Form 10-K.</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contractual terms and invoicing activities for the current reporting period, which may not be the same as the timing and amount of revenue recognized. ARR reflects all fee changes due to contract renewals, non-renewals, expansion, cancellations, attrition, or renegotiations at a higher or lower fee arrangement that are effective as of the ARR reporting date. All components of the licensing and other arrangements that are not expected to recur (primarily perpetual licenses and professional services) are excluded from our ARR calculations.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generally only impacts the initial term of the contract. This means that if we increase arrangements with multiple performance obligations that include services at discounted rates, more of the total contract value would be recognized as services revenue, but our reported ARR amount would not be impacted. During the fiscal year ended July 31, 2026, the recurring license and support or subscription contract value recognized as services revenue was $7.2 million.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ARR was $1,237 million, or $1,242 million based on currency exchange rates as of July 31, 2025. We measure ARR results on a constant currency basis during the fiscal year and revalue ARR at year end to current currency exchange rates. ARR grew in fiscal year 2026 by 19%, both on a reported and constant currency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payments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commissions, payroll taxes, and other tax payments. Our capital expenditures consist of purchases of property and equipment, primarily computer hardware, software, and leasehold improvements, and capitalized software development costs. For a further discussion of our operating cash flows, see “Liquidity and Capital Resources – Cash Flows.”</w:t>
      </w:r>
    </w:p>
    <w:tbl>
      <w:tblPr>
        <w:tblW w:w="6128" w:type="dxa"/>
        <w:jc w:val="left"/>
        <w:tblInd w:w="0" w:type="dxa"/>
        <w:tblLayout w:type="fixed"/>
        <w:tblCellMar>
          <w:top w:w="28" w:type="dxa"/>
          <w:left w:w="28" w:type="dxa"/>
          <w:bottom w:w="28" w:type="dxa"/>
          <w:right w:w="28" w:type="dxa"/>
        </w:tblCellMar>
      </w:tblPr>
      <w:tblGrid>
        <w:gridCol w:w="1331"/>
        <w:gridCol w:w="1169"/>
        <w:gridCol w:w="1174"/>
        <w:gridCol w:w="196"/>
        <w:gridCol w:w="736"/>
        <w:gridCol w:w="109"/>
        <w:gridCol w:w="109"/>
        <w:gridCol w:w="109"/>
        <w:gridCol w:w="109"/>
        <w:gridCol w:w="196"/>
        <w:gridCol w:w="73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 July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GAAP. Accounting policies, methods, and estimates are an integral part of the preparation of our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our consolidated financial statements and because of the possibility that future events affecting them may differ markedly from management’s current judgments. While there are a number of significant accounting policies, methods, and estimates affecting our consolidated financial statements, which are described in Note 1 “The Company and Summary of Significant Accounting Policies and Estimates” to our consolidated financial statements included in this Annual Report on Form 10-K, our revenue recognition policies are critical to the periods presented.</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recognition requires judgment and the use of estimates, especially in identifying and evaluating the various non-standard terms and conditions in our contracts with customers as to their effect on reported revenue.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is derived from contracts with customers. The majority of our revenue is derived from subscriptions to our cloud services, licensing arrangements for our software, and implementation and other professional services arrangements. We account for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consolidated financial statements included in this Annual Report on Form 10-K.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appropriate revenue recognition in accordance with ASC 606.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estimates and assumptions requiring significant judgment under our revenue policy in accordance with ASC 606 are as follows:</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Allocation of the transaction price to the performance obligations in the contract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obligation based on its standalone selling price (“SSP”) in relation to the total fair value of all performance obligations in the arrangement. Some of our performance obligations, such as support, implementation services, training services, and certain subscription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will use the residual method.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contracts contain multiple performance obligations, such as when licenses are sold with support, implementation services or training services. As customers enter into a subscription agreement to migrate from an existing term license agreement, customers may, for a period of time, be under contract for self-managed licenses and support, in addition to subscription services, which may require an allocation of the transaction price to each performance obligation. New subscription agreements also typically include implementation, configuration, and training services, which may require an allocation of the transaction price to each performance obligation.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contract modifications for products that are distinct but are not priced commensurate with their SSP or are not distinct from the existing contract may affect the initial transaction price or the allocation of the transaction price to the performance obligations in the contract. In such cases, revenue recognized may be adjusted.</w:t>
      </w:r>
    </w:p>
    <w:p>
      <w:pPr>
        <w:pStyle w:val="TextBody"/>
        <w:bidi w:val="0"/>
        <w:spacing w:lineRule="auto" w:line="288" w:before="180" w:after="283"/>
        <w:ind w:left="0" w:right="0" w:firstLine="3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 “The Company and Summary of Significant Accounting Policies and Estimates” to our consolidated financial statements included in this Annual Report on Form 10-K for a full description of recent accounting pronouncements adopted, including the dates of adoption, and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years presented. The data has been derived from the consolidated financial statements contained in this Annual Report on Form 10-K. The results of operations for any period should not be considered indicative of results for any future period. Certain figures included in this document have been subjected to rounding adjustments. Accordingly, figures shown in the same category presented in different tables may vary slightly and figures shown as totals in certain tables may not be an arithmetic aggregation of the figures that precede them.</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326"/>
        <w:gridCol w:w="1123"/>
        <w:gridCol w:w="1132"/>
        <w:gridCol w:w="211"/>
        <w:gridCol w:w="826"/>
        <w:gridCol w:w="109"/>
        <w:gridCol w:w="109"/>
        <w:gridCol w:w="109"/>
        <w:gridCol w:w="109"/>
        <w:gridCol w:w="369"/>
        <w:gridCol w:w="303"/>
        <w:gridCol w:w="760"/>
        <w:gridCol w:w="109"/>
        <w:gridCol w:w="109"/>
        <w:gridCol w:w="109"/>
        <w:gridCol w:w="211"/>
        <w:gridCol w:w="826"/>
        <w:gridCol w:w="109"/>
        <w:gridCol w:w="109"/>
        <w:gridCol w:w="109"/>
        <w:gridCol w:w="109"/>
        <w:gridCol w:w="369"/>
        <w:gridCol w:w="303"/>
        <w:gridCol w:w="760"/>
        <w:gridCol w:w="109"/>
        <w:gridCol w:w="109"/>
        <w:gridCol w:w="109"/>
        <w:gridCol w:w="160"/>
      </w:tblGrid>
      <w:tr>
        <w:trPr/>
        <w:tc>
          <w:tcPr>
            <w:tcW w:w="132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c>
          <w:tcPr>
            <w:tcW w:w="487" w:type="dxa"/>
            <w:gridSpan w:val="4"/>
            <w:tcBorders/>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487" w:type="dxa"/>
            <w:gridSpan w:val="4"/>
            <w:tcBorders/>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1,475,363 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Subscription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Subscription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752,053 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7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797,494 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710,985 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before provision for (benefit from)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Comparison of the Fiscal Years Ended July 31, 2026 and 2025</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our revenue primarily from delivering cloud-based services, licensing our software applications, providing support, and delivering professional services.</w:t>
      </w:r>
    </w:p>
    <w:p>
      <w:pPr>
        <w:pStyle w:val="TextBody"/>
        <w:bidi w:val="0"/>
        <w:spacing w:lineRule="auto" w:line="288" w:before="18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Subscription and Support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five years, though in some instances customers have entered into contracts with an initial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term of seven years or longer.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service implementation period. Under these migration agreements, a portion of the total contract value related to subscription services could be allocated and recognized as term license and support revenue in the period renewed or delivered.</w:t>
      </w:r>
    </w:p>
    <w:p>
      <w:pPr>
        <w:pStyle w:val="TextBody"/>
        <w:bidi w:val="0"/>
        <w:spacing w:lineRule="auto" w:line="288" w:before="18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support revenue is generally recognized ratably over the committed support term of the licensed software. Our support fees are typically priced as a fixed percentage of the associated term license fees. We generally invoice support annually in advance. Support related to subscription arrangements is included in subscription revenue, as support is not quoted or priced separately from the subscription services. </w:t>
      </w:r>
    </w:p>
    <w:p>
      <w:pPr>
        <w:pStyle w:val="TextBody"/>
        <w:bidi w:val="0"/>
        <w:spacing w:lineRule="auto" w:line="288" w:before="18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License</w:t>
      </w:r>
    </w:p>
    <w:p>
      <w:pPr>
        <w:pStyle w:val="TextBody"/>
        <w:bidi w:val="0"/>
        <w:spacing w:lineRule="auto" w:line="288" w:before="18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are generally sold under an initial term of two years with optional annual renewals after the initial term. Term license revenue for the committed term of the customer agreement is generally fully recognized upon delivery of the software or at the beginning of the renewal term. We do enter into license arrangements that have an initial term of two or more years and renewal terms of more than one year which results in significantly higher revenue in the initial year of the committed term than arrangements for our subscription services.</w:t>
      </w:r>
    </w:p>
    <w:p>
      <w:pPr>
        <w:pStyle w:val="TextBody"/>
        <w:bidi w:val="0"/>
        <w:spacing w:lineRule="auto" w:line="288" w:before="18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 while certain services engagements are based on a fixed fee, and revenue is recognized on a percentage of completion basis.</w:t>
      </w:r>
    </w:p>
    <w:tbl>
      <w:tblPr>
        <w:tblW w:w="10205" w:type="dxa"/>
        <w:jc w:val="left"/>
        <w:tblInd w:w="0" w:type="dxa"/>
        <w:tblLayout w:type="fixed"/>
        <w:tblCellMar>
          <w:top w:w="28" w:type="dxa"/>
          <w:left w:w="28" w:type="dxa"/>
          <w:bottom w:w="28" w:type="dxa"/>
          <w:right w:w="28" w:type="dxa"/>
        </w:tblCellMar>
      </w:tblPr>
      <w:tblGrid>
        <w:gridCol w:w="670"/>
        <w:gridCol w:w="591"/>
        <w:gridCol w:w="596"/>
        <w:gridCol w:w="211"/>
        <w:gridCol w:w="976"/>
        <w:gridCol w:w="109"/>
        <w:gridCol w:w="109"/>
        <w:gridCol w:w="109"/>
        <w:gridCol w:w="109"/>
        <w:gridCol w:w="269"/>
        <w:gridCol w:w="244"/>
        <w:gridCol w:w="607"/>
        <w:gridCol w:w="109"/>
        <w:gridCol w:w="109"/>
        <w:gridCol w:w="109"/>
        <w:gridCol w:w="211"/>
        <w:gridCol w:w="976"/>
        <w:gridCol w:w="109"/>
        <w:gridCol w:w="109"/>
        <w:gridCol w:w="109"/>
        <w:gridCol w:w="109"/>
        <w:gridCol w:w="269"/>
        <w:gridCol w:w="244"/>
        <w:gridCol w:w="607"/>
        <w:gridCol w:w="109"/>
        <w:gridCol w:w="109"/>
        <w:gridCol w:w="109"/>
        <w:gridCol w:w="211"/>
        <w:gridCol w:w="826"/>
        <w:gridCol w:w="109"/>
        <w:gridCol w:w="109"/>
        <w:gridCol w:w="109"/>
        <w:gridCol w:w="109"/>
        <w:gridCol w:w="206"/>
        <w:gridCol w:w="208"/>
        <w:gridCol w:w="321"/>
      </w:tblGrid>
      <w:tr>
        <w:trPr/>
        <w:tc>
          <w:tcPr>
            <w:tcW w:w="6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Change</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Subscription and Support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subscriptions will continue to represent a significant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towards the end of a given period, our short-term growth rates will be negatively impacted. Due to the seasonal nature of our business, the impact of new subscription orders in our fourth fiscal quarter, our historically largest quarter for new orders, is not fully reflected in revenue until the following fiscal year.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increased by $248.4 million compared to the prior year, primarily due to the impact of cloud transition agreements entered into and provisioned since July 31, 2025, new subscription agreements, and the renewal or extension of subscription services at the fully ramped annual fees after the initial committed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Support revenue decreased by $8.8 million compared to the prior year, primarily due to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subscription, support, and license performance obligations. As a result, we expect that the small percentage of term licenses as a percentage of total new sales and customers migrating from term licenses to subscription services will result in lower support revenue in the future.</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License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recognized will be impacted by allocations of total contract value between license, subscription, and support performance obligations. License revenue growth has and will be negatively impacted as subscription sales are a significant majority of total new sales and as customers migrate from term licenses to subscription services instead of renewing their term licenses.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Term license revenue decreased by $17.4 million compared to the prior year, primarily due to agreements that migrate customers from a term license to a subscription service, partially offset by an increase in renewals. Ongoing revenue related to migration agreements is recorded as subscription revenue.</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Services revenue increased by $50.7 million compared to the prior year, primarily due to higher utilization of services employees and new subscription implementation and migration projects.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services revenue to fluctuate between periods due to changes in the volume, size, mix, and timing of our professional services engagements, and how quickly we deliver that work. Our services revenue and margins may also be affected by negotiated billing rates, utilization levels, and our use of subcontractors. Additionally, services revenue overall may continue to be impacted by investments in customer implementations and migration projects, including fixed fee or capped arrangements, to accelerate customer transition to the cloud. In these arrangements when a project extends longer than originally anticipated, the average billing rate we recognize may decrease, which can result in revenue adjustments and lower gross profit. As we continue to expand into new markets and develop new products and services, we have, and may continue to, enter into contracts with lower average billing rates, make investments in customer implementation and migration engagements, and enter into fixed price contracts, which could impact our services revenue and gross margins.</w:t>
      </w:r>
    </w:p>
    <w:p>
      <w:pPr>
        <w:pStyle w:val="TextBody"/>
        <w:bidi w:val="0"/>
        <w:spacing w:lineRule="auto" w:line="288" w:before="2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 </w:t>
      </w:r>
    </w:p>
    <w:p>
      <w:pPr>
        <w:pStyle w:val="TextBody"/>
        <w:bidi w:val="0"/>
        <w:spacing w:before="18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10205" w:type="dxa"/>
        <w:jc w:val="left"/>
        <w:tblInd w:w="0" w:type="dxa"/>
        <w:tblLayout w:type="fixed"/>
        <w:tblCellMar>
          <w:top w:w="28" w:type="dxa"/>
          <w:left w:w="28" w:type="dxa"/>
          <w:bottom w:w="28" w:type="dxa"/>
          <w:right w:w="28" w:type="dxa"/>
        </w:tblCellMar>
      </w:tblPr>
      <w:tblGrid>
        <w:gridCol w:w="866"/>
        <w:gridCol w:w="636"/>
        <w:gridCol w:w="560"/>
        <w:gridCol w:w="211"/>
        <w:gridCol w:w="826"/>
        <w:gridCol w:w="109"/>
        <w:gridCol w:w="109"/>
        <w:gridCol w:w="109"/>
        <w:gridCol w:w="109"/>
        <w:gridCol w:w="285"/>
        <w:gridCol w:w="269"/>
        <w:gridCol w:w="674"/>
        <w:gridCol w:w="109"/>
        <w:gridCol w:w="109"/>
        <w:gridCol w:w="109"/>
        <w:gridCol w:w="211"/>
        <w:gridCol w:w="826"/>
        <w:gridCol w:w="109"/>
        <w:gridCol w:w="109"/>
        <w:gridCol w:w="109"/>
        <w:gridCol w:w="109"/>
        <w:gridCol w:w="285"/>
        <w:gridCol w:w="269"/>
        <w:gridCol w:w="674"/>
        <w:gridCol w:w="109"/>
        <w:gridCol w:w="109"/>
        <w:gridCol w:w="109"/>
        <w:gridCol w:w="211"/>
        <w:gridCol w:w="721"/>
        <w:gridCol w:w="109"/>
        <w:gridCol w:w="109"/>
        <w:gridCol w:w="109"/>
        <w:gridCol w:w="109"/>
        <w:gridCol w:w="197"/>
        <w:gridCol w:w="200"/>
        <w:gridCol w:w="322"/>
      </w:tblGrid>
      <w:tr>
        <w:trPr/>
        <w:tc>
          <w:tcPr>
            <w:tcW w:w="86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subscription and support revenue increased by $30.1 million compared to the prior year, primarily due to increases in cloud infrastructure expense of $14.6 million driven by increased transaction volume on our cloud services, personnel costs of $8.9 million due to higher headcount, amortization of intangible assets of $2.0 million due to newly acquired intangible assets being amortized, and royalties of $1.7 million.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the cost of subscription and support revenue to increase in absolute dollars due to a greater number of customers utilizing our cloud services, continued adoption of cloud-based and AI-related product features, growth in cloud customer transaction volume, and the impact of inflation and other macroeconomic events.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license revenue decreased by $1.6 million compared to the prior year, primarily due to a decrease in personnel costs of $1.3 million, and to a lesser extent, a decrease in royalties. Personnel costs associated with the development of online training curriculum are primarily focused on our cloud services, thus contributing to the decrease in cost of license revenue.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anticipate lower cost of license revenue over time as our term license customers transition to cloud subscription agreements.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services revenue increased by $49.1 million compared to the prior year, primarily due to increases in personnel expense of $27.6 million due to higher headcount, subcontractor expense of $14.1 million due to implementations involving our SI partners, and travel expenses of $4.0 million.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670 cloud operations and technical support employees and 1,015 professional services employees as of July 31, 2026 compared to 606 cloud operations and technical support employees and 873 professional services employees as of July 31, 2025.</w:t>
      </w:r>
    </w:p>
    <w:p>
      <w:pPr>
        <w:pStyle w:val="TextBody"/>
        <w:bidi w:val="0"/>
        <w:spacing w:lineRule="auto" w:line="288" w:before="2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tbl>
      <w:tblPr>
        <w:tblW w:w="9622" w:type="dxa"/>
        <w:jc w:val="left"/>
        <w:tblInd w:w="0" w:type="dxa"/>
        <w:tblLayout w:type="fixed"/>
        <w:tblCellMar>
          <w:top w:w="28" w:type="dxa"/>
          <w:left w:w="28" w:type="dxa"/>
          <w:bottom w:w="28" w:type="dxa"/>
          <w:right w:w="28" w:type="dxa"/>
        </w:tblCellMar>
      </w:tblPr>
      <w:tblGrid>
        <w:gridCol w:w="783"/>
        <w:gridCol w:w="685"/>
        <w:gridCol w:w="692"/>
        <w:gridCol w:w="211"/>
        <w:gridCol w:w="826"/>
        <w:gridCol w:w="109"/>
        <w:gridCol w:w="109"/>
        <w:gridCol w:w="109"/>
        <w:gridCol w:w="109"/>
        <w:gridCol w:w="190"/>
        <w:gridCol w:w="190"/>
        <w:gridCol w:w="476"/>
        <w:gridCol w:w="109"/>
        <w:gridCol w:w="109"/>
        <w:gridCol w:w="109"/>
        <w:gridCol w:w="211"/>
        <w:gridCol w:w="826"/>
        <w:gridCol w:w="109"/>
        <w:gridCol w:w="109"/>
        <w:gridCol w:w="109"/>
        <w:gridCol w:w="109"/>
        <w:gridCol w:w="190"/>
        <w:gridCol w:w="190"/>
        <w:gridCol w:w="476"/>
        <w:gridCol w:w="109"/>
        <w:gridCol w:w="109"/>
        <w:gridCol w:w="109"/>
        <w:gridCol w:w="211"/>
        <w:gridCol w:w="826"/>
        <w:gridCol w:w="109"/>
        <w:gridCol w:w="109"/>
        <w:gridCol w:w="109"/>
        <w:gridCol w:w="109"/>
        <w:gridCol w:w="180"/>
        <w:gridCol w:w="181"/>
        <w:gridCol w:w="316"/>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gross profit increased by $195.3 million compared to the prior year. Gross profit was primarily impacted by the increase in subscription and support gross profit due to the increase in subscription revenue from cloud migrations and new and renewed subscription orders at a rate higher than subscription and support costs. This increase was partially offset by a decrease in license gross profit due to lower license revenue as customers migrate to subscription services.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gross margin increased to 64% in fiscal year 2026, as compared to 63% in fiscal year 2025. Gross margin increased primarily due to the growth in subscription and support revenue which continues to outpace increases in cloud infrastructure and personnel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subscription and support gross margin to continue to improve, though at a slower rate than in recent years, as we increase the number of cloud customers and scale our cloud platform. We expect services gross margin will continue to improve as we gain additional efficiencies, but could fluctuate between periods based on the use of subcontractors to supplement our internal services team and the impact of any arrangements entered into to encourage customers to migrate from licenses to subscription services. We expect license gross profit to decline over time due to customers migrating from licenses to subscription services but can fluctuate quarter to quarter depending on the timing of renewals and license revenue allocation from migration orders. Overall, we expect gross margins to continue to improve over time as improvements in subscription and support gross margin and services gross margin will more than offset the negative impact of revenue shifts away from high margin license revenue.</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research and development, sales and marketing, and general and administrative expenses. The largest components of our operating expenses are personnel costs for our employees and, to a lesser extent, professional services, and software costs. In each case, personnel costs include salaries, bonuses, commissions, benefits, and stock-based compensation.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pStyle w:val="TextBody"/>
        <w:bidi w:val="0"/>
        <w:spacing w:before="180" w:after="283"/>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980"/>
        <w:gridCol w:w="722"/>
        <w:gridCol w:w="727"/>
        <w:gridCol w:w="211"/>
        <w:gridCol w:w="826"/>
        <w:gridCol w:w="109"/>
        <w:gridCol w:w="109"/>
        <w:gridCol w:w="109"/>
        <w:gridCol w:w="109"/>
        <w:gridCol w:w="237"/>
        <w:gridCol w:w="237"/>
        <w:gridCol w:w="596"/>
        <w:gridCol w:w="109"/>
        <w:gridCol w:w="109"/>
        <w:gridCol w:w="109"/>
        <w:gridCol w:w="211"/>
        <w:gridCol w:w="826"/>
        <w:gridCol w:w="109"/>
        <w:gridCol w:w="109"/>
        <w:gridCol w:w="109"/>
        <w:gridCol w:w="109"/>
        <w:gridCol w:w="234"/>
        <w:gridCol w:w="234"/>
        <w:gridCol w:w="588"/>
        <w:gridCol w:w="109"/>
        <w:gridCol w:w="109"/>
        <w:gridCol w:w="109"/>
        <w:gridCol w:w="211"/>
        <w:gridCol w:w="721"/>
        <w:gridCol w:w="109"/>
        <w:gridCol w:w="109"/>
        <w:gridCol w:w="109"/>
        <w:gridCol w:w="109"/>
        <w:gridCol w:w="180"/>
        <w:gridCol w:w="181"/>
        <w:gridCol w:w="321"/>
      </w:tblGrid>
      <w:tr>
        <w:trPr/>
        <w:tc>
          <w:tcPr>
            <w:tcW w:w="98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primarily consist of personnel costs for our technical staff, web hosting costs, and software subscription costs.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$43.9 million compared to the prior year, primarily due to increases in personnel costs of $30.9 million due to higher headcount, web hosting and software subscription costs of $7.9 million, and professional services of $3.7 million.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headcount was 1,412 as of July 31, 2026, as compared to 1,273 as of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increase in absolute dollars due to investments to enhance and develop our products and services and, to a lesser extent, inflation. We continue to dedicate internal resources to develop, improve, and expand the functionality, efficiency, and security of our solutions in the cloud. Our research and development expenses may also increase as we dedicate more resources to our software development efforts, including additional costs to utilize AI tools and develop AI-driven solutions for our customers, as well as if we pursue additional acquisitions.</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and marketing expenses primarily consist of personnel costs for our sales, marketing, and customer success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$28.6 million compared to the prior year, primarily due to increases in personnel costs of $18.9 million associated with higher headcount, which includes the impact of contract acquisition costs, travel costs of $4.9 million, and marketing and advertising expenses of $4.9 million due to customer events and increased lead generation activity, partially offset by decreases in web hosting expenses of $1.6 million and amortization of intangible assets of $0.7 million.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sales and marketing headcount was 553 as of July 31, 2026, as compared to 533 as of July 31,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sales and marketing expenses to increase in absolute dollars as we support new product initiatives, ongoing subscription and cloud growth, and the impact of inflation, but to grow more slowly than revenue over time. As a result, we expect sales and marketing expense as a percentage of revenue to decline as we realize efficiencies and leverage prior investments in customer success.</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include executive, finance, human resources, information technology, information security, legal, and corporate development and strategy functions, and primarily consist of personnel costs and, to a lesser extent, professional services, software costs, and cloud hosting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$14.0 million compared to the prior year, primarily due to increases in personnel costs of $11.2 million driven by higher headcount and stock-based compensation, bad debt expense of $1.5 million, web hosting costs of $1.1 million, and facilities costs of $1.0 million, partially offset by a decrease in software subscription costs of $1.8 million.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headcount was 524 as of July 31, 2026, as compared to 487 as of July 31, 2025. General and administrative headcount includes facilities personnel whose expenses are allocated across all functional departments.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increase in absolute dollars due to investments required to support our strategic initiatives, grow our business, improve product and information security, compliance and reporting obligations, and inflation, but decrease as a percentage of revenue as overall hiring and investments slow.</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w:t>
      </w:r>
    </w:p>
    <w:tbl>
      <w:tblPr>
        <w:tblW w:w="7391" w:type="dxa"/>
        <w:jc w:val="left"/>
        <w:tblInd w:w="0" w:type="dxa"/>
        <w:tblLayout w:type="fixed"/>
        <w:tblCellMar>
          <w:top w:w="28" w:type="dxa"/>
          <w:left w:w="28" w:type="dxa"/>
          <w:bottom w:w="28" w:type="dxa"/>
          <w:right w:w="28" w:type="dxa"/>
        </w:tblCellMar>
      </w:tblPr>
      <w:tblGrid>
        <w:gridCol w:w="864"/>
        <w:gridCol w:w="757"/>
        <w:gridCol w:w="764"/>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18"/>
        <w:gridCol w:w="218"/>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represents interest earned on our cash, cash equivalents, and investments.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$8.1 million compared to the prior year, primarily due to lower interest rates and lower available funds to invest due to purchases under our stock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includes stated interest and the amortization of debt issuance costs associated with the outstanding amount due on the aggregate principal amount of our 1.25% convertible senior notes due 2029 (the “2029 Convertible Senior Notes”) and, for the comparative fiscal year 2025, our 1.25% convertible senior notes due 2025 (the “2025 Convertible Senior Notes,” together with the 2029 Convertible Senior Notes, the “Convertible Senior Notes”). The amortization of debt issuance costs is recognized on an effective interest basis. Our 2025 Convertible Senior Notes were partially retired in October 2024 and December 2024, and were fully settled on their maturity date of March 15, 2025. Interest expense also includes commitment fees on our undrawn senior secured revolving credit facility in an aggregate principal amount of $300.0 million (the “2025 Credit Facility”) and amortization of issuance costs associated with our revolving credit agreement entered into in December 2024 recognized on a straight-line basis.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fiscal year ended July 31, 2026 consists of stated interest of $8.6 million, non-cash interest expense of $3.9 million related to amortization of debt issuance costs, and commitment fees on our undrawn 2025 Credit Facility of $0.7 million. Interest expense for the fiscal year ended July 31, 2025 consists of stated interest of $9.0 million, non-cash interest expense of $3.8 million related to the amortization of debt issuance costs, and commitment fees on our undrawn 2025 Credit Facility of $0.5 million.</w:t>
      </w:r>
    </w:p>
    <w:p>
      <w:pPr>
        <w:pStyle w:val="TextBody"/>
        <w:bidi w:val="0"/>
        <w:spacing w:lineRule="auto" w:line="288" w:before="18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76"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New Zealand Dollar, Polish Zloty, and Swiss Franc. Other income (expense) also includes changes in the fair value of our strategic investments and expenses related to the retirement of a portion of our 2025 Convertible Senior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an expense of $21.0 million for fiscal year 2026 compared to an expense of $35.1 million for fiscal year 2025. Other income (expense), net for fiscal year 2026 was primarily driven by a foreign currency loss of $22.5 million due to fluctuations in foreign currency exchange rates, compared to a foreign currency gain of $16.7 million for fiscal year 2025. Fiscal year 2025 also included $53.6 million of expense related to the retirement of a portion of our 2025 Convertible Senior Notes. </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taxes in the U.S. as well as other tax jurisdictions and countries in which we conduct business. Earnings from our non-U.S. activities are subject to local country income tax and may also be subject to U.S. income tax. </w:t>
      </w:r>
    </w:p>
    <w:tbl>
      <w:tblPr>
        <w:tblW w:w="8794" w:type="dxa"/>
        <w:jc w:val="center"/>
        <w:tblInd w:w="0" w:type="dxa"/>
        <w:tblLayout w:type="fixed"/>
        <w:tblCellMar>
          <w:top w:w="28" w:type="dxa"/>
          <w:left w:w="28" w:type="dxa"/>
          <w:bottom w:w="28" w:type="dxa"/>
          <w:right w:w="28" w:type="dxa"/>
        </w:tblCellMar>
      </w:tblPr>
      <w:tblGrid>
        <w:gridCol w:w="1243"/>
        <w:gridCol w:w="1094"/>
        <w:gridCol w:w="1098"/>
        <w:gridCol w:w="211"/>
        <w:gridCol w:w="721"/>
        <w:gridCol w:w="271"/>
        <w:gridCol w:w="109"/>
        <w:gridCol w:w="109"/>
        <w:gridCol w:w="109"/>
        <w:gridCol w:w="211"/>
        <w:gridCol w:w="796"/>
        <w:gridCol w:w="271"/>
        <w:gridCol w:w="109"/>
        <w:gridCol w:w="109"/>
        <w:gridCol w:w="109"/>
        <w:gridCol w:w="211"/>
        <w:gridCol w:w="721"/>
        <w:gridCol w:w="109"/>
        <w:gridCol w:w="109"/>
        <w:gridCol w:w="109"/>
        <w:gridCol w:w="109"/>
        <w:gridCol w:w="269"/>
        <w:gridCol w:w="271"/>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an income tax expense of $24.8 million for fiscal year 2026 compared to an income tax benefit of $20.4 million for fiscal year 2025. The change in income tax for fiscal year 2026, compared to the same period a year ago, was primarily due to the significant increase in pre-tax income in the U.S., a decrease in deductions from stock-based compensation, and a decrease in the foreign-derived intangible income (“FDII”) deduction and research and development credits due to U.S. tax law changes under H.R. 1 enacted on July 4, 2025, partially offset by non-deductible debt retirement expense that did not recur in fiscal year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differs from the statutory U.S. Federal income tax rate of 21% mainly due to tax deductions for stock-based compensation, research and development credits, foreign earnings taxed in the U.S., the FDII deduction, and certain non-deductible expenses, including executive compensation limitation.</w:t>
      </w:r>
    </w:p>
    <w:p>
      <w:pPr>
        <w:pStyle w:val="TextBody"/>
        <w:bidi w:val="0"/>
        <w:spacing w:lineRule="auto" w:line="288" w:before="280" w:after="283"/>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Comparison of the Fiscal Years Ended July 31, 2025 and 2024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Item 7. Management’s Discussion and Analysis of Financial Condition and Results of Operations located in our Form 10-K for the fiscal year ended July 31, 2025, filed on September 11, 2025, for the discussion of the comparison of the fiscal year ended July 31, 2025 to the fiscal year ended July 31, 2024, the earliest of the three fiscal years presented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non-GAAP financial information is presented for supplemental informational purposes only, should not be considered a substitute for financial information presented in accordance with GAAP, and may be different from similarly 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our business.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specific items excluded from GAAP in the calculation of non-GAAP financial measures for the periods indicated below (in thousands, except share and per share data):</w:t>
      </w:r>
    </w:p>
    <w:tbl>
      <w:tblPr>
        <w:tblW w:w="6069" w:type="dxa"/>
        <w:jc w:val="center"/>
        <w:tblInd w:w="0" w:type="dxa"/>
        <w:tblLayout w:type="fixed"/>
        <w:tblCellMar>
          <w:top w:w="28" w:type="dxa"/>
          <w:left w:w="28" w:type="dxa"/>
          <w:bottom w:w="28" w:type="dxa"/>
          <w:right w:w="28" w:type="dxa"/>
        </w:tblCellMar>
      </w:tblPr>
      <w:tblGrid>
        <w:gridCol w:w="1308"/>
        <w:gridCol w:w="1150"/>
        <w:gridCol w:w="1157"/>
        <w:gridCol w:w="196"/>
        <w:gridCol w:w="736"/>
        <w:gridCol w:w="109"/>
        <w:gridCol w:w="109"/>
        <w:gridCol w:w="109"/>
        <w:gridCol w:w="109"/>
        <w:gridCol w:w="196"/>
        <w:gridCol w:w="73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 July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 reconciliation:</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 reconciliation: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income (loss)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reconciliation: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strategic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 of strategic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foreign exchange rate (gains) losses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non-GAAP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Tax provision (benefit) reconciliation: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tax provision (benefit)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8482" w:type="dxa"/>
        <w:jc w:val="center"/>
        <w:tblInd w:w="0" w:type="dxa"/>
        <w:tblLayout w:type="fixed"/>
        <w:tblCellMar>
          <w:top w:w="28" w:type="dxa"/>
          <w:left w:w="28" w:type="dxa"/>
          <w:bottom w:w="28" w:type="dxa"/>
          <w:right w:w="28" w:type="dxa"/>
        </w:tblCellMar>
      </w:tblPr>
      <w:tblGrid>
        <w:gridCol w:w="2162"/>
        <w:gridCol w:w="1902"/>
        <w:gridCol w:w="1906"/>
        <w:gridCol w:w="223"/>
        <w:gridCol w:w="738"/>
        <w:gridCol w:w="109"/>
        <w:gridCol w:w="109"/>
        <w:gridCol w:w="109"/>
        <w:gridCol w:w="109"/>
        <w:gridCol w:w="223"/>
        <w:gridCol w:w="738"/>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strategic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 of strategic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foreign exchange rate (gains) losses</w:t>
            </w:r>
            <w:r>
              <w:rPr>
                <w:rFonts w:ascii="Times New Roman;serif" w:hAnsi="Times New Roman;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non-GAAP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tax provision (benefit)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per share reconciliation: </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GAAP net income (loss) per share – 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consideration holdback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strategic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sale of strategic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Unrealized foreign exchange rate (gains) losses</w:t>
            </w:r>
            <w:r>
              <w:rPr>
                <w:rFonts w:ascii="Times New Roman;serif" w:hAnsi="Times New Roman;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non-GAAP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net income (loss) per share – diluted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Shares used in computing Non-GAAP net income (loss) per share amounts: </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GAAP and pro forma weighted average shares – diluted</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85,405,177 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85,911,653 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(1) During the fiscal year ended July 31, 2026, we began excluding unrealized foreign currency exchange rate (gains) losses as a non-GAAP adjustment to other income (expense), net. Accordingly, we have recast previously reported amounts in our non-GAAP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are as follows (in thousands):</w:t>
      </w:r>
    </w:p>
    <w:tbl>
      <w:tblPr>
        <w:tblW w:w="6338" w:type="dxa"/>
        <w:jc w:val="left"/>
        <w:tblInd w:w="0" w:type="dxa"/>
        <w:tblLayout w:type="fixed"/>
        <w:tblCellMar>
          <w:top w:w="28" w:type="dxa"/>
          <w:left w:w="28" w:type="dxa"/>
          <w:bottom w:w="28" w:type="dxa"/>
          <w:right w:w="28" w:type="dxa"/>
        </w:tblCellMar>
      </w:tblPr>
      <w:tblGrid>
        <w:gridCol w:w="1221"/>
        <w:gridCol w:w="1075"/>
        <w:gridCol w:w="1078"/>
        <w:gridCol w:w="211"/>
        <w:gridCol w:w="976"/>
        <w:gridCol w:w="109"/>
        <w:gridCol w:w="109"/>
        <w:gridCol w:w="109"/>
        <w:gridCol w:w="109"/>
        <w:gridCol w:w="211"/>
        <w:gridCol w:w="976"/>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Cash Equivalents, and Investments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approximately $125.7 million of our cash and cash equivalents were domiciled in foreign jurisdictions. We may repatriate foreign earnings to the U.S. in the future to the extent that the repatriation is not restricted by local laws or there are no substantial incremental costs associated with such repatriation.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we entered into a revolving credit agreement (the “Credit Agreement”), which provides for the 2025 Credit Facility in an aggregate principal amount of $300.0 million. At our discretion, it allows flexibility for an uncommitted upsize of the aggregate principal amount of the 2025 Credit Facility or the establishment of incremental term loan facilities, in each case, as further set forth in the Credit Agreement. As of July 31, 2026 and 2025, there were no outstanding borrowings of revolving loans under the 2025 Credit Facility and we were in compliance with related covenants. As of July 31, 2026, there was an outstanding standby letter of credit issued under the 2025 Credit Facility in an immaterial amount.</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2022, our board of directors authorized and approved a share repurchase program of up to $400.0 million of our outstanding common stock. We began repurchasing shares under this program during the first quarter of fiscal year 2023 and completed the program in December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our board of directors authorized and approved a share repurchase program of up to $500.0 million of our outstanding common stock. Share repurchases under this program may be made from time to time, in the open market, in privately negotiated transactions and otherwise, at the discretion of our management and in accordance with applicable federal securities laws, including Rule 10b-18 of the Exchange Act, and other applicable legal requirements. Such repurchases may also be made in compliance with Rule 10b5-1 trading plans entered into by the Company.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July 31, 2026, we repurchased 4,085,350 shares of common stock at an average price of $148.41.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July 31, 2025, we did not repurchase any shares of common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we had $31.9 million available to repurchase shares under the new share repurchase program. In accordance with the Inflation Reduction Act of 2022, we anticipate being subject to excise taxes of approximately $3.1 million related to fiscal year 2026 share repurchases and our share repurchases in the future may be subject to additional excise taxes.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flows from operations are significantly impacted by the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our first fiscal quarter, which is the quarter ending October 31, as we generally pay cash bonuses to our employees for the prior fiscal year and seasonally higher sales commissions from increased customer orders booked in our fourth fiscal quarter of the prior year. We typically generate a significant portion of our annual operating cash flow in our fourth fiscal quarter, which is the quarter ending July 31, due to the significant number of customer agreements with annual billings in that quarter. Additionally, our capital expenditures may fluctuate depending on future office build outs and software development activities subject to capitalization.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and other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and cloud operations efforts, investments in cloud infrastructure, cybersecurity, and operating costs, and expansion into other markets. We also may invest in or acquire complementary businesses, applications or technologies, or may execute on a board-authorized share repurchase program, which may require the use of significant cash resources and/or additional financing.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summary of cash flows for the periods indicated has been derived from our consolidated financial statements included elsewhere in this Annual Report on Form 10-K (in thousands):</w:t>
      </w:r>
    </w:p>
    <w:tbl>
      <w:tblPr>
        <w:tblW w:w="7028" w:type="dxa"/>
        <w:jc w:val="left"/>
        <w:tblInd w:w="0" w:type="dxa"/>
        <w:tblLayout w:type="fixed"/>
        <w:tblCellMar>
          <w:top w:w="28" w:type="dxa"/>
          <w:left w:w="28" w:type="dxa"/>
          <w:bottom w:w="28" w:type="dxa"/>
          <w:right w:w="28" w:type="dxa"/>
        </w:tblCellMar>
      </w:tblPr>
      <w:tblGrid>
        <w:gridCol w:w="1524"/>
        <w:gridCol w:w="1340"/>
        <w:gridCol w:w="1350"/>
        <w:gridCol w:w="211"/>
        <w:gridCol w:w="901"/>
        <w:gridCol w:w="109"/>
        <w:gridCol w:w="109"/>
        <w:gridCol w:w="109"/>
        <w:gridCol w:w="109"/>
        <w:gridCol w:w="211"/>
        <w:gridCol w:w="90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by $88.8 million in fiscal year 2026 as compared to fiscal year 2025. The increase in cash provided by operating activities was primarily attributable to a $91.6 million increase in net income after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impact of non-cash charges such as deferred taxes, stock-based compensation expense, depreciation and amortization expense, loss on retirement of debt, and other non-cash items, offset by an increase of $2.8 million of cash used in working capital activities.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by $101.0 million in fiscal year 2026 as compared to fiscal year 2025. The decrease in cash used in investing activities was primarily due to lower net purchases of available-for-sale securities transactions of $140.5 million, offset by a $12.9 million increase in the acquisition of strategic investments, an increase of $11.1 million in cash paid as purchase consideration for acquisitions, higher capital expenditures and capitalized software development costs of $10.6 million, and a decrease of $4.9 million in proceeds from the sale of strategic investments.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by $661.3 million in fiscal year 2026 as compared to fiscal year 2025. The increase in cash used in financing activities was primarily due to $606.3 million in cash paid for shares repurchased under the authorized and approved share repurchase programs and $3.2 million from lower proceeds from stock option exercises, offset by $26.6 million of proceeds received from the issuance of common stock under the employee stock purchase plan. Additionally, in fiscal year 2025, $613.1 million in net cash was received from the issuance of the 2029 Convertible Senior Notes and purchase of related capped calls, $532.6 million was used for the retirement and maturity of the 2025 Convertible Senior Notes, and $2.1 million was used to establish our revolving credit facility which did not recur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Commitments and Contractual Obligations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estimated future obligations consist of leases, royalties, purchase obligations, debt, and taxes as of July 31, 2026. Refer to Note 7 “Debt,” Note 8 ‘’Leases,’’ Note 9 “Commitments and Contingencies,” and Note 11 “Income Taxes” to our consolidated financial statements included in this Annual Report on Form 10-K for more information.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July 31, 2026,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for changes in interest rates relates primarily to our cash, cash equivalents, and investments. Our cash, cash equivalents, and investments as of July 31, 2026 and 2025 were $1,215.3 million and $1,483.2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U.S., affect the interest earned on our cash, cash equivalents, and investments, and their market value. A hypothetical one percent increase in interest rates is estimated to result in a decrease of $7.4 million and $5.3 million in the market value of our available-for-sale securities as of July 31, 2026 and 2025, respectively. Any realized gains or losses resulting from such interest rate changes would only occur if we sold the investments prior to maturity.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2025 Credit Facility, which was undrawn as of July 31, 2026 and 2025, bears interest at floating rates, including (i) for U.S. Dollar-denominated loans, at our option, either the bank’s base rate plus 0.25% to 1.25% per annum or term SOFR (as defined in the Credit Agreement) plus 1.25% to 2.25% per annum, and (ii) for alternative currency-denominated loans, the applicable alternative currency rate plus 1.25% to 2.25% per annum, with margins determined based on our total net leverage ratio, thus exposing us to potential interest rate fluctuations should we decide to access the facility.</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ARR, and cash flows are subject to fluctuations due to changes in foreign currency exchange rates, particularly changes in the Australian Dollar, British Pound, Canadian Dollar, Euro, Indian Rupee, Japanese Yen, New Zealand Dollar, Polish Zloty, and Swiss Franc, the currency of the locations within which we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periods ended July 31, 2026 and 2025, we recorded a foreign currency loss of $22.5 million and gain of $16.7 million, respectively, as a component of other income (expense) in our consolidated statements of operations primarily due to currency exchange rate fluctuations. We will continue to experience fluctuations in foreign currency exchange rates. If a hypothetical ten percent change in foreign currency exchange rates were to occur in the future, the resulting transaction gain or loss is estimated to be approximately $91.0 million. As our international operations grow, we will continue to assess our approach to managing our risk relating to fluctuations in currency exchange rates. </w:t>
      </w:r>
    </w:p>
    <w:p>
      <w:pPr>
        <w:pStyle w:val="TextBody"/>
        <w:bidi w:val="0"/>
        <w:spacing w:lineRule="auto" w:line="288" w:before="180" w:after="283"/>
        <w:ind w:left="0" w:right="0" w:firstLine="360"/>
        <w:jc w:val="left"/>
        <w:rPr/>
      </w:pPr>
      <w:r>
        <w:rPr>
          <w:rFonts w:ascii="Times New Roman;serif" w:hAnsi="Times New Roman;serif"/>
          <w:b/>
          <w:i/>
          <w:color w:val="000000"/>
          <w:sz w:val="20"/>
        </w:rPr>
        <w:t>Fair Value of Financial Instrument</w:t>
      </w:r>
      <w:r>
        <w:rPr>
          <w:rFonts w:ascii="Times New Roman;serif" w:hAnsi="Times New Roman;serif"/>
          <w:b/>
          <w:color w:val="000000"/>
          <w:sz w:val="20"/>
        </w:rPr>
        <w: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material exposure to market risk with respect to investments in financial instruments, as our investments primarily consist of high-quality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strategic investments in privately held securities are in various classes of equity and convertible debt.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in the value of our investment. All of our investments, particularly those in privately held companies, are therefore subject to a risk of partial or total loss of invested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8.Financial Statements and Supplementary Data</w: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6702" w:type="dxa"/>
        <w:jc w:val="center"/>
        <w:tblInd w:w="0" w:type="dxa"/>
        <w:tblLayout w:type="fixed"/>
        <w:tblCellMar>
          <w:top w:w="28" w:type="dxa"/>
          <w:left w:w="28" w:type="dxa"/>
          <w:bottom w:w="28" w:type="dxa"/>
          <w:right w:w="28" w:type="dxa"/>
        </w:tblCellMar>
      </w:tblPr>
      <w:tblGrid>
        <w:gridCol w:w="2291"/>
        <w:gridCol w:w="2014"/>
        <w:gridCol w:w="2025"/>
        <w:gridCol w:w="109"/>
        <w:gridCol w:w="109"/>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76">
              <w:r>
                <w:rPr>
                  <w:rStyle w:val="InternetLink"/>
                  <w:rFonts w:ascii="Times New Roman;serif" w:hAnsi="Times New Roman;serif"/>
                  <w:b w:val="false"/>
                  <w:color w:val="000080"/>
                  <w:sz w:val="20"/>
                  <w:u w:val="single"/>
                </w:rPr>
                <w:t xml:space="preserve">Report of Independent Registered Public Accounting Firm (PCAOB ID: </w:t>
              </w:r>
            </w:hyperlink>
            <w:r>
              <w:rPr>
                <w:rFonts w:ascii="Times New Roman;serif" w:hAnsi="Times New Roman;serif"/>
                <w:b w:val="false"/>
                <w:color w:val="0000FF"/>
                <w:sz w:val="20"/>
                <w:u w:val="single"/>
              </w:rPr>
              <w:t>185</w:t>
            </w:r>
            <w:hyperlink w:anchor="i8d8975fd09cd414dbd82a30a6a6530aa_76">
              <w:r>
                <w:rPr>
                  <w:rStyle w:val="InternetLink"/>
                  <w:rFonts w:ascii="Times New Roman;serif" w:hAnsi="Times New Roman;serif"/>
                  <w:b w:val="false"/>
                  <w:color w:val="000080"/>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76">
              <w:r>
                <w:rPr>
                  <w:rStyle w:val="InternetLink"/>
                  <w:rFonts w:ascii="Times New Roman;serif" w:hAnsi="Times New Roman;serif"/>
                  <w:b w:val="false"/>
                  <w:color w:val="0033CC"/>
                  <w:sz w:val="20"/>
                  <w:u w:val="single"/>
                </w:rPr>
                <w:t>63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79">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79">
              <w:r>
                <w:rPr>
                  <w:rStyle w:val="InternetLink"/>
                  <w:rFonts w:ascii="Times New Roman;serif" w:hAnsi="Times New Roman;serif"/>
                  <w:b w:val="false"/>
                  <w:color w:val="0033CC"/>
                  <w:sz w:val="20"/>
                  <w:u w:val="single"/>
                </w:rPr>
                <w:t>65</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85">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85">
              <w:r>
                <w:rPr>
                  <w:rStyle w:val="InternetLink"/>
                  <w:rFonts w:ascii="Times New Roman;serif" w:hAnsi="Times New Roman;serif"/>
                  <w:b w:val="false"/>
                  <w:color w:val="0033CC"/>
                  <w:sz w:val="20"/>
                  <w:u w:val="single"/>
                </w:rPr>
                <w:t>66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88">
              <w:r>
                <w:rPr>
                  <w:rStyle w:val="InternetLink"/>
                  <w:rFonts w:ascii="Times New Roman;serif" w:hAnsi="Times New Roman;serif"/>
                  <w:b w:val="false"/>
                  <w:color w:val="0000FF"/>
                  <w:sz w:val="20"/>
                  <w:u w:val="single"/>
                </w:rPr>
                <w:t>Consolidated Statements of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88">
              <w:r>
                <w:rPr>
                  <w:rStyle w:val="InternetLink"/>
                  <w:rFonts w:ascii="Times New Roman;serif" w:hAnsi="Times New Roman;serif"/>
                  <w:b w:val="false"/>
                  <w:color w:val="0033CC"/>
                  <w:sz w:val="20"/>
                  <w:u w:val="single"/>
                </w:rPr>
                <w:t>67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91">
              <w:r>
                <w:rPr>
                  <w:rStyle w:val="InternetLink"/>
                  <w:rFonts w:ascii="Times New Roman;serif" w:hAnsi="Times New Roman;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91">
              <w:r>
                <w:rPr>
                  <w:rStyle w:val="InternetLink"/>
                  <w:rFonts w:ascii="Times New Roman;serif" w:hAnsi="Times New Roman;serif"/>
                  <w:b w:val="false"/>
                  <w:color w:val="0033CC"/>
                  <w:sz w:val="20"/>
                  <w:u w:val="single"/>
                </w:rPr>
                <w:t>68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94">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94">
              <w:r>
                <w:rPr>
                  <w:rStyle w:val="InternetLink"/>
                  <w:rFonts w:ascii="Times New Roman;serif" w:hAnsi="Times New Roman;serif"/>
                  <w:b w:val="false"/>
                  <w:color w:val="0033CC"/>
                  <w:sz w:val="20"/>
                  <w:u w:val="single"/>
                </w:rPr>
                <w:t>69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975fd09cd414dbd82a30a6a6530aa_97">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975fd09cd414dbd82a30a6a6530aa_97">
              <w:r>
                <w:rPr>
                  <w:rStyle w:val="InternetLink"/>
                  <w:rFonts w:ascii="Times New Roman;serif" w:hAnsi="Times New Roman;serif"/>
                  <w:b w:val="false"/>
                  <w:color w:val="0033CC"/>
                  <w:sz w:val="20"/>
                  <w:u w:val="single"/>
                </w:rPr>
                <w:t>71</w:t>
              </w:r>
            </w:hyperlink>
          </w:p>
        </w:tc>
      </w:tr>
    </w:tbl>
    <w:p>
      <w:pPr>
        <w:pStyle w:val="TextBody"/>
        <w:bidi w:val="0"/>
        <w:spacing w:before="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Guidewire Software, Inc.:</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Opinions on the Consolidated Financial Statements and Internal Control Over Financial Reporting </w:t>
      </w:r>
    </w:p>
    <w:p>
      <w:pPr>
        <w:pStyle w:val="TextBody"/>
        <w:bidi w:val="0"/>
        <w:spacing w:lineRule="auto" w:line="288" w:before="0" w:after="200"/>
        <w:jc w:val="both"/>
        <w:rPr/>
      </w:pPr>
      <w:r>
        <w:rPr>
          <w:rFonts w:ascii="Times New Roman;serif" w:hAnsi="Times New Roman;serif"/>
          <w:b w:val="false"/>
          <w:color w:val="000000"/>
          <w:sz w:val="20"/>
        </w:rPr>
        <w:t>We have audited the accompanying consolidated balance sheets of Guidewire Software, Inc. and subsidiaries (the Company) as of July 31, 2026 and 2025, the related consolidated statements of operations, comprehensive income (loss), stockholders’ equity, and cash flows for each of the years in the three-year period ended July 31, 2026, and the related notes (collectively, the consolidated financial statements). We also have audited the Company’s internal control over financial reporting as of July 31, 2026, based on criteria established in</w:t>
      </w:r>
      <w:r>
        <w:rPr>
          <w:color w:val="000000"/>
        </w:rPr>
        <w:t xml:space="preserve">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w:t>
      </w:r>
    </w:p>
    <w:p>
      <w:pPr>
        <w:pStyle w:val="TextBody"/>
        <w:bidi w:val="0"/>
        <w:spacing w:lineRule="auto" w:line="288" w:before="0" w:after="20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July 31, 2026 and 2025, and the results of its operations and its cash flows for each of the years in the three-year period ended July 31, 2026, in conformity with U.S. generally accepted accounting principles. Also in our opinion, the Company maintained, in all material respects, effective internal control over financial reporting as of July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for Opinions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bidi w:val="0"/>
        <w:spacing w:before="0" w:after="0"/>
        <w:jc w:val="left"/>
        <w:rPr/>
      </w:pPr>
      <w:r>
        <w:rPr/>
      </w:r>
    </w:p>
    <w:p>
      <w:pPr>
        <w:pStyle w:val="TextBody"/>
        <w:bidi w:val="0"/>
        <w:spacing w:lineRule="auto" w:line="288" w:before="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Definition and Limitations of Internal Control Over Financial Reporting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Critical Audit Matter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lineRule="auto" w:line="288" w:before="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Evaluation of revenue related to software licensing arrangements and subscriptions to cloud services with non-standard terms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Notes 1 and 2 to the consolidated financial statements, revenue was derived principally from subscriptions to cloud services, software licensing arrangements, and implementation and other professional services. The Company recognized total revenue of $1,475.4 million for the year ended July 31, 2026. The Company’s software licensing arrangements are sold under an initial term and subscriptions to cloud services generally have a five-year term, with a customer option to renew on an annual basis after the initial term. Consideration for subscriptions to cloud services and software licensing arrangements is typically billed in advance on an annual basis over the term.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revenue from subscriptions to cloud services and software licensing arrangements with non-standard terms and conditions as a critical audit matter. Significant auditor judgment was required to evaluate the Company’s assessment of the impact on revenue recognition of non-standard terms and conditions, including, the identification and evaluation of the accounting impact of contract modifications related to software licensing term extensions, and arrangements that provide a customer with the ability to transition from a software licensing arrangement to a subscription to cloud services during the contractual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an internal control related to the critical audit matter. This control is related to the identification and evaluation of subscriptions to cloud services and software licensing arrangements with non-standard terms and conditions. We tested certain subscriptions to cloud services and software licensing arrangements by reading the underlying customer agreements and evaluating the Company’s assessment of the contractual terms and conditions in accordance with revenue recognition requirements. Specifically, this included an evaluation of the Company’s identification and assessment of non-standard terms and conditions that could give rise to special accounting consideration.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Santa Clara,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September 11,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6"/>
        <w:gridCol w:w="2151"/>
        <w:gridCol w:w="2163"/>
        <w:gridCol w:w="211"/>
        <w:gridCol w:w="976"/>
        <w:gridCol w:w="109"/>
        <w:gridCol w:w="109"/>
        <w:gridCol w:w="109"/>
        <w:gridCol w:w="109"/>
        <w:gridCol w:w="211"/>
        <w:gridCol w:w="976"/>
        <w:gridCol w:w="155"/>
      </w:tblGrid>
      <w:tr>
        <w:trPr/>
        <w:tc>
          <w:tcPr>
            <w:tcW w:w="292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$2,379 and $1,166,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share—500,000,000 shares authorized as of July 31, 2026 and 2025; 81,992,467 and 84,530,418 shares issued and outstanding as of July 31, 2026 and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left"/>
        <w:rPr>
          <w:color w:val="000000"/>
        </w:rPr>
      </w:pPr>
      <w:r>
        <w:rPr>
          <w:color w:val="000000"/>
        </w:rPr>
        <w:t> </w:t>
      </w:r>
    </w:p>
    <w:tbl>
      <w:tblPr>
        <w:tblW w:w="9384" w:type="dxa"/>
        <w:jc w:val="left"/>
        <w:tblInd w:w="0" w:type="dxa"/>
        <w:tblLayout w:type="fixed"/>
        <w:tblCellMar>
          <w:top w:w="28" w:type="dxa"/>
          <w:left w:w="28" w:type="dxa"/>
          <w:bottom w:w="28" w:type="dxa"/>
          <w:right w:w="28" w:type="dxa"/>
        </w:tblCellMar>
      </w:tblPr>
      <w:tblGrid>
        <w:gridCol w:w="1845"/>
        <w:gridCol w:w="1628"/>
        <w:gridCol w:w="1642"/>
        <w:gridCol w:w="219"/>
        <w:gridCol w:w="862"/>
        <w:gridCol w:w="109"/>
        <w:gridCol w:w="109"/>
        <w:gridCol w:w="109"/>
        <w:gridCol w:w="109"/>
        <w:gridCol w:w="219"/>
        <w:gridCol w:w="862"/>
        <w:gridCol w:w="109"/>
        <w:gridCol w:w="109"/>
        <w:gridCol w:w="109"/>
        <w:gridCol w:w="109"/>
        <w:gridCol w:w="219"/>
        <w:gridCol w:w="862"/>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 July 31,</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(benefit from)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85,405,177 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85,911,653 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82,291,483 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63"/>
        <w:gridCol w:w="2011"/>
        <w:gridCol w:w="1957"/>
        <w:gridCol w:w="211"/>
        <w:gridCol w:w="826"/>
        <w:gridCol w:w="109"/>
        <w:gridCol w:w="109"/>
        <w:gridCol w:w="109"/>
        <w:gridCol w:w="109"/>
        <w:gridCol w:w="211"/>
        <w:gridCol w:w="721"/>
        <w:gridCol w:w="109"/>
        <w:gridCol w:w="109"/>
        <w:gridCol w:w="109"/>
        <w:gridCol w:w="109"/>
        <w:gridCol w:w="211"/>
        <w:gridCol w:w="667"/>
        <w:gridCol w:w="155"/>
      </w:tblGrid>
      <w:tr>
        <w:trPr/>
        <w:tc>
          <w:tcPr>
            <w:tcW w:w="2363"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 July 31,</w:t>
            </w:r>
          </w:p>
        </w:tc>
      </w:tr>
      <w:tr>
        <w:trPr/>
        <w:tc>
          <w:tcPr>
            <w:tcW w:w="6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 on unrealized gains (losses) on available-for-sale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gains (losses) on available-for-sale securities, included in 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GUIDEWIRE SOFTWARE,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for share data)</w:t>
      </w:r>
    </w:p>
    <w:tbl>
      <w:tblPr>
        <w:tblW w:w="10205" w:type="dxa"/>
        <w:jc w:val="center"/>
        <w:tblInd w:w="0" w:type="dxa"/>
        <w:tblLayout w:type="fixed"/>
        <w:tblCellMar>
          <w:top w:w="28" w:type="dxa"/>
          <w:left w:w="28" w:type="dxa"/>
          <w:bottom w:w="28" w:type="dxa"/>
          <w:right w:w="28" w:type="dxa"/>
        </w:tblCellMar>
      </w:tblPr>
      <w:tblGrid>
        <w:gridCol w:w="1113"/>
        <w:gridCol w:w="488"/>
        <w:gridCol w:w="491"/>
        <w:gridCol w:w="488"/>
        <w:gridCol w:w="488"/>
        <w:gridCol w:w="171"/>
        <w:gridCol w:w="109"/>
        <w:gridCol w:w="109"/>
        <w:gridCol w:w="109"/>
        <w:gridCol w:w="199"/>
        <w:gridCol w:w="260"/>
        <w:gridCol w:w="112"/>
        <w:gridCol w:w="109"/>
        <w:gridCol w:w="109"/>
        <w:gridCol w:w="109"/>
        <w:gridCol w:w="196"/>
        <w:gridCol w:w="886"/>
        <w:gridCol w:w="109"/>
        <w:gridCol w:w="109"/>
        <w:gridCol w:w="109"/>
        <w:gridCol w:w="109"/>
        <w:gridCol w:w="196"/>
        <w:gridCol w:w="690"/>
        <w:gridCol w:w="109"/>
        <w:gridCol w:w="109"/>
        <w:gridCol w:w="109"/>
        <w:gridCol w:w="109"/>
        <w:gridCol w:w="217"/>
        <w:gridCol w:w="998"/>
        <w:gridCol w:w="121"/>
        <w:gridCol w:w="109"/>
        <w:gridCol w:w="109"/>
        <w:gridCol w:w="109"/>
        <w:gridCol w:w="196"/>
        <w:gridCol w:w="886"/>
        <w:gridCol w:w="156"/>
      </w:tblGrid>
      <w:tr>
        <w:trPr/>
        <w:tc>
          <w:tcPr>
            <w:tcW w:w="11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July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81,440,669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1,831,267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(617,950)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1,199,466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1,569,451 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(losses) on available-for-sale securities, net of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adjustment for realized gains (losses) on available-for-sale securities, included in 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July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83,025,637</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1,979,021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(624,053)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1,342,732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1,473,839 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convertible senior notes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related to debt issuance of convertible senior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convertible senior notes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671,202 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capped calls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(697,140)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(losses) on available-for-sale securities,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adjustment for realized gains (losses) on available-for-sale securities, included in 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July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84,530,418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2,020,393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(554,249)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1,457,230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 ("ESPP") and upon exercise of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1,333,619 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 including excise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(4,085,350)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(losses) on available-for-sale securities, net of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adjustment for realized gains (losses) on available-for-sale securities, included in 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July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81,992,467</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2,230,308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(12,233)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(1,024,396)</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1,193,687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6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25"/>
        <w:gridCol w:w="2023"/>
        <w:gridCol w:w="2034"/>
        <w:gridCol w:w="196"/>
        <w:gridCol w:w="736"/>
        <w:gridCol w:w="109"/>
        <w:gridCol w:w="109"/>
        <w:gridCol w:w="109"/>
        <w:gridCol w:w="109"/>
        <w:gridCol w:w="196"/>
        <w:gridCol w:w="736"/>
        <w:gridCol w:w="109"/>
        <w:gridCol w:w="109"/>
        <w:gridCol w:w="109"/>
        <w:gridCol w:w="109"/>
        <w:gridCol w:w="196"/>
        <w:gridCol w:w="736"/>
        <w:gridCol w:w="155"/>
      </w:tblGrid>
      <w:tr>
        <w:trPr/>
        <w:tc>
          <w:tcPr>
            <w:tcW w:w="232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contract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to allowance for credit losses and revenue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 (accretion of discount) on available-for-sale securities,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sale of strategic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strategic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retirement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 affecting 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Unbilled 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employee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and sales of available-for-sale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strategic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strategic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acquired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the retirement of 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the maturity of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revolving credit facility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upon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8546" w:type="dxa"/>
        <w:jc w:val="center"/>
        <w:tblInd w:w="0" w:type="dxa"/>
        <w:tblLayout w:type="fixed"/>
        <w:tblCellMar>
          <w:top w:w="28" w:type="dxa"/>
          <w:left w:w="28" w:type="dxa"/>
          <w:bottom w:w="28" w:type="dxa"/>
          <w:right w:w="28" w:type="dxa"/>
        </w:tblCellMar>
      </w:tblPr>
      <w:tblGrid>
        <w:gridCol w:w="1843"/>
        <w:gridCol w:w="1619"/>
        <w:gridCol w:w="1622"/>
        <w:gridCol w:w="196"/>
        <w:gridCol w:w="646"/>
        <w:gridCol w:w="109"/>
        <w:gridCol w:w="109"/>
        <w:gridCol w:w="109"/>
        <w:gridCol w:w="109"/>
        <w:gridCol w:w="196"/>
        <w:gridCol w:w="646"/>
        <w:gridCol w:w="109"/>
        <w:gridCol w:w="109"/>
        <w:gridCol w:w="109"/>
        <w:gridCol w:w="109"/>
        <w:gridCol w:w="196"/>
        <w:gridCol w:w="556"/>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tax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Accruals for 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Accruals for capitalized software development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Accrual for business acquisition purchase consideration holdback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GUIDEWIRE SOFTWARE,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The Company and Summary of Significant Accounting Policies and Estimates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Company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Guidewire Software, Inc., a Delaware corporation, was incorporated on September 20, 2001. Guidewire Software, Inc., together with its subsidiaries (the “Company”), provides a technology platform which combines core systems of record with digital, analytics, and predictive and generative AI capabilities. The Company’s technology platform supports core insurance operations, including product definition, pricing and rating, underwriting, policy administration, billing, and claims management; insights into data that can improve business decision making; and digital sales, service, and claims experiences for policyholders, agents, and other key stakeholders. The Company’s customers are primarily property and casualty insurance carriers.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generally accepted accounting principles (“GAAP”) in the United States of America (“U.S.”). The consolidated financial statements and notes include the Company and its wholly-owned subsidiaries and reflect all adjustments (all of which are normal and recurring in nature) that, in the opinion of management, are necessary for a fair presentation of the periods presented. All intercompany balances and transactions have been eliminated in consolidation.</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accompanying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and unbilled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chief executive officer is the chief operating decision maker. The Company’s chief executive officer reviews financial information presented on a consolidated basis for purposes of assessing performance and making decisions on how to allocate resources and assess performance. Accordingly, the Company has determined that it operates in a single reportable segment. Since the Company operates in one operating segment, all required financial segment information can be found in the consolidated financial statements and accompanying notes.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Foreign Currency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presented in accumulated other comprehensive income (loss) as a separate component of stockholders’ equity in the accompanying consolidated balance sheets. Transaction gains and losses that arise from exchange rate fluctuations on transactions denominated in a currency other than the functional currency of the recording entity are presented in other income (expense) in the consolidated statements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are comprised of cash and highly liquid investments with remaining maturities of 90 days or less at the date of purchase. Cash equivalents primarily consist of commercial paper and money market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included in the consolidated statements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Investments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determines the appropriate classification of investments at the time of purchase based upon management’s intent with regard to such investments. All investments in the periods presented have been classified as available-for-sale.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Unrealized losses related to the credit worthiness of an investment, if any, are included in other income (expense), net on the consolidated statements of operations.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Equipment, and Software Development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property and equipment are as follows:</w:t>
      </w:r>
    </w:p>
    <w:tbl>
      <w:tblPr>
        <w:tblW w:w="7271" w:type="dxa"/>
        <w:jc w:val="left"/>
        <w:tblInd w:w="0" w:type="dxa"/>
        <w:tblLayout w:type="fixed"/>
        <w:tblCellMar>
          <w:top w:w="28" w:type="dxa"/>
          <w:left w:w="28" w:type="dxa"/>
          <w:bottom w:w="28" w:type="dxa"/>
          <w:right w:w="28" w:type="dxa"/>
        </w:tblCellMar>
      </w:tblPr>
      <w:tblGrid>
        <w:gridCol w:w="1211"/>
        <w:gridCol w:w="1063"/>
        <w:gridCol w:w="1070"/>
        <w:gridCol w:w="109"/>
        <w:gridCol w:w="109"/>
        <w:gridCol w:w="109"/>
        <w:gridCol w:w="1051"/>
        <w:gridCol w:w="1051"/>
        <w:gridCol w:w="1498"/>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machinery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Shorter of 10 years or remaining lease term</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consolidated statements of operations as incurred.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capitalizes software development costs for technology applications that provide new or significantly enhanced functionality that the Company will offer solely as a cloud-based subscription. Capitalized costs are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presented as research and development expense in the consolidated statements of operations. Capitalized software development costs are presented in property and equipment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leases under Accounting Standards Codification Topic 842: Leases (“ASC 842”) issued by the Financial Accounting Standards Board.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non-cancellable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maintenance, and taxes,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consolidated statements of operations in each of the cost of revenue and operating expense categories.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also enter into agreements to sublease unoccupied office space. Any sublease payments received in excess of the straight-line rent expense related to the subleased space are recorded as an offset to operating expenses over the sublease term.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leases are presented in operating lease assets, other current liabilities, and lease liabilities on the consolidated balance sheets.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Impairment of Long-Lived Assets, Intangible Assets, and Goodwill</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 There have been no long-lived asset impairments during the periods presented.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Debt Instruments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2018, the Company issued $400.0 million aggregate principal amount of 1.25% Convertible Senior Notes due March 2025 (the “2025 Convertible Senior Notes”). In October 2024, the Company issued $690.0 million aggregate principal amount of 1.25% Convertible Senior Notes due November 2029 (the “2029 Convertible Senior Notes,” and together with the 2025 Convertible Senior Notes, the “Convertible Senior Notes”).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the Convertible Senior Notes as a liability measured at amortized cost. Debt issuance costs incurred in connection with the issuance of the Convertible Senior Notes are presented in the consolidated balance sheets as a direct deduction from the carrying amount of the outstanding Convertible Senior Notes. These costs are amortized using the effective interest rate method over the terms of the Convertible Senior Notes and are included within interest expense on the consolidated statements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 revolving credit agreement (the “Credit Agreement”) with Bank of America, N.A., as administrative agent and certain other financial institutions from time to time party thereto (with the administrative agent, the “Lenders”), which provides for a senior secured revolving credit facility in an aggregate principal amount of $300.0 million (the “2025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Credit Agreement, the short-term portion of debt issuance costs is presented in prepaid and other current assets and the long-term portion of debt issuance costs is presented in other assets on the consolidated balance sheets. These costs are amortized on a straight-line basis over the term of the Credit Agreement and are included within interest expense on the consolidated statements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consolidated balance sheets are in excess of amounts that are insured by the Federal Deposit Insurance Corporation.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customer individually accounted for 10% or more of the Company’s revenue for the years ended July 31, 2026, 2025, and 2024. For the periods ended July 31, 2026 and 2025, the Company had one customer, which were different customers in each period, which accounted for 10% or more of the Company’s total accounts receivable.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Accounts Receivable and Allowances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recorded at invoiced amounts and do not bear interest. While the Company does not require collateral, the Company performs ongoing credit evaluations of its customers. The Company maintains an allowance for credit losses based upon the expected collectibility of its accounts receivable and unbilled accounts receivable. The expectation of collectibility is based on historical loss patterns, the number of days that billings are past due, and an evaluation of the potential risk of loss associated with delinquent accounts. Credit losses are presented in general and administrative expense while billing and other revenue adjustments are presented in the corresponding revenue financial statement line item in the consolidated statements of operations. </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The core principle of ASC 606 is to recognize revenue upon the transfer of products to customers in an amount that reflects the consideration the Company expects to be entitled to in exchange for those services or products. When using the term “products,” the Company is generally referring to both its subscription services and term license software.</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Identification of the contract, or contracts, with the customer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products to be transferred, the Company can identify the payment terms for the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with the same customer should be combined and accounted for as a single contract. The customer’s ability and intent to pay is based on a variety of factors, including the customer’s historical payment experience or, in the case of a new customer, credit and financial information pertaining to the customer.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products that are distinct from the existing contract and are priced commensurate with their standalone selling price are treated as separate contracts, and are accounted for prospectively. Contract modifications for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Identification of the performance obligation in the contract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obligations promised in a contract are identified based on the services or products that will be transferred to the customer that are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i.capable of being distinct, whereby the customer can benefit from the service or product either on its own or together with other resources that are readily available from the Company or third parties, and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ii.distinct in the context of the contract, whereby the transfer of the services or products is separately identifiable from other promises in the contract.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generates revenue from the following sources, which represent the performance obligations of the Company:</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i.Subscription services related to the Company’s Software-as-a-Service offerings, including hosting;</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ii.Support activities that consist of email and phone support, bug fixes, and unspecified software updates and upgrades released when, and if, available during the support term;</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iii.Self-managed software licenses related to term or perpetual agreements;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iv.Services related to the implementation and configuration of the Company’s products, reimbursable travel, and training.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Subscriptions are typically sold with a five-year initial term, but have been for seven years or more in some contracts, with a customer option to renew on an annual basis after the initial term. Term licenses have an initial term with a customer option to renew on an annual basis after the initial term. Support for term licenses follows the same contract periods. Professional services typically are time and materials contracts that last for an average period of approximately one year. </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Determination of the transaction price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price is determined based on the consideration to which the Company expects to be entitled in exchange for transferring services or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Self-managed software licenses and subscription services may be subject to either fixed or variable installments. Variable installments are generally subject to changes in a customer’s Direct Written Premium (“DWP”) or a customer’s Gross Written Premium (“GWP”), with certain cloud-delivered products priced based on usage and associated resource consumption. When consideration is subject to variable installments, the Company estimates variable consideration using the expected value method based on historical DWP or GWP usage to the extent that a significant revenue reversal is not probable to occur.</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This timing difference can also occur when subscription services have significant ramps in the annual invoice amount over the committed term. A significant financing component generally does not exist under the Company’s standard contracting and billing practices.</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Allocation of the transaction price to the performance obligations in the contract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Some of the Company’s performance obligations, such as support, implementation services, training services, and certain subscription services, have observable inputs that are used to determine the SSP of those distinct performance obligations. Where SSP is not directly observable, the Company determines the SSP using information that may include market conditions and other observable inputs. In circumstances when available information to determine SSP is highly variable or uncertain, such as for term licenses, the Company will use the residual method.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a period of time for self-managed licenses and support, in addition to subscription services, which may require an allocation of the transaction price to each performance obligation. New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migration subscription agreements also typically include implementation, configuration, and training services, which may require an allocation of the transaction price to each performance obligation. </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Recognition of revenue when, or as, the Company satisfies a performance obligation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control of the services or products is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 </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 satisfied at a point in time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 satisfied over a period of time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Subscriptions, support activities, and professional service arrangements comprise the majority of distinct performance obligations that are satisfied over a period of time.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subscription arrangements is recognized ratably over the subscription period using a time-based measure of progress as customers receive the benefits from their subscriptions over the contractually agreed-upon term. Subscription agreements generally have an initial term, with annual renewals thereafter. Consideration for subscription arrangements is typically billed in advance on an annual basis over the contract period and the annual billing may ramp over the contract period.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professional service arrangements is recognized over the service period as the underlying services are performed.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substantially all of the Company’s professional service contracts, services are separately identifiable performance obligations for which related revenue and costs are recognized according to when each service obligation is delivered. The majority of the Company’s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professional services are sold with a self-managed license or subscription arrangement, the Company evaluates whether the performance obligations are distinct or separately identifiable, or whether they constitute a single performance obligation. </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Balance Sheet Presentation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Contracts with customers are reflected in the consolidated balance sheets as follows: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Accounts receivable, net represents amounts billed to customers in accordance with contract terms for which payment has not yet been received. It is presented net of any allowances as part of current assets in the consolidated balance sheets.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Unbilled accounts receivable, net represents amounts that are unbilled due to agreed-upon contractual terms in which billing occurs subsequent to revenue recognition. This situation typically occurs for subscription agreements with ramped billing schedules, which could result in unbilled accounts receivable in the early years of the committed term. This situation also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consolidated balance sheets. This balance represents contract assets.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Contract costs include contract acquisition costs, which consist primarily of sales commissions and related payroll taxes paid to sales personnel and referral fees paid to third-parties, and costs to fulfill a contract, which consist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primarily of royalties payable to third-party software providers that support both the Company’s software offerings and support services. The short-term portion is presented as prepaid and other current assets. The long-term portion is presented as other assets.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Deferred costs represent costs related to the Company’s professional services that have been deferred to align with revenue recognition. The short-term portion is presented as prepaid and other current assets. The long-term portion is presented as other assets.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Deferred revenue, net represents amounts that have been invoiced and for which the Company has the right to bill, but that have not been recognized as revenue because the related services or products have not been transferred to the customer. Deferred revenue consists primarily of subscriptions and support services that are billed annually in advance but recognized over time. Deferred revenue that will be realized during the 12-month period following the date of the consolidated balance sheets is presented as current. The remaining deferred revenue is presented as non-current. These balances represent contract liabilities.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receive consideration from its customers in advance of performance on a portion of the contract, thereby creating a contractual liability, and, on another portion of the contract, perform in advance of receiving consideration, thereby creating a contractual asset.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pStyle w:val="TextBody"/>
        <w:bidi w:val="0"/>
        <w:spacing w:lineRule="auto" w:line="288" w:before="180" w:after="283"/>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Contract costs consist of two components: contract acquisition costs and costs to fulfill a contract.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consolidated balance sheets and the anticipated amortization date of the associated costs. Capitalized contract acquisition costs related to software licenses, subscriptions, and support services are amortized over the anticipated period in which the benefit is expected to be received, which the Company estimates to be approximately five years. The amortization of contract acquisition costs is presented as a sales and marketing expense in the consolidated statement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contract acquisition costs. The amortization of fulfillment costs is presented as a cost of revenue in the consolidated statement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Warranties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generally provides a warranty for its software services and products to its customers for periods ranging from three to 12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products or services. Warranty expense has been insignificant to date.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Advertising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amounts incurred were less than $0.4 million during the years ended July 31, 2026, 2025, and 2024, respectively.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The Company has granted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time-based RSUs and performance-based restricted stock units (“PSUs”). RSUs and PSUs are collectively referred to as “Stock Awards.” In December 2024, the Company’s stockholders approved the 2024 Employee Stock Purchase Plan at the Company’s annual meeting of stockholders.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RSUs and PSUs is equal to the market value of the Company’s common stock on the date of grant. These awards are subject to time-based vesting, which generally occurs over a period of three to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performance conditions using the graded vesting method and a portion of the expense may fluctuate depending on changing estimates of the achievement of the performance conditions.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stock options and ESPP purchase rights is estimated at the grant date using the Black-Scholes option-pricing model. Stock options are subject to time-based vesting, which generally occurs over a period of two years. The Company recognizes compensation expense for stock options and ESPP purchase rights that contain only service conditions on a straight-line basis over the requisite service period, which is generally the vesting period of the respective stock options and each offering period of the ESPP purchase rights. The inputs used in the Black-Scholes option-pricing model, which are subjective and generally require significant judgment to determine, include:</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Expected Term — </w:t>
      </w:r>
      <w:r>
        <w:rPr>
          <w:rFonts w:ascii="Times New Roman;serif" w:hAnsi="Times New Roman;serif"/>
          <w:b w:val="false"/>
          <w:color w:val="000000"/>
          <w:sz w:val="20"/>
        </w:rPr>
        <w:t>The expected term represents the period that the stock-based awards are expected to be outstanding. For stock options, the Company uses the simplified method to determine its expected term because of its limited history of stock option exercise activity. The simplified method calculates the expected term as the average of the time-to-vesting and the contractual life of the options. For the ESPP purchase rights, the Company uses the length of each offering period, which is approximately 0.5 years.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Expected Volatility — </w:t>
      </w:r>
      <w:r>
        <w:rPr>
          <w:rFonts w:ascii="Times New Roman;serif" w:hAnsi="Times New Roman;serif"/>
          <w:b w:val="false"/>
          <w:color w:val="000000"/>
          <w:sz w:val="20"/>
        </w:rPr>
        <w:t>The expected volatility is derived from the historical volatility of the Company’s common stock.</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Risk-Free Interest Rate — </w:t>
      </w:r>
      <w:r>
        <w:rPr>
          <w:rFonts w:ascii="Times New Roman;serif" w:hAnsi="Times New Roman;serif"/>
          <w:b w:val="false"/>
          <w:color w:val="000000"/>
          <w:sz w:val="20"/>
        </w:rPr>
        <w:t>The risk-free interest rate is based on the U.S. Treasury yield curve in effect at the time of grant for zero coupon U.S. Treasury notes with maturities approximately equal to the expected term of the options and the offering period of each ESPP purchase rights.</w:t>
      </w:r>
    </w:p>
    <w:p>
      <w:pPr>
        <w:pStyle w:val="TextBody"/>
        <w:bidi w:val="0"/>
        <w:spacing w:lineRule="auto" w:line="288" w:before="180" w:after="283"/>
        <w:ind w:left="0" w:right="0" w:firstLine="360"/>
        <w:jc w:val="both"/>
        <w:rPr/>
      </w:pPr>
      <w:r>
        <w:rPr>
          <w:rFonts w:ascii="Times New Roman;serif" w:hAnsi="Times New Roman;serif"/>
          <w:b w:val="false"/>
          <w:i/>
          <w:color w:val="000000"/>
          <w:sz w:val="20"/>
        </w:rPr>
        <w:t xml:space="preserve">Expected Dividend — </w:t>
      </w:r>
      <w:r>
        <w:rPr>
          <w:rFonts w:ascii="Times New Roman;serif" w:hAnsi="Times New Roman;serif"/>
          <w:b w:val="false"/>
          <w:color w:val="000000"/>
          <w:sz w:val="20"/>
        </w:rPr>
        <w:t>The expected dividend is zero, as the Company has never paid dividends and has no expectations to do so.</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U.S. and foreign countries; state taxes; foreign withholding taxes; certain non-deductible expenses, including executive compensation; acquisition-related expenses; and provisions under H.R. 1 setting new deduction rates for global intangible low-taxed income and foreign-derived intangible income (“FDII”) while also revising the base erosion anti-abuse tax (“BEAT”).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interest and penalties related to unrecognized tax benefits as income tax expense in its consolidated statement of operations.</w:t>
      </w:r>
    </w:p>
    <w:p>
      <w:pPr>
        <w:pStyle w:val="TextBody"/>
        <w:bidi w:val="0"/>
        <w:spacing w:lineRule="auto" w:line="288" w:before="2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Adopted Pronouncements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Company adopted the standard for its annual reporting effective August 1, 2025, on a prospective basis. While the standard requires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disclosures related to the Company’s tax rate, adoption of the standard did not have any impact on the consolidated operating results, financial condition, or cash flows.</w:t>
      </w:r>
    </w:p>
    <w:p>
      <w:pPr>
        <w:pStyle w:val="TextBody"/>
        <w:bidi w:val="0"/>
        <w:spacing w:lineRule="auto" w:line="288" w:before="2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which requires public business entities to disclose qualitative and quantitative information about certain costs and expenses in the notes to the financial statements on an interim and annual basis. The new standard will be effective and the Company will adopt it for the annual period beginning August 1, 2027, and for the interim periods beginning after August 1, 2028. Upon adoption, the guidance can be applied prospectively or retrospectively. The adoption of this ASU will impact the Company’s disclosures.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Income Statement—Reporting Financial Instruments-Credit Losses (Subtopic 326-20): Measurement of Credit Losses for Accounts Receivable and Contract Assets, which provides a practical expedient for all entities related to the estimation of expected credit losses for current accounts receivable and current contract assets that arise from transactions accounted for under ASC 606. The new standard will be effective and the Company will adopt it beginning August 1, 2026 on a prospective basis. The adoption of this standard will not have a material impact on the consolidated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which removes all references to prescriptive and sequential software development stages to increase the operability of applying the guidance to software costs incurred in an iterative development environment. The new standard will be effective and the Company will adopt it beginning August 1, 2028. Upon adoption, the guidance can be applied using a prospective, retrospective, or modified transition approach. The Company is currently assessing the impact of adopting this standard on the consolidated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recent accounting pronouncements that will be applicable to the Company are not expected to have a material impact on its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270"/>
        <w:jc w:val="left"/>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2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by product type is as follows (in thousands):</w:t>
      </w:r>
    </w:p>
    <w:tbl>
      <w:tblPr>
        <w:tblW w:w="6596" w:type="dxa"/>
        <w:jc w:val="left"/>
        <w:tblInd w:w="0" w:type="dxa"/>
        <w:tblLayout w:type="fixed"/>
        <w:tblCellMar>
          <w:top w:w="28" w:type="dxa"/>
          <w:left w:w="28" w:type="dxa"/>
          <w:bottom w:w="28" w:type="dxa"/>
          <w:right w:w="28" w:type="dxa"/>
        </w:tblCellMar>
      </w:tblPr>
      <w:tblGrid>
        <w:gridCol w:w="783"/>
        <w:gridCol w:w="687"/>
        <w:gridCol w:w="689"/>
        <w:gridCol w:w="211"/>
        <w:gridCol w:w="976"/>
        <w:gridCol w:w="109"/>
        <w:gridCol w:w="109"/>
        <w:gridCol w:w="109"/>
        <w:gridCol w:w="109"/>
        <w:gridCol w:w="211"/>
        <w:gridCol w:w="976"/>
        <w:gridCol w:w="109"/>
        <w:gridCol w:w="109"/>
        <w:gridCol w:w="109"/>
        <w:gridCol w:w="109"/>
        <w:gridCol w:w="211"/>
        <w:gridCol w:w="82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 July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License</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3"/>
        </w:rPr>
      </w:pPr>
      <w:r>
        <w:rPr>
          <w:rFonts w:ascii="Times New Roman;serif" w:hAnsi="Times New Roman;serif"/>
          <w:b w:val="false"/>
          <w:color w:val="000000"/>
          <w:sz w:val="13"/>
        </w:rPr>
        <w:t>(1) During the fiscal year ended July 31, 2026, no perpetual license revenue was recognized. License revenue for the fiscal years ended July 31, 2025 and 2024 includes perpetual license revenue of $0.1 million and $1.3 million,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by product type and by geography is as follows (in thousands):</w:t>
      </w:r>
    </w:p>
    <w:tbl>
      <w:tblPr>
        <w:tblW w:w="8198" w:type="dxa"/>
        <w:jc w:val="center"/>
        <w:tblInd w:w="0" w:type="dxa"/>
        <w:tblLayout w:type="fixed"/>
        <w:tblCellMar>
          <w:top w:w="28" w:type="dxa"/>
          <w:left w:w="28" w:type="dxa"/>
          <w:bottom w:w="28" w:type="dxa"/>
          <w:right w:w="28" w:type="dxa"/>
        </w:tblCellMar>
      </w:tblPr>
      <w:tblGrid>
        <w:gridCol w:w="492"/>
        <w:gridCol w:w="431"/>
        <w:gridCol w:w="442"/>
        <w:gridCol w:w="407"/>
        <w:gridCol w:w="1600"/>
        <w:gridCol w:w="212"/>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July 31, 2026</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641,004 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780,853 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EMEA</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970,885 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8198" w:type="dxa"/>
        <w:jc w:val="left"/>
        <w:tblInd w:w="0" w:type="dxa"/>
        <w:tblLayout w:type="fixed"/>
        <w:tblCellMar>
          <w:top w:w="28" w:type="dxa"/>
          <w:left w:w="28" w:type="dxa"/>
          <w:bottom w:w="28" w:type="dxa"/>
          <w:right w:w="28" w:type="dxa"/>
        </w:tblCellMar>
      </w:tblPr>
      <w:tblGrid>
        <w:gridCol w:w="492"/>
        <w:gridCol w:w="431"/>
        <w:gridCol w:w="442"/>
        <w:gridCol w:w="407"/>
        <w:gridCol w:w="1600"/>
        <w:gridCol w:w="212"/>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July 31, 2025</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485,593 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595,115 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EMEA</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84,991 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731,296 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48" w:type="dxa"/>
        <w:jc w:val="left"/>
        <w:tblInd w:w="0" w:type="dxa"/>
        <w:tblLayout w:type="fixed"/>
        <w:tblCellMar>
          <w:top w:w="28" w:type="dxa"/>
          <w:left w:w="28" w:type="dxa"/>
          <w:bottom w:w="28" w:type="dxa"/>
          <w:right w:w="28" w:type="dxa"/>
        </w:tblCellMar>
      </w:tblPr>
      <w:tblGrid>
        <w:gridCol w:w="492"/>
        <w:gridCol w:w="431"/>
        <w:gridCol w:w="442"/>
        <w:gridCol w:w="407"/>
        <w:gridCol w:w="1600"/>
        <w:gridCol w:w="21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July 31, 2024</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373,675 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457,098 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EMEA</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549,087 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country or region other than those listed above accounted for more than 10% of revenue during the fiscal years ended July 31, 2026, 2025, and 2024.</w:t>
      </w:r>
    </w:p>
    <w:p>
      <w:pPr>
        <w:pStyle w:val="TextBody"/>
        <w:bidi w:val="0"/>
        <w:spacing w:lineRule="auto" w:line="288" w:before="2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Customer Contract – Related Balance Sheet Amounts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Amounts related to customer contract-related arrangements are included on the consolidated balance sheets as follows (in thousands):</w:t>
      </w:r>
    </w:p>
    <w:tbl>
      <w:tblPr>
        <w:tblW w:w="5696" w:type="dxa"/>
        <w:jc w:val="center"/>
        <w:tblInd w:w="0" w:type="dxa"/>
        <w:tblLayout w:type="fixed"/>
        <w:tblCellMar>
          <w:top w:w="28" w:type="dxa"/>
          <w:left w:w="28" w:type="dxa"/>
          <w:bottom w:w="28" w:type="dxa"/>
          <w:right w:w="28" w:type="dxa"/>
        </w:tblCellMar>
      </w:tblPr>
      <w:tblGrid>
        <w:gridCol w:w="1026"/>
        <w:gridCol w:w="902"/>
        <w:gridCol w:w="907"/>
        <w:gridCol w:w="229"/>
        <w:gridCol w:w="898"/>
        <w:gridCol w:w="118"/>
        <w:gridCol w:w="109"/>
        <w:gridCol w:w="109"/>
        <w:gridCol w:w="109"/>
        <w:gridCol w:w="228"/>
        <w:gridCol w:w="895"/>
        <w:gridCol w:w="166"/>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acquisition costs, net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to fulfill a contract, net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Unbilled accounts receivable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Unbilled accounts receivable, net increased by $9.2 million primarily due to the impact of subscription orders with ramped billing schedules where billings occur later than revenue recognition, and to a lesser extent, the timing of billing on certain services projects.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there was no allowance for credit losses associated with unbilled accounts receivable.</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Contract acquisition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portion of contract acquisition costs of $24.2 million and $21.1 million is included in prepaid and other current assets on the consolidated balance sheets as of July 31, 2026 and 2025, respectively. The non-current portion of contract acquisition costs of $55.2 million and $46.8 million is included in other assets on the consolidated balance sheets as of July 31, 2026 and 2025, respectively. The Company amortized $22.8 million, $20.1 million, and $17.8 million of contract acquisition costs during the fiscal years ended July 31, 2026,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Costs to fulfill a contract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portion of costs to fulfill a contract of $6.9 million and $5.9 million is included in prepaid and other current assets in the consolidated balance sheets as of July 31, 2026 and 2025, respectively. The non-current portion of costs to fulfill a contract of $5.4 million and $3.5 million is included in other assets in the consolidated balance sheets as of July 31, 2026 and 2025, respectively. The Company amortized $12.2 million, $10.8 million, and $10.6 million of costs to fulfill a contract during the fiscal years ended July 31, 2026, 2025, and 2024, respectively.</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July 31, 2026, the Company recognized revenue of $337.9 million related to the Company’s gross deferred revenue balance as of July 31, 2025.</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amount of consideration allocated to remaining performance obligations either not satisfied or partially satisfied, was approximately $4.3 billion as of July 31, 2026. Support services and professional services are generally satisfied within one year. Professional services under time and material contracts are not included in the remaining performance obligations calculation as these arrangements can be cancelled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Available-for-sale investments within cash equivalents and investments consist of the following (in thousands): </w:t>
      </w:r>
    </w:p>
    <w:tbl>
      <w:tblPr>
        <w:tblW w:w="9639" w:type="dxa"/>
        <w:jc w:val="center"/>
        <w:tblInd w:w="0" w:type="dxa"/>
        <w:tblLayout w:type="fixed"/>
        <w:tblCellMar>
          <w:top w:w="28" w:type="dxa"/>
          <w:left w:w="28" w:type="dxa"/>
          <w:bottom w:w="28" w:type="dxa"/>
          <w:right w:w="28" w:type="dxa"/>
        </w:tblCellMar>
      </w:tblPr>
      <w:tblGrid>
        <w:gridCol w:w="1065"/>
        <w:gridCol w:w="935"/>
        <w:gridCol w:w="939"/>
        <w:gridCol w:w="211"/>
        <w:gridCol w:w="976"/>
        <w:gridCol w:w="109"/>
        <w:gridCol w:w="109"/>
        <w:gridCol w:w="109"/>
        <w:gridCol w:w="109"/>
        <w:gridCol w:w="361"/>
        <w:gridCol w:w="800"/>
        <w:gridCol w:w="189"/>
        <w:gridCol w:w="109"/>
        <w:gridCol w:w="109"/>
        <w:gridCol w:w="109"/>
        <w:gridCol w:w="288"/>
        <w:gridCol w:w="943"/>
        <w:gridCol w:w="148"/>
        <w:gridCol w:w="109"/>
        <w:gridCol w:w="109"/>
        <w:gridCol w:w="109"/>
        <w:gridCol w:w="266"/>
        <w:gridCol w:w="1234"/>
        <w:gridCol w:w="19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1,041,345 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39" w:type="dxa"/>
        <w:jc w:val="left"/>
        <w:tblInd w:w="0" w:type="dxa"/>
        <w:tblLayout w:type="fixed"/>
        <w:tblCellMar>
          <w:top w:w="28" w:type="dxa"/>
          <w:left w:w="28" w:type="dxa"/>
          <w:bottom w:w="28" w:type="dxa"/>
          <w:right w:w="28" w:type="dxa"/>
        </w:tblCellMar>
      </w:tblPr>
      <w:tblGrid>
        <w:gridCol w:w="1065"/>
        <w:gridCol w:w="935"/>
        <w:gridCol w:w="939"/>
        <w:gridCol w:w="211"/>
        <w:gridCol w:w="976"/>
        <w:gridCol w:w="109"/>
        <w:gridCol w:w="109"/>
        <w:gridCol w:w="109"/>
        <w:gridCol w:w="109"/>
        <w:gridCol w:w="361"/>
        <w:gridCol w:w="800"/>
        <w:gridCol w:w="189"/>
        <w:gridCol w:w="109"/>
        <w:gridCol w:w="109"/>
        <w:gridCol w:w="109"/>
        <w:gridCol w:w="359"/>
        <w:gridCol w:w="834"/>
        <w:gridCol w:w="186"/>
        <w:gridCol w:w="109"/>
        <w:gridCol w:w="109"/>
        <w:gridCol w:w="109"/>
        <w:gridCol w:w="266"/>
        <w:gridCol w:w="1234"/>
        <w:gridCol w:w="19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1,327,251 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180" w:after="283"/>
        <w:ind w:left="0" w:right="0" w:firstLine="36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Company does not consider any portion of the unrealized losses at </w:t>
      </w:r>
      <w:r>
        <w:rPr>
          <w:rFonts w:ascii="Times New Roman;serif" w:hAnsi="Times New Roman;serif"/>
          <w:b w:val="false"/>
          <w:color w:val="000000"/>
          <w:sz w:val="20"/>
        </w:rPr>
        <w:t>July 31, 2026</w:t>
      </w:r>
      <w:r>
        <w:rPr>
          <w:color w:val="000000"/>
          <w:shd w:fill="FFFFFF" w:val="clear"/>
        </w:rPr>
        <w:t xml:space="preserve"> </w:t>
      </w:r>
      <w:r>
        <w:rPr>
          <w:rFonts w:ascii="Times New Roman;serif" w:hAnsi="Times New Roman;serif"/>
          <w:b w:val="false"/>
          <w:color w:val="000000"/>
          <w:sz w:val="20"/>
          <w:shd w:fill="FFFFFF" w:val="clear"/>
        </w:rPr>
        <w:t xml:space="preserve">to be credit losses. The Company has recorded the securities at fair value in its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other income (expense), net on the consolidated statements of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available-for-sale investments measured at fair value (in thousands):</w:t>
      </w:r>
    </w:p>
    <w:tbl>
      <w:tblPr>
        <w:tblW w:w="8279" w:type="dxa"/>
        <w:jc w:val="left"/>
        <w:tblInd w:w="0" w:type="dxa"/>
        <w:tblLayout w:type="fixed"/>
        <w:tblCellMar>
          <w:top w:w="28" w:type="dxa"/>
          <w:left w:w="28" w:type="dxa"/>
          <w:bottom w:w="28" w:type="dxa"/>
          <w:right w:w="28" w:type="dxa"/>
        </w:tblCellMar>
      </w:tblPr>
      <w:tblGrid>
        <w:gridCol w:w="1065"/>
        <w:gridCol w:w="935"/>
        <w:gridCol w:w="939"/>
        <w:gridCol w:w="301"/>
        <w:gridCol w:w="1179"/>
        <w:gridCol w:w="155"/>
        <w:gridCol w:w="109"/>
        <w:gridCol w:w="109"/>
        <w:gridCol w:w="109"/>
        <w:gridCol w:w="315"/>
        <w:gridCol w:w="1233"/>
        <w:gridCol w:w="162"/>
        <w:gridCol w:w="109"/>
        <w:gridCol w:w="109"/>
        <w:gridCol w:w="109"/>
        <w:gridCol w:w="211"/>
        <w:gridCol w:w="97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462,223 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applies the three-level valuation hierarchy when measuring the fair value of certain assets and liabilities: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1—Unadjusted quoted prices in active markets for identical assets or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within Level 1 that are observable, unadjusted quoted prices in markets that are not active, or other inputs that are observable or can be corroborated by observable market data;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3—Unobservable inputs that are supported by little or no market activity, which require the Company to develop its own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Available-for-sale investments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available-for-sale investments measured at fair value, by level within the fair value hierarchy (in thousands):</w:t>
      </w:r>
    </w:p>
    <w:tbl>
      <w:tblPr>
        <w:tblW w:w="8389" w:type="dxa"/>
        <w:jc w:val="left"/>
        <w:tblInd w:w="0" w:type="dxa"/>
        <w:tblLayout w:type="fixed"/>
        <w:tblCellMar>
          <w:top w:w="28" w:type="dxa"/>
          <w:left w:w="28" w:type="dxa"/>
          <w:bottom w:w="28" w:type="dxa"/>
          <w:right w:w="28" w:type="dxa"/>
        </w:tblCellMar>
      </w:tblPr>
      <w:tblGrid>
        <w:gridCol w:w="1063"/>
        <w:gridCol w:w="936"/>
        <w:gridCol w:w="94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976"/>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short-term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152" w:type="dxa"/>
        <w:jc w:val="center"/>
        <w:tblInd w:w="0" w:type="dxa"/>
        <w:tblLayout w:type="fixed"/>
        <w:tblCellMar>
          <w:top w:w="28" w:type="dxa"/>
          <w:left w:w="28" w:type="dxa"/>
          <w:bottom w:w="28" w:type="dxa"/>
          <w:right w:w="28" w:type="dxa"/>
        </w:tblCellMar>
      </w:tblPr>
      <w:tblGrid>
        <w:gridCol w:w="1063"/>
        <w:gridCol w:w="937"/>
        <w:gridCol w:w="940"/>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976"/>
        <w:gridCol w:w="109"/>
        <w:gridCol w:w="109"/>
        <w:gridCol w:w="109"/>
        <w:gridCol w:w="109"/>
        <w:gridCol w:w="109"/>
        <w:gridCol w:w="109"/>
        <w:gridCol w:w="109"/>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2025, the Company completed its acquisition of a Poland-based insurtech company specializing in dynamic pricing software, for net cash consideration of approximately $27.9 million, subject to transaction adjustments. The measurement period for the Company’s acquisition ended on April 15, 2026, and the final allocation of the purchase consideration included goodwill of $21.4 million.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2025, the Company completed its acquisition of a Canada-based knowledge management platform purpose-built for the P&amp;C insurance industry, for net cash consideration of approximately $33.4 million subject to customary transaction adjustments. The preliminary allocation of the purchase price included goodwill of $26.1 million primarily related to the expected synergies from the acquired workforce, and the opportunity to sell into and expand the Company’s customer base. The goodwill recorded is not expected to be deductible for income tax purposes. The preliminary allocation of purchase price is pending the resolution of certain post-closing matters, and is therefore subject to potential future measurement period adjustments. The measurement period will end no later than November 6, 2026.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the purchase price allocation for the acquired companies, the Company determined that the separately identifiable intangible assets were acquired technology and customer relationships. The valuation models were based on estimates of future operating projections of the acquired companies and rights to sell new products containing the acquired technology, as well as judgments on the discount rates used and other variables. The Company developed forecasts based on a number of factors, including future revenue and operating cost projections, a discount rate that is representative of the weighted average cost of capital, and royalty and long-term sustainable growth rates based on a market analysis. These fair value measurements were based on significant inputs that were not observable in the market and thus represents a Level 3 measurement.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forma and historical financial information has not been provided as the acquisitions entered into during the years presented were not material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6684" w:type="dxa"/>
        <w:jc w:val="left"/>
        <w:tblInd w:w="0" w:type="dxa"/>
        <w:tblLayout w:type="fixed"/>
        <w:tblCellMar>
          <w:top w:w="28" w:type="dxa"/>
          <w:left w:w="28" w:type="dxa"/>
          <w:bottom w:w="28" w:type="dxa"/>
          <w:right w:w="28" w:type="dxa"/>
        </w:tblCellMar>
      </w:tblPr>
      <w:tblGrid>
        <w:gridCol w:w="1457"/>
        <w:gridCol w:w="1279"/>
        <w:gridCol w:w="1284"/>
        <w:gridCol w:w="211"/>
        <w:gridCol w:w="826"/>
        <w:gridCol w:w="109"/>
        <w:gridCol w:w="109"/>
        <w:gridCol w:w="109"/>
        <w:gridCol w:w="109"/>
        <w:gridCol w:w="211"/>
        <w:gridCol w:w="82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and revenue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left"/>
        <w:rPr/>
      </w:pPr>
      <w:r>
        <w:rPr/>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011" w:type="dxa"/>
        <w:jc w:val="left"/>
        <w:tblInd w:w="0" w:type="dxa"/>
        <w:tblLayout w:type="fixed"/>
        <w:tblCellMar>
          <w:top w:w="28" w:type="dxa"/>
          <w:left w:w="28" w:type="dxa"/>
          <w:bottom w:w="28" w:type="dxa"/>
          <w:right w:w="28" w:type="dxa"/>
        </w:tblCellMar>
      </w:tblPr>
      <w:tblGrid>
        <w:gridCol w:w="1250"/>
        <w:gridCol w:w="1095"/>
        <w:gridCol w:w="1105"/>
        <w:gridCol w:w="222"/>
        <w:gridCol w:w="759"/>
        <w:gridCol w:w="114"/>
        <w:gridCol w:w="109"/>
        <w:gridCol w:w="109"/>
        <w:gridCol w:w="109"/>
        <w:gridCol w:w="221"/>
        <w:gridCol w:w="757"/>
        <w:gridCol w:w="161"/>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receivables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5905" w:type="dxa"/>
        <w:jc w:val="left"/>
        <w:tblInd w:w="0" w:type="dxa"/>
        <w:tblLayout w:type="fixed"/>
        <w:tblCellMar>
          <w:top w:w="28" w:type="dxa"/>
          <w:left w:w="28" w:type="dxa"/>
          <w:bottom w:w="28" w:type="dxa"/>
          <w:right w:w="28" w:type="dxa"/>
        </w:tblCellMar>
      </w:tblPr>
      <w:tblGrid>
        <w:gridCol w:w="1211"/>
        <w:gridCol w:w="1063"/>
        <w:gridCol w:w="1070"/>
        <w:gridCol w:w="222"/>
        <w:gridCol w:w="759"/>
        <w:gridCol w:w="114"/>
        <w:gridCol w:w="109"/>
        <w:gridCol w:w="109"/>
        <w:gridCol w:w="109"/>
        <w:gridCol w:w="221"/>
        <w:gridCol w:w="757"/>
        <w:gridCol w:w="161"/>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machinery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property and equipment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July 31, 2025, the Company entered into a revolving credit agreement, guaranteed by its material domestic subsidiaries and secured by a security interest in substantially all of the assets of the Company and each guarantor, including certain property and equipment, subject to customary exclusions. See “Note 7—Debt—Revolving Credit Facility” for further information.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excluding the amortization of capitalized software development costs, was $8.8 million, $7.2 million and $6.9 million for the fiscal years ended July 31, 2026, 2025, and 2024,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amortization of capitalized software development costs in cost of subscription and support revenue on the consolidated statements of operations of $14.4 million, $13.0 million, and $11.6 million during the fiscal years ended July 31, 2026, 2025, and 2024, respectively.</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 and Intangible Assets, Net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were as follows (in thousands):</w:t>
      </w:r>
    </w:p>
    <w:tbl>
      <w:tblPr>
        <w:tblW w:w="4878" w:type="dxa"/>
        <w:jc w:val="left"/>
        <w:tblInd w:w="0" w:type="dxa"/>
        <w:tblLayout w:type="fixed"/>
        <w:tblCellMar>
          <w:top w:w="28" w:type="dxa"/>
          <w:left w:w="28" w:type="dxa"/>
          <w:bottom w:w="28" w:type="dxa"/>
          <w:right w:w="28" w:type="dxa"/>
        </w:tblCellMar>
      </w:tblPr>
      <w:tblGrid>
        <w:gridCol w:w="1217"/>
        <w:gridCol w:w="1067"/>
        <w:gridCol w:w="1076"/>
        <w:gridCol w:w="109"/>
        <w:gridCol w:w="109"/>
        <w:gridCol w:w="109"/>
        <w:gridCol w:w="211"/>
        <w:gridCol w:w="82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assets are amortized over their estimated useful lives. Intangible assets consist of the following (in thousands):</w:t>
      </w:r>
    </w:p>
    <w:tbl>
      <w:tblPr>
        <w:tblW w:w="10975" w:type="dxa"/>
        <w:jc w:val="center"/>
        <w:tblInd w:w="0" w:type="dxa"/>
        <w:tblLayout w:type="fixed"/>
        <w:tblCellMar>
          <w:top w:w="28" w:type="dxa"/>
          <w:left w:w="28" w:type="dxa"/>
          <w:bottom w:w="28" w:type="dxa"/>
          <w:right w:w="28" w:type="dxa"/>
        </w:tblCellMar>
      </w:tblPr>
      <w:tblGrid>
        <w:gridCol w:w="501"/>
        <w:gridCol w:w="334"/>
        <w:gridCol w:w="336"/>
        <w:gridCol w:w="490"/>
        <w:gridCol w:w="490"/>
        <w:gridCol w:w="491"/>
        <w:gridCol w:w="109"/>
        <w:gridCol w:w="109"/>
        <w:gridCol w:w="109"/>
        <w:gridCol w:w="211"/>
        <w:gridCol w:w="721"/>
        <w:gridCol w:w="109"/>
        <w:gridCol w:w="109"/>
        <w:gridCol w:w="109"/>
        <w:gridCol w:w="109"/>
        <w:gridCol w:w="219"/>
        <w:gridCol w:w="748"/>
        <w:gridCol w:w="114"/>
        <w:gridCol w:w="109"/>
        <w:gridCol w:w="109"/>
        <w:gridCol w:w="109"/>
        <w:gridCol w:w="211"/>
        <w:gridCol w:w="721"/>
        <w:gridCol w:w="109"/>
        <w:gridCol w:w="109"/>
        <w:gridCol w:w="109"/>
        <w:gridCol w:w="109"/>
        <w:gridCol w:w="211"/>
        <w:gridCol w:w="721"/>
        <w:gridCol w:w="109"/>
        <w:gridCol w:w="109"/>
        <w:gridCol w:w="109"/>
        <w:gridCol w:w="109"/>
        <w:gridCol w:w="219"/>
        <w:gridCol w:w="748"/>
        <w:gridCol w:w="114"/>
        <w:gridCol w:w="109"/>
        <w:gridCol w:w="109"/>
        <w:gridCol w:w="109"/>
        <w:gridCol w:w="211"/>
        <w:gridCol w:w="721"/>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$6.7 million, $5.4 million, and $5.5 million during the years ended July 31, 2026, 2025, and 2024, respectively. The future amortization expense for existing intangible assets as of July 31, 2026, based on their current useful lives,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3950" w:type="dxa"/>
        <w:jc w:val="left"/>
        <w:tblInd w:w="0" w:type="dxa"/>
        <w:tblLayout w:type="fixed"/>
        <w:tblCellMar>
          <w:top w:w="28" w:type="dxa"/>
          <w:left w:w="28" w:type="dxa"/>
          <w:bottom w:w="28" w:type="dxa"/>
          <w:right w:w="28" w:type="dxa"/>
        </w:tblCellMar>
      </w:tblPr>
      <w:tblGrid>
        <w:gridCol w:w="1036"/>
        <w:gridCol w:w="912"/>
        <w:gridCol w:w="916"/>
        <w:gridCol w:w="211"/>
        <w:gridCol w:w="721"/>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 July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assets consist of the following (in thousands):</w:t>
      </w:r>
    </w:p>
    <w:tbl>
      <w:tblPr>
        <w:tblW w:w="4420" w:type="dxa"/>
        <w:jc w:val="left"/>
        <w:tblInd w:w="0" w:type="dxa"/>
        <w:tblLayout w:type="fixed"/>
        <w:tblCellMar>
          <w:top w:w="28" w:type="dxa"/>
          <w:left w:w="28" w:type="dxa"/>
          <w:bottom w:w="28" w:type="dxa"/>
          <w:right w:w="28" w:type="dxa"/>
        </w:tblCellMar>
      </w:tblPr>
      <w:tblGrid>
        <w:gridCol w:w="674"/>
        <w:gridCol w:w="590"/>
        <w:gridCol w:w="595"/>
        <w:gridCol w:w="222"/>
        <w:gridCol w:w="759"/>
        <w:gridCol w:w="114"/>
        <w:gridCol w:w="109"/>
        <w:gridCol w:w="109"/>
        <w:gridCol w:w="109"/>
        <w:gridCol w:w="221"/>
        <w:gridCol w:w="757"/>
        <w:gridCol w:w="161"/>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other assets include strategic investments in privately held companies in which the Company does not have a controlling interest or the ability to exert significant influence. The strategic investments consist of non-marketable equity securities that do not have readily determinable market values (Level 3), which are recorded using the measurement alternative at cost less impairment and adjusts cost for subsequent observable changes in fair value, and an investment in a limited partnership, which is recorded using the net asset value practical expedient (Level 3) in accordance with ASC 820. Changes in fair value are included in other income (expense), net on the consolidated statements of operations.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invested $14.6 million, $1.8 million, and $1.3 million in new strategic investments during the fiscal years ended July 31, 2026, 2025, and 2024, respectively.</w:t>
      </w:r>
    </w:p>
    <w:p>
      <w:pPr>
        <w:pStyle w:val="TextBody"/>
        <w:bidi w:val="0"/>
        <w:spacing w:before="0" w:after="0"/>
        <w:ind w:left="0" w:right="0" w:firstLine="495"/>
        <w:jc w:val="both"/>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unrealized and realized gains (losses) on strategic investments (in thousands):</w:t>
      </w:r>
    </w:p>
    <w:p>
      <w:pPr>
        <w:pStyle w:val="TextBody"/>
        <w:bidi w:val="0"/>
        <w:spacing w:before="0" w:after="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2304"/>
        <w:gridCol w:w="1972"/>
        <w:gridCol w:w="1984"/>
        <w:gridCol w:w="109"/>
        <w:gridCol w:w="109"/>
        <w:gridCol w:w="109"/>
        <w:gridCol w:w="211"/>
        <w:gridCol w:w="616"/>
        <w:gridCol w:w="109"/>
        <w:gridCol w:w="109"/>
        <w:gridCol w:w="109"/>
        <w:gridCol w:w="109"/>
        <w:gridCol w:w="211"/>
        <w:gridCol w:w="670"/>
        <w:gridCol w:w="109"/>
        <w:gridCol w:w="109"/>
        <w:gridCol w:w="109"/>
        <w:gridCol w:w="109"/>
        <w:gridCol w:w="211"/>
        <w:gridCol w:w="670"/>
        <w:gridCol w:w="157"/>
      </w:tblGrid>
      <w:tr>
        <w:trPr/>
        <w:tc>
          <w:tcPr>
            <w:tcW w:w="2304"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6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(losses), net, recognized on privately held equity securities measured using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recognized on strategic investments using the 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Impairments of strategic investments using the 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(losses), net on sales of strategic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the Company’s strategic investments (in thousands):</w:t>
      </w:r>
    </w:p>
    <w:p>
      <w:pPr>
        <w:pStyle w:val="TextBody"/>
        <w:bidi w:val="0"/>
        <w:spacing w:before="0" w:after="0"/>
        <w:ind w:left="0" w:right="0" w:firstLine="495"/>
        <w:jc w:val="both"/>
        <w:rPr/>
      </w:pPr>
      <w:r>
        <w:rPr/>
      </w:r>
    </w:p>
    <w:tbl>
      <w:tblPr>
        <w:tblW w:w="7076" w:type="dxa"/>
        <w:jc w:val="left"/>
        <w:tblInd w:w="0" w:type="dxa"/>
        <w:tblLayout w:type="fixed"/>
        <w:tblCellMar>
          <w:top w:w="28" w:type="dxa"/>
          <w:left w:w="28" w:type="dxa"/>
          <w:bottom w:w="28" w:type="dxa"/>
          <w:right w:w="28" w:type="dxa"/>
        </w:tblCellMar>
      </w:tblPr>
      <w:tblGrid>
        <w:gridCol w:w="1637"/>
        <w:gridCol w:w="1435"/>
        <w:gridCol w:w="1443"/>
        <w:gridCol w:w="222"/>
        <w:gridCol w:w="759"/>
        <w:gridCol w:w="114"/>
        <w:gridCol w:w="109"/>
        <w:gridCol w:w="109"/>
        <w:gridCol w:w="109"/>
        <w:gridCol w:w="221"/>
        <w:gridCol w:w="757"/>
        <w:gridCol w:w="161"/>
      </w:tblGrid>
      <w:tr>
        <w:trPr/>
        <w:tc>
          <w:tcPr>
            <w:tcW w:w="163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investments using the measurement alternative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investment using net asset value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investment at original cost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Employee Compensation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employee compensation consists of the following (in thousands):</w:t>
      </w:r>
    </w:p>
    <w:tbl>
      <w:tblPr>
        <w:tblW w:w="5663" w:type="dxa"/>
        <w:jc w:val="left"/>
        <w:tblInd w:w="0" w:type="dxa"/>
        <w:tblLayout w:type="fixed"/>
        <w:tblCellMar>
          <w:top w:w="28" w:type="dxa"/>
          <w:left w:w="28" w:type="dxa"/>
          <w:bottom w:w="28" w:type="dxa"/>
          <w:right w:w="28" w:type="dxa"/>
        </w:tblCellMar>
      </w:tblPr>
      <w:tblGrid>
        <w:gridCol w:w="1086"/>
        <w:gridCol w:w="951"/>
        <w:gridCol w:w="962"/>
        <w:gridCol w:w="211"/>
        <w:gridCol w:w="826"/>
        <w:gridCol w:w="109"/>
        <w:gridCol w:w="109"/>
        <w:gridCol w:w="109"/>
        <w:gridCol w:w="109"/>
        <w:gridCol w:w="211"/>
        <w:gridCol w:w="82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payroll taxes,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employee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 of the following (in thousands):</w:t>
      </w:r>
    </w:p>
    <w:tbl>
      <w:tblPr>
        <w:tblW w:w="4570" w:type="dxa"/>
        <w:jc w:val="left"/>
        <w:tblInd w:w="0" w:type="dxa"/>
        <w:tblLayout w:type="fixed"/>
        <w:tblCellMar>
          <w:top w:w="28" w:type="dxa"/>
          <w:left w:w="28" w:type="dxa"/>
          <w:bottom w:w="28" w:type="dxa"/>
          <w:right w:w="28" w:type="dxa"/>
        </w:tblCellMar>
      </w:tblPr>
      <w:tblGrid>
        <w:gridCol w:w="727"/>
        <w:gridCol w:w="640"/>
        <w:gridCol w:w="642"/>
        <w:gridCol w:w="222"/>
        <w:gridCol w:w="759"/>
        <w:gridCol w:w="114"/>
        <w:gridCol w:w="109"/>
        <w:gridCol w:w="109"/>
        <w:gridCol w:w="109"/>
        <w:gridCol w:w="221"/>
        <w:gridCol w:w="757"/>
        <w:gridCol w:w="16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6. Net Income (Loss) Per Share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basic earnings per share by dividing the net income (loss) by the weighted average number of shares of common stock outstanding for the period. For calculating diluted earnings per share, the Company uses the treasury stock method for options to purchase common stock, Stock Awards, and ESPP purchase rights, and the if-converted method for the Convertible Senior Notes.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income (loss) per share for the fiscal years ended July 31, 2026, 2025, and 2024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145"/>
        <w:gridCol w:w="1891"/>
        <w:gridCol w:w="1899"/>
        <w:gridCol w:w="219"/>
        <w:gridCol w:w="862"/>
        <w:gridCol w:w="109"/>
        <w:gridCol w:w="109"/>
        <w:gridCol w:w="109"/>
        <w:gridCol w:w="109"/>
        <w:gridCol w:w="244"/>
        <w:gridCol w:w="837"/>
        <w:gridCol w:w="109"/>
        <w:gridCol w:w="109"/>
        <w:gridCol w:w="109"/>
        <w:gridCol w:w="109"/>
        <w:gridCol w:w="270"/>
        <w:gridCol w:w="811"/>
        <w:gridCol w:w="155"/>
      </w:tblGrid>
      <w:tr>
        <w:trPr/>
        <w:tc>
          <w:tcPr>
            <w:tcW w:w="214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5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stock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the ESPP purchase rights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85,405,177 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85,911,653 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82,291,483 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93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93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93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weighted average shares of potential common stock were excluded from the computation of diluted net income (loss) per share for the periods presented because including them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5978" w:type="dxa"/>
        <w:jc w:val="left"/>
        <w:tblInd w:w="0" w:type="dxa"/>
        <w:tblLayout w:type="fixed"/>
        <w:tblCellMar>
          <w:top w:w="28" w:type="dxa"/>
          <w:left w:w="28" w:type="dxa"/>
          <w:bottom w:w="28" w:type="dxa"/>
          <w:right w:w="28" w:type="dxa"/>
        </w:tblCellMar>
      </w:tblPr>
      <w:tblGrid>
        <w:gridCol w:w="764"/>
        <w:gridCol w:w="673"/>
        <w:gridCol w:w="677"/>
        <w:gridCol w:w="413"/>
        <w:gridCol w:w="413"/>
        <w:gridCol w:w="156"/>
        <w:gridCol w:w="136"/>
        <w:gridCol w:w="136"/>
        <w:gridCol w:w="136"/>
        <w:gridCol w:w="360"/>
        <w:gridCol w:w="361"/>
        <w:gridCol w:w="156"/>
        <w:gridCol w:w="136"/>
        <w:gridCol w:w="136"/>
        <w:gridCol w:w="136"/>
        <w:gridCol w:w="488"/>
        <w:gridCol w:w="488"/>
        <w:gridCol w:w="21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3,763,725 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purchase rights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July 31, 2026 and 2025, the average market price of the Company’s common stock did not exceed the initial conversion price of the 2029 Convertible Senior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July 31, 2025, there was no dilutive effect on net income (loss) per share due to maturity and settlement of the outstanding principal balance of the 2025 Convertible Senior Notes. During the fiscal year ended July 31, 2024, the average market price of the Company’s common stock did not exceed the initial conversion price of the 2025 Convertible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2025 Convertible Senior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fiscal year 2025, the Company retired $220.9 million aggregate principal amount and $0.3 million of related debt issuance costs of the 2025 Convertible Senior Notes for $354.0 million in cash, which included related accrued interest of $0.5 million. The retirement resulted in expense of $53.6 million recorded in other income (expense), net on the consolidated statements of operations and a decrease to additional paid-in capital of $79.4 million on the consolidated balance sheets.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2025 Convertible Senior Notes matured on March 15, 2025 and were fully settled in fiscal year 2025 as disclosed in the Company’s Annual Report on Form 10-K for the fiscal year ended July 31, 2025.</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2029 Convertible Senior Notes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2029 Convertible Senior Notes were issued in accordance with the Indenture, dated as of October 18, 2024, between the Company and U.S. Bank Trust Company, National Association, as trustee (the “2029 Indenture”). The net proceeds from the issuance of the 2029 Convertible Senior Notes were $671.8 million after deducting issuance costs.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2029 Convertible Senior Notes are unsecured obligations of the Company with interest payable semi-annually in arrears, at a rate of 1.25% per year, on May 1st and November 1st of each year. The 2029 Convertible Senior Notes will mature on November 1, 2029 unless repurchased, redeemed, or converted prior to such date. Before August 1, 2029, holders of the 2029 Convertible Senior Notes will have the right to convert their 2029 Convertible Senior Notes only upon the occurrence of certain events. On or after August 1, 2029, the 2029 Convertible Senior Notes are convertible at any time at the election of holders until the close of business on the second scheduled trading day immediately preceding the maturity date. The 2029 Convertible Senior Notes will have an initial conversion rate of 4.0875 shares of common stock per $1,000 principal (equivalent to an initial conversion price of approximately $244.65 per share of the Company’s common stock). The conversion rate is subject to customary adjustments upon the occurrence of certain events but will not be adjusted for any accrued and unpaid interest. The consideration due upon conversion will consist of cash, up to at least the proportional amount of the principal amount being converted, and any excess of the proportional conversion value for that trading day that will not be settled in cash will be settled in shares of the Company’s common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redeem the 2029 Convertible Senior Notes, at its option, on or after November 5, 2027 and on or before the 20th scheduled trading day immediately before the maturity date, at a redemption price equal to 100% of the principal amount thereof, plus accrued and unpaid interest if (i) the 2029 Convertible Senior Notes are “Freely Tradable” (as defined in the 2029 Indenture) as of the date the Company sends the related redemption notice, and all accrued and unpaid additional interest, if any, has been paid in full, as of the most recent interest payment date occurring on or before the date the Company sends the related redemption notice; and (ii) the last reported sale price of the Company’s common stock has been at least 130% of the conversion price on (1) each of at least 20 trading days, whether or not consecutive, during the 30 consecutive trading day period ending on, and including, the trading day immediately preceding the date on which the Company provides notice of redemption; and (2) the trading day immediately preceding the date on which the Company provides notice of redemption. No sinking fund is required to be provided for the 2029 Convertible Senior Notes. Upon the occurrence of a fundamental change (as defined in the 2029 Indenture) prior to the maturity date, holders may require the Company to repurchase all or a portion of the 2029 Convertible Senior Notes for cash at a price equal to 100% of the principal amount of the notes to be repurchased, plus any accrued and unpaid interest to, but excluding, the fundamental change repurchase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2029 Convertible Senior Notes rank senior in right of payment to any of the Company’s indebtedness that is expressly subordinated in right of payment to the 2029 Convertible Senior Notes, and equal in right of payment to any of its indebtedness that is not so subordinated. The 2029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2029 Convertible Senior Notes was $709.9 million and $795.0 million at July 31, 2026 and 2025, respectively.</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Company’s discretion, the Credit Agreement allows flexibility for an uncommitted upsize of the aggregate principal amount of the 2025 Credit Facility or the establishment of incremental term loan facilities, in each case, as further set forth in the Credit Agreement.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loans under the 2025 Credit Facility bear interest (i) for U.S. Dollar-denominated loans, at the Company’s option, at either (a) the bank’s base rate, plus an applicable margin ranging from 0.25% to 1.25% per annum, or (b) a term SOFR (as defined in the Credit Agreement), plus an applicable margin ranging from 1.25% to 2.25% per annum, and (ii) for alternative currency-denominated loans, at the applicable alternative currency exchange rate (whether a daily rate or a term rate), plus an applicable margin ranging from 1.25% to 2.25% per annum, in each case, such applicable margins to be determined based on the Company’s total net leverage ratio.</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paying interest on the outstanding principal under the 2025 Credit Facility, the Company is required to pay (i) a commitment fee ranging from 0.175% to 0.30% per annum, to be determined based on the Company’s total net leverage ratio, on the actual daily unused amount of each Lender’s commitment under the 2025 Credit Facility, (ii) a letter of credit fronting fee of 0.125% per annum of the daily amount available to be drawn under outstanding letters of credit, and (iii) certain other customary fees and expenses of the Lenders and agents.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covenants, including, but not limited to, restrictions on the Company’s ability to merge and consolidate with other companies, dispose of assets, incur indebtedness, or grant liens or other security interests on assets, in each case, subject to certain customary exceptions. The financial covenants require as of the end of each fiscal quarter that (a) the Company has a minimum consolidated net cash interest coverage ratio of 3.00:1.00 and (b) the Company does not exceed a maximum total net leverage ratio of 3.75:1.00. The maximum total net leverage ratio is subject to a step-up by 0.50:1.00 at the election of the Company for four fiscal quarters following certain material acquisitions, subject to certain customary exceptions.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covenants as of July 31, 2026 and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2025 Credit Facility has a scheduled maturity of December 2, 2029; provided that the Credit Agreement provides for a maturity date of 91 days prior to the earlier maturity date of any individual or related series of other indebtedness with an aggregate outstanding principal amount that exceeds the greater of (x) $107.5 million and (y) 50% of Consolidated EBITDA (as defined in the Credit Agreement) as of the most recent four fiscal quarter period preceding such 91st day for which financial statements were required to be delivered pursuant to the Credit Agreement, unless the Company maintains either (a) a total net leverage ratio lower than 2.00:1.00 or (b) liquidity greater than 125% of the aggregate outstanding principal amount of such indebtedness.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and certain material ERISA (as defined in the Credit Agreement) events, in each case, subject to certain customary exceptions and grace periods. During the continuance of an event of default, the Lenders may take a number of actions, including, among others, declaring the entire aggregate amount then outstanding under the 2025 Credit Facility to be due and payable.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Credit Agreement are required to be guaranteed by the Company’s material domestic subsidiaries. The Company’s obligations under the Credit Agreement are secured by a security interest in substantially all of the assets of the Company and each guarantor. Revolving loans may be prepaid, and revolving loan commitments may be permanently reduced by the Company in whole or in part, without penalty or premium.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there were no outstanding borrowings of revolving loans under the 2025 Credit Facility. As of July 31, 2026, there was an outstanding standby letter of credit issued under the 2025 Credit Facility in an immaterial amount.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the unamortized debt issuance costs for the 2025 Credit Facility were $1.4 million and $1.8 million, respectively.</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Net Carrying Value of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value of the 2029 Convertible Senior Notes was as follows (in thousands):</w:t>
      </w:r>
    </w:p>
    <w:tbl>
      <w:tblPr>
        <w:tblW w:w="7210" w:type="dxa"/>
        <w:jc w:val="left"/>
        <w:tblInd w:w="0" w:type="dxa"/>
        <w:tblLayout w:type="fixed"/>
        <w:tblCellMar>
          <w:top w:w="28" w:type="dxa"/>
          <w:left w:w="28" w:type="dxa"/>
          <w:bottom w:w="28" w:type="dxa"/>
          <w:right w:w="28" w:type="dxa"/>
        </w:tblCellMar>
      </w:tblPr>
      <w:tblGrid>
        <w:gridCol w:w="1577"/>
        <w:gridCol w:w="1382"/>
        <w:gridCol w:w="1390"/>
        <w:gridCol w:w="229"/>
        <w:gridCol w:w="898"/>
        <w:gridCol w:w="118"/>
        <w:gridCol w:w="109"/>
        <w:gridCol w:w="109"/>
        <w:gridCol w:w="109"/>
        <w:gridCol w:w="228"/>
        <w:gridCol w:w="895"/>
        <w:gridCol w:w="166"/>
      </w:tblGrid>
      <w:tr>
        <w:trPr/>
        <w:tc>
          <w:tcPr>
            <w:tcW w:w="15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convertible senior notes - principal amount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 of debt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674,568 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convertible senior notes,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convertible senior notes,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678,094 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674,568 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of the 2029 Convertible Senior Notes was 1.8%. The if-converted value of the 2029 Convertible Senior Notes did not exceed the outstanding principal as of July 31, 2026.</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 on Debt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interest expense recognized related to our debt, consisting of our Convertible Senior Notes and the 2025 Credit Facility (in thousands):</w:t>
      </w:r>
    </w:p>
    <w:tbl>
      <w:tblPr>
        <w:tblW w:w="6716" w:type="dxa"/>
        <w:jc w:val="center"/>
        <w:tblInd w:w="0" w:type="dxa"/>
        <w:tblLayout w:type="fixed"/>
        <w:tblCellMar>
          <w:top w:w="28" w:type="dxa"/>
          <w:left w:w="28" w:type="dxa"/>
          <w:bottom w:w="28" w:type="dxa"/>
          <w:right w:w="28" w:type="dxa"/>
        </w:tblCellMar>
      </w:tblPr>
      <w:tblGrid>
        <w:gridCol w:w="1085"/>
        <w:gridCol w:w="954"/>
        <w:gridCol w:w="960"/>
        <w:gridCol w:w="211"/>
        <w:gridCol w:w="721"/>
        <w:gridCol w:w="109"/>
        <w:gridCol w:w="109"/>
        <w:gridCol w:w="109"/>
        <w:gridCol w:w="109"/>
        <w:gridCol w:w="211"/>
        <w:gridCol w:w="72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 transactions related to the 2025 Convertible Senior Notes were fully settled in March 2025 in connection with the maturity and settlement of the 2025 Convertible Senior Notes as disclosed in the Company’s Annual Report on Form 10-K for the fiscal year ended July 31, 2025.</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2029 Convertible Senior Notes, the Company purchased capped calls with certain financial institutions pursuant to capped call confirmations (collectively the “Capped Calls”). The initial strike price of the Capped Calls corresponds to the initial conversion price of the 2029 Convertible Senior Notes.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2029 Convertible Senior Notes. The Capped Calls are subject to either adjustment or termination upon the occurrence of specified extraordinary events affecting the Company, including a merger event, a tender offer, and a nationalization, insolvency or delisting involving the Company. Additionally, the Capped Calls are subject to certain specified additional disruption events that may give rise to a termination of the Capped Calls, including changes in law, insolvency filings, and hedging disruptions. The Capped Calls were recorded in the period purchased as a reduction of the Company’s additional paid-in capital in the accompanying consolidated balance sheets and are not accounted for as derivatives.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below sets forth key terms and costs incurred for the capped calls related to each of the Convertible Senior Notes (in millions, except per share amounts):</w:t>
      </w:r>
    </w:p>
    <w:tbl>
      <w:tblPr>
        <w:tblW w:w="10205" w:type="dxa"/>
        <w:jc w:val="left"/>
        <w:tblInd w:w="0" w:type="dxa"/>
        <w:tblLayout w:type="fixed"/>
        <w:tblCellMar>
          <w:top w:w="28" w:type="dxa"/>
          <w:left w:w="28" w:type="dxa"/>
          <w:bottom w:w="28" w:type="dxa"/>
          <w:right w:w="28" w:type="dxa"/>
        </w:tblCellMar>
      </w:tblPr>
      <w:tblGrid>
        <w:gridCol w:w="1992"/>
        <w:gridCol w:w="1746"/>
        <w:gridCol w:w="1750"/>
        <w:gridCol w:w="440"/>
        <w:gridCol w:w="1504"/>
        <w:gridCol w:w="227"/>
        <w:gridCol w:w="109"/>
        <w:gridCol w:w="109"/>
        <w:gridCol w:w="109"/>
        <w:gridCol w:w="430"/>
        <w:gridCol w:w="1472"/>
        <w:gridCol w:w="317"/>
      </w:tblGrid>
      <w:tr>
        <w:trPr/>
        <w:tc>
          <w:tcPr>
            <w:tcW w:w="1992"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Convertible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Convertible Senior Notes</w:t>
            </w:r>
          </w:p>
        </w:tc>
      </w:tr>
      <w:tr>
        <w:trPr/>
        <w:tc>
          <w:tcPr>
            <w:tcW w:w="5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strike price per share, subject to certain adjustments</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cap price per share, subject to certain adjustments</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 incurred (in millions)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covered, subject to anti-dilution adjustments (in millions)</w:t>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March 2025 settlement of the 2025 Convertible Senior Notes, the Company received 697,140 gross shares of common stock from the settlement of the capped calls related to the 2025 Convertible Senior Notes. These shares received from the settlement of such capped calls offset the 671,202 shares issued to holders of the 2025 Convertible Senior Notes upon maturity. As a result, the Company received 25,938 net shares, which were retired, resulting in a decrease in the Company’s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2023, the Company assigned the remaining lease term of its previous headquarters and concurrently entered into a sublease for office space in San Mateo, California with the same third party for its worldwide headquarters. The lease on the previous headquarters expires in 2029.</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operating lease costs were as follows (in thousands):</w:t>
      </w:r>
    </w:p>
    <w:tbl>
      <w:tblPr>
        <w:tblW w:w="6132" w:type="dxa"/>
        <w:jc w:val="left"/>
        <w:tblInd w:w="0" w:type="dxa"/>
        <w:tblLayout w:type="fixed"/>
        <w:tblCellMar>
          <w:top w:w="28" w:type="dxa"/>
          <w:left w:w="28" w:type="dxa"/>
          <w:bottom w:w="28" w:type="dxa"/>
          <w:right w:w="28" w:type="dxa"/>
        </w:tblCellMar>
      </w:tblPr>
      <w:tblGrid>
        <w:gridCol w:w="836"/>
        <w:gridCol w:w="734"/>
        <w:gridCol w:w="740"/>
        <w:gridCol w:w="211"/>
        <w:gridCol w:w="721"/>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08" w:before="0" w:after="0"/>
              <w:jc w:val="left"/>
              <w:rPr/>
            </w:pPr>
            <w:r>
              <w:rPr>
                <w:rFonts w:ascii="Times New Roman;serif" w:hAnsi="Times New Roman;serif"/>
                <w:b w:val="false"/>
                <w:color w:val="000000"/>
                <w:sz w:val="20"/>
              </w:rPr>
              <w:t xml:space="preserve">Operating lease costs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color w:val="000000"/>
              </w:rPr>
            </w:pPr>
            <w:r>
              <w:rPr>
                <w:color w:val="000000"/>
              </w:rPr>
              <w:t>   </w:t>
            </w:r>
            <w:r>
              <w:rPr>
                <w:rFonts w:ascii="Times New Roman;serif" w:hAnsi="Times New Roman;serif"/>
                <w:b w:val="false"/>
                <w:color w:val="000000"/>
                <w:sz w:val="20"/>
              </w:rPr>
              <w:t>Net operating 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Lease expense for leases with an initial term of 12 months or less is excluded from the table above and was $0.4 million, $0.9 million, and $0.8 million in each of the fiscal years ended July 31, 2026, 2025, and 2024,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operating lease payments as of July 31, 2026 were as follows (in thousands):</w:t>
      </w:r>
    </w:p>
    <w:tbl>
      <w:tblPr>
        <w:tblW w:w="3485" w:type="dxa"/>
        <w:jc w:val="left"/>
        <w:tblInd w:w="0" w:type="dxa"/>
        <w:tblLayout w:type="fixed"/>
        <w:tblCellMar>
          <w:top w:w="28" w:type="dxa"/>
          <w:left w:w="28" w:type="dxa"/>
          <w:bottom w:w="28" w:type="dxa"/>
          <w:right w:w="28" w:type="dxa"/>
        </w:tblCellMar>
      </w:tblPr>
      <w:tblGrid>
        <w:gridCol w:w="868"/>
        <w:gridCol w:w="764"/>
        <w:gridCol w:w="767"/>
        <w:gridCol w:w="211"/>
        <w:gridCol w:w="721"/>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 July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40,095 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36,893 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related to leases was as follows (in thousands, except for lease term and discount rate):</w:t>
      </w:r>
    </w:p>
    <w:tbl>
      <w:tblPr>
        <w:tblW w:w="6059" w:type="dxa"/>
        <w:jc w:val="left"/>
        <w:tblInd w:w="0" w:type="dxa"/>
        <w:tblLayout w:type="fixed"/>
        <w:tblCellMar>
          <w:top w:w="28" w:type="dxa"/>
          <w:left w:w="28" w:type="dxa"/>
          <w:bottom w:w="28" w:type="dxa"/>
          <w:right w:w="28" w:type="dxa"/>
        </w:tblCellMar>
      </w:tblPr>
      <w:tblGrid>
        <w:gridCol w:w="1412"/>
        <w:gridCol w:w="1240"/>
        <w:gridCol w:w="1248"/>
        <w:gridCol w:w="212"/>
        <w:gridCol w:w="194"/>
        <w:gridCol w:w="483"/>
        <w:gridCol w:w="109"/>
        <w:gridCol w:w="109"/>
        <w:gridCol w:w="109"/>
        <w:gridCol w:w="216"/>
        <w:gridCol w:w="190"/>
        <w:gridCol w:w="537"/>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34,404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39,309</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11,687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10,438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lease liabilities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25,206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30,687</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36,893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41,125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83" w:type="dxa"/>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37" w:type="dxa"/>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and non-cash information related to operating leases was as follows (in thousands):</w:t>
      </w:r>
    </w:p>
    <w:tbl>
      <w:tblPr>
        <w:tblW w:w="9882" w:type="dxa"/>
        <w:jc w:val="left"/>
        <w:tblInd w:w="0" w:type="dxa"/>
        <w:tblLayout w:type="fixed"/>
        <w:tblCellMar>
          <w:top w:w="28" w:type="dxa"/>
          <w:left w:w="28" w:type="dxa"/>
          <w:bottom w:w="28" w:type="dxa"/>
          <w:right w:w="28" w:type="dxa"/>
        </w:tblCellMar>
      </w:tblPr>
      <w:tblGrid>
        <w:gridCol w:w="2192"/>
        <w:gridCol w:w="1931"/>
        <w:gridCol w:w="1937"/>
        <w:gridCol w:w="211"/>
        <w:gridCol w:w="721"/>
        <w:gridCol w:w="109"/>
        <w:gridCol w:w="109"/>
        <w:gridCol w:w="109"/>
        <w:gridCol w:w="109"/>
        <w:gridCol w:w="211"/>
        <w:gridCol w:w="721"/>
        <w:gridCol w:w="109"/>
        <w:gridCol w:w="109"/>
        <w:gridCol w:w="109"/>
        <w:gridCol w:w="109"/>
        <w:gridCol w:w="211"/>
        <w:gridCol w:w="721"/>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11,561 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contractual obligations and commitments as of July 31, 2026 are as follows (in thousands):</w:t>
      </w:r>
    </w:p>
    <w:tbl>
      <w:tblPr>
        <w:tblW w:w="7714" w:type="dxa"/>
        <w:jc w:val="left"/>
        <w:tblInd w:w="0" w:type="dxa"/>
        <w:tblLayout w:type="fixed"/>
        <w:tblCellMar>
          <w:top w:w="28" w:type="dxa"/>
          <w:left w:w="28" w:type="dxa"/>
          <w:bottom w:w="28" w:type="dxa"/>
          <w:right w:w="28" w:type="dxa"/>
        </w:tblCellMar>
      </w:tblPr>
      <w:tblGrid>
        <w:gridCol w:w="868"/>
        <w:gridCol w:w="764"/>
        <w:gridCol w:w="767"/>
        <w:gridCol w:w="109"/>
        <w:gridCol w:w="109"/>
        <w:gridCol w:w="348"/>
        <w:gridCol w:w="1362"/>
        <w:gridCol w:w="179"/>
        <w:gridCol w:w="109"/>
        <w:gridCol w:w="109"/>
        <w:gridCol w:w="109"/>
        <w:gridCol w:w="211"/>
        <w:gridCol w:w="826"/>
        <w:gridCol w:w="109"/>
        <w:gridCol w:w="109"/>
        <w:gridCol w:w="109"/>
        <w:gridCol w:w="109"/>
        <w:gridCol w:w="211"/>
        <w:gridCol w:w="976"/>
        <w:gridCol w:w="221"/>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Purchase commitments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Debt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ending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226,694 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63,725 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694,905 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283,701 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1,003,888 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Purchase commitments represent royalty obligations and commitments to purchase goods and services, entered into in the ordinary course of business, for which a penalty could be imposed if the agreement was cancelled for any reason other than an event of default as described by the agreement. During fiscal year 2023, the Company entered into an agreement with a cloud infrastructure services provider for a total obligation of $600 million over a five-year period. Purchase commitments do not include lease obligations (refer to Note 8 “Leases” for future operating lease payments).</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 xml:space="preserve">Debt consists of principal and interest payments on the Company’s 2029 Convertible Senior Notes. The $690 million in principal will be due in the fiscal year ended July 31, 2030. </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and receives claims, arising from the normal course of business activities. The Company has not recorded any accrual for claims as of July 31, 2026 and 2025, respectively. The Company has not accrued for estimated losses in the accompanying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not had to reimburse any of its customers for Losses related to indemnification provisions and no material claims against the Company were outstanding as of July 31, 2026 and 2025.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10. Stock-Based Compensation Expense and Shareholders’ Equity</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stock options, Stock Awards, and the ESPP purchase rights is included in the consolidated statements of operations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8247" w:type="dxa"/>
        <w:jc w:val="left"/>
        <w:tblInd w:w="0" w:type="dxa"/>
        <w:tblLayout w:type="fixed"/>
        <w:tblCellMar>
          <w:top w:w="28" w:type="dxa"/>
          <w:left w:w="28" w:type="dxa"/>
          <w:bottom w:w="28" w:type="dxa"/>
          <w:right w:w="28" w:type="dxa"/>
        </w:tblCellMar>
      </w:tblPr>
      <w:tblGrid>
        <w:gridCol w:w="1489"/>
        <w:gridCol w:w="1307"/>
        <w:gridCol w:w="1314"/>
        <w:gridCol w:w="211"/>
        <w:gridCol w:w="826"/>
        <w:gridCol w:w="109"/>
        <w:gridCol w:w="109"/>
        <w:gridCol w:w="109"/>
        <w:gridCol w:w="109"/>
        <w:gridCol w:w="211"/>
        <w:gridCol w:w="826"/>
        <w:gridCol w:w="109"/>
        <w:gridCol w:w="109"/>
        <w:gridCol w:w="109"/>
        <w:gridCol w:w="109"/>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deferred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included in the following categories:</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tax effect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the Company’s stock options, Stock Awards, and ESPP purchase rights as of July 31, 2026 is as follows:</w:t>
      </w:r>
    </w:p>
    <w:tbl>
      <w:tblPr>
        <w:tblW w:w="10205" w:type="dxa"/>
        <w:jc w:val="left"/>
        <w:tblInd w:w="0" w:type="dxa"/>
        <w:tblLayout w:type="fixed"/>
        <w:tblCellMar>
          <w:top w:w="28" w:type="dxa"/>
          <w:left w:w="28" w:type="dxa"/>
          <w:bottom w:w="28" w:type="dxa"/>
          <w:right w:w="28" w:type="dxa"/>
        </w:tblCellMar>
      </w:tblPr>
      <w:tblGrid>
        <w:gridCol w:w="1646"/>
        <w:gridCol w:w="1443"/>
        <w:gridCol w:w="1442"/>
        <w:gridCol w:w="314"/>
        <w:gridCol w:w="1235"/>
        <w:gridCol w:w="162"/>
        <w:gridCol w:w="109"/>
        <w:gridCol w:w="109"/>
        <w:gridCol w:w="109"/>
        <w:gridCol w:w="1063"/>
        <w:gridCol w:w="1063"/>
        <w:gridCol w:w="1510"/>
      </w:tblGrid>
      <w:tr>
        <w:trPr/>
        <w:tc>
          <w:tcPr>
            <w:tcW w:w="164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Expense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Expected Recognition Period </w:t>
              <w:br/>
              <w:t>(in years)</w:t>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6"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303,141 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purchase rights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307,868 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Stock Awards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Company’s Stock Awards activity under the Company’s equity incentive plans is as follows:</w:t>
      </w:r>
    </w:p>
    <w:tbl>
      <w:tblPr>
        <w:tblW w:w="10205" w:type="dxa"/>
        <w:jc w:val="center"/>
        <w:tblInd w:w="0" w:type="dxa"/>
        <w:tblLayout w:type="fixed"/>
        <w:tblCellMar>
          <w:top w:w="28" w:type="dxa"/>
          <w:left w:w="28" w:type="dxa"/>
          <w:bottom w:w="28" w:type="dxa"/>
          <w:right w:w="28" w:type="dxa"/>
        </w:tblCellMar>
      </w:tblPr>
      <w:tblGrid>
        <w:gridCol w:w="1006"/>
        <w:gridCol w:w="870"/>
        <w:gridCol w:w="877"/>
        <w:gridCol w:w="644"/>
        <w:gridCol w:w="604"/>
        <w:gridCol w:w="591"/>
        <w:gridCol w:w="109"/>
        <w:gridCol w:w="109"/>
        <w:gridCol w:w="109"/>
        <w:gridCol w:w="583"/>
        <w:gridCol w:w="1994"/>
        <w:gridCol w:w="301"/>
        <w:gridCol w:w="109"/>
        <w:gridCol w:w="109"/>
        <w:gridCol w:w="109"/>
        <w:gridCol w:w="348"/>
        <w:gridCol w:w="1364"/>
        <w:gridCol w:w="369"/>
      </w:tblGrid>
      <w:tr>
        <w:trPr/>
        <w:tc>
          <w:tcPr>
            <w:tcW w:w="100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 Outstanding</w:t>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Stock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Aggregate Intrinsic Value</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2023</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3,414,706 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289,635 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1,639,400 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(1,569,451)</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168,144 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(282,589)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2024</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3,202,066 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480,534 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1,099,795 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(1,473,839)</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284,544 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2,672,857 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604,654 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985,948 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(1,333,619)</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261,148 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2,146,189 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326,092 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July 31, 2026</w:t>
            </w:r>
          </w:p>
        </w:tc>
        <w:tc>
          <w:tcPr>
            <w:tcW w:w="124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2,146,189 </w:t>
            </w:r>
          </w:p>
        </w:tc>
        <w:tc>
          <w:tcPr>
            <w:tcW w:w="5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326,092 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Aggregate intrinsic value at each period end represents the total market value of Stock Awards at the Company’s closing stock price of $151.94, $226.22, and $150.07 on July 31, 2026, 2025, and 2024, respectively. Aggregate intrinsic value for released Stock Awards represents the total market value of released Stock Awards at date of release.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of each year presented, certain executive officers were granted Stock Awards that cliff vest after three years, subject to continued service until such time, with the opportunity to increase the number of vested awards based on Company financial performance and, for a select number of awards issued in September 2023 and September 2024, the market performance of the Company’s common stock. The fair value of the awards will be recognized over the three-year performance period and may increase or decrease depending on the estimated attainment of Company financial performance criteria. The Company determined the fair value of the portion of the awards subject to the market performance of the Company’s common stock using a Monte Carlo simulation model, which included the following assumptions:</w:t>
      </w:r>
    </w:p>
    <w:p>
      <w:pPr>
        <w:pStyle w:val="TextBody"/>
        <w:bidi w:val="0"/>
        <w:spacing w:before="18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55"/>
        <w:gridCol w:w="662"/>
        <w:gridCol w:w="666"/>
        <w:gridCol w:w="175"/>
        <w:gridCol w:w="175"/>
        <w:gridCol w:w="176"/>
        <w:gridCol w:w="151"/>
        <w:gridCol w:w="151"/>
        <w:gridCol w:w="151"/>
        <w:gridCol w:w="1065"/>
        <w:gridCol w:w="1065"/>
        <w:gridCol w:w="1079"/>
        <w:gridCol w:w="151"/>
        <w:gridCol w:w="151"/>
        <w:gridCol w:w="151"/>
        <w:gridCol w:w="1065"/>
        <w:gridCol w:w="1065"/>
        <w:gridCol w:w="1079"/>
        <w:gridCol w:w="109"/>
        <w:gridCol w:w="163"/>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2024 to September 11, 2027</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13, 2023 to September 13, 2026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3-year historical volatility</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3-year risk free rate</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3"/>
        </w:rPr>
      </w:pPr>
      <w:r>
        <w:rPr>
          <w:rFonts w:ascii="Times New Roman;serif" w:hAnsi="Times New Roman;serif"/>
          <w:b w:val="false"/>
          <w:color w:val="000000"/>
          <w:sz w:val="13"/>
        </w:rPr>
        <w:t>*No stock awards with the opportunity to increase the number of vested awards based on the market performance of the Company’s common stock were granted during the fiscal year ended July 31, 2026.</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portion of the award subject to the market performance of the Company’s common stock, stock-based compensation expense is recognized over the requisite service period regardless of whether or not the market condition is ultimately satisfied, subject to continued service over the period.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related to PSUs of $36.0 million, $26.2 million, and $16.2 million during the fiscal years ended July 31, 2026, 2025, and 2024, respectively.</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under the Company’s equity incentive plans is as follows:</w:t>
      </w:r>
    </w:p>
    <w:tbl>
      <w:tblPr>
        <w:tblW w:w="10205" w:type="dxa"/>
        <w:jc w:val="left"/>
        <w:tblInd w:w="0" w:type="dxa"/>
        <w:tblLayout w:type="fixed"/>
        <w:tblCellMar>
          <w:top w:w="28" w:type="dxa"/>
          <w:left w:w="28" w:type="dxa"/>
          <w:bottom w:w="28" w:type="dxa"/>
          <w:right w:w="28" w:type="dxa"/>
        </w:tblCellMar>
      </w:tblPr>
      <w:tblGrid>
        <w:gridCol w:w="913"/>
        <w:gridCol w:w="650"/>
        <w:gridCol w:w="655"/>
        <w:gridCol w:w="687"/>
        <w:gridCol w:w="593"/>
        <w:gridCol w:w="595"/>
        <w:gridCol w:w="109"/>
        <w:gridCol w:w="109"/>
        <w:gridCol w:w="109"/>
        <w:gridCol w:w="358"/>
        <w:gridCol w:w="1047"/>
        <w:gridCol w:w="185"/>
        <w:gridCol w:w="109"/>
        <w:gridCol w:w="109"/>
        <w:gridCol w:w="109"/>
        <w:gridCol w:w="668"/>
        <w:gridCol w:w="668"/>
        <w:gridCol w:w="670"/>
        <w:gridCol w:w="109"/>
        <w:gridCol w:w="109"/>
        <w:gridCol w:w="109"/>
        <w:gridCol w:w="297"/>
        <w:gridCol w:w="1017"/>
        <w:gridCol w:w="221"/>
      </w:tblGrid>
      <w:tr>
        <w:trPr/>
        <w:tc>
          <w:tcPr>
            <w:tcW w:w="9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Number of Stock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Aggregate Intrinsic Value</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2023</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187,572 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2024</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166,838 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(56,880)</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109,958 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July 31, 2026</w:t>
            </w:r>
          </w:p>
        </w:tc>
        <w:tc>
          <w:tcPr>
            <w:tcW w:w="12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96,573 </w:t>
            </w:r>
          </w:p>
        </w:tc>
        <w:tc>
          <w:tcPr>
            <w:tcW w:w="5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July 31, 2026</w:t>
            </w:r>
          </w:p>
        </w:tc>
        <w:tc>
          <w:tcPr>
            <w:tcW w:w="12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96,573 </w:t>
            </w:r>
          </w:p>
        </w:tc>
        <w:tc>
          <w:tcPr>
            <w:tcW w:w="5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Aggregate intrinsic value at each fiscal year end represents the difference between the Company’s closing stock price of $151.94, $226.22, and $150.07 on July 31, 2026, 2025, and 2024, respectively, and the exercise price of outstanding stock options. Aggregate intrinsic value for exercised options represents the difference between the Company’s stock price at date of exercise and the exercise price.</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Company’s stockholders approved the 2024 ESPP at the Company’s annual meeting of stockholders, with an initial pool of 3,000,000 shares of the Company’s common stock that may be issued under the ESPP. The ESPP generally provides for six-month offering periods beginning on January 6 and July 6 of each calendar year where each offering period has one purchase period. The Company’s first ESPP offering period began on July 6, 2025. Eligible employees may authorize payroll deductions between 1% and 15% of their base salary compensation to purchase shares of common stock at 85% of the lower of the market price on the date of commencement of the applicable offering period or on the last day of each six month purchase period. The ESPP does not allow eligible employees to increase their contributions during any offering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ESPP purchase rights using the Black-Scholes option pricing model with the following assumptions:</w:t>
      </w:r>
    </w:p>
    <w:tbl>
      <w:tblPr>
        <w:tblW w:w="6027" w:type="dxa"/>
        <w:jc w:val="left"/>
        <w:tblInd w:w="0" w:type="dxa"/>
        <w:tblLayout w:type="fixed"/>
        <w:tblCellMar>
          <w:top w:w="28" w:type="dxa"/>
          <w:left w:w="28" w:type="dxa"/>
          <w:bottom w:w="28" w:type="dxa"/>
          <w:right w:w="28" w:type="dxa"/>
        </w:tblCellMar>
      </w:tblPr>
      <w:tblGrid>
        <w:gridCol w:w="772"/>
        <w:gridCol w:w="677"/>
        <w:gridCol w:w="681"/>
        <w:gridCol w:w="432"/>
        <w:gridCol w:w="432"/>
        <w:gridCol w:w="441"/>
        <w:gridCol w:w="133"/>
        <w:gridCol w:w="133"/>
        <w:gridCol w:w="133"/>
        <w:gridCol w:w="209"/>
        <w:gridCol w:w="209"/>
        <w:gridCol w:w="211"/>
        <w:gridCol w:w="133"/>
        <w:gridCol w:w="133"/>
        <w:gridCol w:w="133"/>
        <w:gridCol w:w="155"/>
        <w:gridCol w:w="155"/>
        <w:gridCol w:w="156"/>
        <w:gridCol w:w="109"/>
        <w:gridCol w:w="109"/>
        <w:gridCol w:w="109"/>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July 31,</w:t>
            </w:r>
          </w:p>
        </w:tc>
        <w:tc>
          <w:tcPr>
            <w:tcW w:w="699" w:type="dxa"/>
            <w:gridSpan w:val="6"/>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 - 4.0%</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37.1% - 65.0%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3"/>
        </w:rPr>
      </w:pPr>
      <w:r>
        <w:rPr>
          <w:rFonts w:ascii="Times New Roman;serif" w:hAnsi="Times New Roman;serif"/>
          <w:b w:val="false"/>
          <w:color w:val="000000"/>
          <w:sz w:val="13"/>
        </w:rPr>
        <w:t>*The ESPP was approved by stockholders in December 2024. Therefore, there were no ESPP purchase rights during the fiscal year ended July 31, 2024.</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issued 200,395 shares of common stock under the ESPP during the fiscal year ended July 31, 2026, and no shares of common stock under the ESPP during the fiscal years ended July 31, 2025 and 2024. The weighted-average grant date fair value related to rights to acquire shares of common stock under the ESPP during the fiscal years ended July 31, 2026 and 2025, was $47.45 and $63.29 per share, respectively. The Company recognized stock-based compensation related to the ESPP of $9.0 million and $0.6 million during the fiscal years ended July 31, 2026 and 2025, respectively. During the fiscal year ended July 31, 2024, no ESPP expense was recognized.</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 Reserved for Issuance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the Company was authorized to issue 500,000,000 shares of common stock with a par value of $0.0001 per share and, of these, 81,992,467 and 84,530,418 shares of common stock were issued and outstanding, respectively. As of July 31, 2026 and 2025, the Company had reserved shares of common stock for future issuance as follows:</w:t>
      </w:r>
    </w:p>
    <w:tbl>
      <w:tblPr>
        <w:tblW w:w="7591" w:type="dxa"/>
        <w:jc w:val="left"/>
        <w:tblInd w:w="0" w:type="dxa"/>
        <w:tblLayout w:type="fixed"/>
        <w:tblCellMar>
          <w:top w:w="28" w:type="dxa"/>
          <w:left w:w="28" w:type="dxa"/>
          <w:bottom w:w="28" w:type="dxa"/>
          <w:right w:w="28" w:type="dxa"/>
        </w:tblCellMar>
      </w:tblPr>
      <w:tblGrid>
        <w:gridCol w:w="1578"/>
        <w:gridCol w:w="1391"/>
        <w:gridCol w:w="1396"/>
        <w:gridCol w:w="492"/>
        <w:gridCol w:w="484"/>
        <w:gridCol w:w="367"/>
        <w:gridCol w:w="109"/>
        <w:gridCol w:w="109"/>
        <w:gridCol w:w="109"/>
        <w:gridCol w:w="540"/>
        <w:gridCol w:w="541"/>
        <w:gridCol w:w="475"/>
      </w:tblGrid>
      <w:tr>
        <w:trPr/>
        <w:tc>
          <w:tcPr>
            <w:tcW w:w="15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109,958 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2,146,189 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2,672,857 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under stock plans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3,698,521 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4,505,472 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available for ESPP</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2,799,605 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issuance</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8,740,888 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10,288,287 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 On December 20, 2022, the Company’s stockholders approved the amendment and restatement of the 2020 Stock Plan to increase the total number of shares of common stock available for issuance under the 2020 Stock Plan by 1,780,000. On December 19, 2023, the Company’s stockholders approved the amendment and restatement of the 2020 Stock Plan to increase the total number of shares of common stock available for issuance under the 2020 Stock Plan by 3,800,000.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the Company issues under the 2020 Plan will be from the Company’s pool of authorized but unissued shares. The shares of common stock underlying any awards under the 2011 Stock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 as amended. </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2022, the Company’s board of directors authorized and approved a share repurchase program of up to $400.0 million of the Company’s outstanding common stock. The Company began repurchasing shares under this program during the first quarter of fiscal year 2023 and completed the program in December 2025.</w:t>
      </w:r>
    </w:p>
    <w:p>
      <w:pPr>
        <w:pStyle w:val="TextBody"/>
        <w:bidi w:val="0"/>
        <w:spacing w:lineRule="auto" w:line="288" w:before="180" w:after="283"/>
        <w:ind w:left="0" w:right="0" w:firstLine="360"/>
        <w:jc w:val="both"/>
        <w:rPr/>
      </w:pPr>
      <w:r>
        <w:rPr>
          <w:rFonts w:ascii="Times New Roman;serif" w:hAnsi="Times New Roman;serif"/>
          <w:b w:val="false"/>
          <w:color w:val="000000"/>
          <w:sz w:val="20"/>
        </w:rPr>
        <w:t>In January 2026, the Co</w:t>
      </w:r>
      <w:r>
        <w:rPr>
          <w:rFonts w:ascii="Times New Roman;serif" w:hAnsi="Times New Roman;serif"/>
          <w:b w:val="false"/>
          <w:color w:val="000000"/>
          <w:sz w:val="20"/>
          <w:shd w:fill="FFFFFF" w:val="clear"/>
        </w:rPr>
        <w:t xml:space="preserve">mpany’s board of directors authorized and approved a share repurchase program of up to </w:t>
      </w:r>
      <w:r>
        <w:rPr>
          <w:rFonts w:ascii="Times New Roman;serif" w:hAnsi="Times New Roman;serif"/>
          <w:b w:val="false"/>
          <w:color w:val="000000"/>
          <w:sz w:val="20"/>
        </w:rPr>
        <w:t xml:space="preserve">$500.0 million </w:t>
      </w:r>
      <w:r>
        <w:rPr>
          <w:rFonts w:ascii="Times New Roman;serif" w:hAnsi="Times New Roman;serif"/>
          <w:b w:val="false"/>
          <w:color w:val="000000"/>
          <w:sz w:val="20"/>
          <w:shd w:fill="FFFFFF" w:val="clear"/>
        </w:rPr>
        <w:t>of the Company’s outsta</w:t>
      </w:r>
      <w:r>
        <w:rPr>
          <w:rFonts w:ascii="Times New Roman;serif" w:hAnsi="Times New Roman;serif"/>
          <w:b w:val="false"/>
          <w:color w:val="000000"/>
          <w:sz w:val="20"/>
        </w:rPr>
        <w:t>nding common stock. Share repurchases under this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July 31, 2026, the Company repurchased 4,085,350 shares of common stock at an average price of $148.41. During the fiscal years ended July 31, 2025 and 2024, the Company did not repurchase any shares of common stock.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Inflation Reduction Act of 2022 imposed an excise tax of 1% on share repurchases in excess of new issuances in the fiscal year. During the fiscal year ended July 31, 2026, the Company recorded total excise tax of $3.1 million, which has been included within retained earnings (accumulated deficit), as part of the cost basis of the common stock repurchased, and other current liabilities in the consolidated balance sheets as of July 31, 2026.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$31.9 million remained available for future share repurchases, subject to the Company’s compliance with the terms of the Credit Agreement. </w:t>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an income tax expense of $24.8 million for the fiscal year ended July 31, 2026 compared to an income tax benefit of $20.4 million for the fiscal year ended July 31, 2025. The change in income tax for fiscal year 2026, compared to the same period a year ago, was primarily due to the significant increase in pre-tax income in the U.S., a decrease in deductions from stock-based compensation, and a decrease in the FDII deduction and research and development credits due to U.S. tax law changes under H.R. 1 enacted on July 4, 2025, partially offset by non-deductible debt retirement expense that did not recur in fiscal year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differs from the statutory U.S. Federal income tax rate of 21% mainly due to tax deductions for stock-based compensation, research and development credits, foreign earnings taxed in the U.S., the FDII deduction, and certain non-deductible expenses, including executive compensation limitation.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(loss) before provision for (benefit from) income taxes is as follows (in thousands):</w:t>
      </w:r>
    </w:p>
    <w:tbl>
      <w:tblPr>
        <w:tblW w:w="9117" w:type="dxa"/>
        <w:jc w:val="left"/>
        <w:tblInd w:w="0" w:type="dxa"/>
        <w:tblLayout w:type="fixed"/>
        <w:tblCellMar>
          <w:top w:w="28" w:type="dxa"/>
          <w:left w:w="28" w:type="dxa"/>
          <w:bottom w:w="28" w:type="dxa"/>
          <w:right w:w="28" w:type="dxa"/>
        </w:tblCellMar>
      </w:tblPr>
      <w:tblGrid>
        <w:gridCol w:w="1852"/>
        <w:gridCol w:w="1625"/>
        <w:gridCol w:w="1638"/>
        <w:gridCol w:w="211"/>
        <w:gridCol w:w="826"/>
        <w:gridCol w:w="109"/>
        <w:gridCol w:w="109"/>
        <w:gridCol w:w="109"/>
        <w:gridCol w:w="109"/>
        <w:gridCol w:w="211"/>
        <w:gridCol w:w="721"/>
        <w:gridCol w:w="109"/>
        <w:gridCol w:w="109"/>
        <w:gridCol w:w="109"/>
        <w:gridCol w:w="109"/>
        <w:gridCol w:w="211"/>
        <w:gridCol w:w="796"/>
        <w:gridCol w:w="154"/>
      </w:tblGrid>
      <w:tr>
        <w:trPr/>
        <w:tc>
          <w:tcPr>
            <w:tcW w:w="1852"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(benefit from) income taxes consisted of the following (in thousands):</w:t>
      </w:r>
    </w:p>
    <w:tbl>
      <w:tblPr>
        <w:tblW w:w="7932" w:type="dxa"/>
        <w:jc w:val="left"/>
        <w:tblInd w:w="0" w:type="dxa"/>
        <w:tblLayout w:type="fixed"/>
        <w:tblCellMar>
          <w:top w:w="28" w:type="dxa"/>
          <w:left w:w="28" w:type="dxa"/>
          <w:bottom w:w="28" w:type="dxa"/>
          <w:right w:w="28" w:type="dxa"/>
        </w:tblCellMar>
      </w:tblPr>
      <w:tblGrid>
        <w:gridCol w:w="1430"/>
        <w:gridCol w:w="1260"/>
        <w:gridCol w:w="1270"/>
        <w:gridCol w:w="211"/>
        <w:gridCol w:w="721"/>
        <w:gridCol w:w="109"/>
        <w:gridCol w:w="109"/>
        <w:gridCol w:w="109"/>
        <w:gridCol w:w="109"/>
        <w:gridCol w:w="211"/>
        <w:gridCol w:w="796"/>
        <w:gridCol w:w="109"/>
        <w:gridCol w:w="109"/>
        <w:gridCol w:w="109"/>
        <w:gridCol w:w="109"/>
        <w:gridCol w:w="211"/>
        <w:gridCol w:w="79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provision for (benefit from)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before="180" w:after="180"/>
        <w:jc w:val="both"/>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adopted ASU 2023-09 on a prospective basis beginning with the fiscal year ended July 31, 2026. The following table reconciles differences between income taxes calculated using the statutory federal income tax rate of 21% and the provision for income taxes (in thousands):</w:t>
      </w:r>
    </w:p>
    <w:tbl>
      <w:tblPr>
        <w:tblW w:w="6714" w:type="dxa"/>
        <w:jc w:val="left"/>
        <w:tblInd w:w="0" w:type="dxa"/>
        <w:tblLayout w:type="fixed"/>
        <w:tblCellMar>
          <w:top w:w="28" w:type="dxa"/>
          <w:left w:w="28" w:type="dxa"/>
          <w:bottom w:w="28" w:type="dxa"/>
          <w:right w:w="28" w:type="dxa"/>
        </w:tblCellMar>
      </w:tblPr>
      <w:tblGrid>
        <w:gridCol w:w="1417"/>
        <w:gridCol w:w="1243"/>
        <w:gridCol w:w="1254"/>
        <w:gridCol w:w="278"/>
        <w:gridCol w:w="949"/>
        <w:gridCol w:w="143"/>
        <w:gridCol w:w="143"/>
        <w:gridCol w:w="143"/>
        <w:gridCol w:w="143"/>
        <w:gridCol w:w="291"/>
        <w:gridCol w:w="294"/>
        <w:gridCol w:w="416"/>
      </w:tblGrid>
      <w:tr>
        <w:trPr/>
        <w:tc>
          <w:tcPr>
            <w:tcW w:w="14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 2026</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income tax</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taxes, net of federal benefit</w:t>
            </w:r>
            <w:r>
              <w:rPr>
                <w:rFonts w:ascii="Times New Roman;serif" w:hAnsi="Times New Roman;serif"/>
                <w:b w:val="false"/>
                <w:color w:val="000000"/>
                <w:sz w:val="13"/>
              </w:rPr>
              <w:t>(1)</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officers’ compensation</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Cross-border tax laws</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earnings taxed in the U.S.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FDII</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Argentina</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provision for (benefit from) income taxes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State taxes in Illinois, New Hampshire, New Jersey, and New York made up the majority (greater than 50 percent) of the tax effect in this category.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Differences between income taxes calculated using the statutory federal income tax rate in 2025 and 2024, respectively, and the provision for income taxes, are as follows (in thousands):</w:t>
      </w:r>
    </w:p>
    <w:tbl>
      <w:tblPr>
        <w:tblW w:w="6519" w:type="dxa"/>
        <w:jc w:val="left"/>
        <w:tblInd w:w="0" w:type="dxa"/>
        <w:tblLayout w:type="fixed"/>
        <w:tblCellMar>
          <w:top w:w="28" w:type="dxa"/>
          <w:left w:w="28" w:type="dxa"/>
          <w:bottom w:w="28" w:type="dxa"/>
          <w:right w:w="28" w:type="dxa"/>
        </w:tblCellMar>
      </w:tblPr>
      <w:tblGrid>
        <w:gridCol w:w="1417"/>
        <w:gridCol w:w="1243"/>
        <w:gridCol w:w="1255"/>
        <w:gridCol w:w="211"/>
        <w:gridCol w:w="796"/>
        <w:gridCol w:w="109"/>
        <w:gridCol w:w="109"/>
        <w:gridCol w:w="109"/>
        <w:gridCol w:w="109"/>
        <w:gridCol w:w="211"/>
        <w:gridCol w:w="796"/>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officers'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taxed at different rates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tax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earnings taxed in the 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acquisition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 and 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FDII</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Retirement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that gave rise to significant portions of deferred tax assets and liabilities are as follows (in thousands):</w:t>
      </w:r>
    </w:p>
    <w:tbl>
      <w:tblPr>
        <w:tblW w:w="5889" w:type="dxa"/>
        <w:jc w:val="left"/>
        <w:tblInd w:w="0" w:type="dxa"/>
        <w:tblLayout w:type="fixed"/>
        <w:tblCellMar>
          <w:top w:w="28" w:type="dxa"/>
          <w:left w:w="28" w:type="dxa"/>
          <w:bottom w:w="28" w:type="dxa"/>
          <w:right w:w="28" w:type="dxa"/>
        </w:tblCellMar>
      </w:tblPr>
      <w:tblGrid>
        <w:gridCol w:w="1168"/>
        <w:gridCol w:w="1027"/>
        <w:gridCol w:w="1030"/>
        <w:gridCol w:w="211"/>
        <w:gridCol w:w="826"/>
        <w:gridCol w:w="109"/>
        <w:gridCol w:w="109"/>
        <w:gridCol w:w="109"/>
        <w:gridCol w:w="109"/>
        <w:gridCol w:w="211"/>
        <w:gridCol w:w="82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tax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foreign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Disclosed below is a summary of income taxes paid by jurisdiction pursuant to the disclosure requirements of ASU 2023-09 (in thousands):</w:t>
      </w:r>
    </w:p>
    <w:tbl>
      <w:tblPr>
        <w:tblW w:w="5453" w:type="dxa"/>
        <w:jc w:val="left"/>
        <w:tblInd w:w="0" w:type="dxa"/>
        <w:tblLayout w:type="fixed"/>
        <w:tblCellMar>
          <w:top w:w="28" w:type="dxa"/>
          <w:left w:w="28" w:type="dxa"/>
          <w:bottom w:w="28" w:type="dxa"/>
          <w:right w:w="28" w:type="dxa"/>
        </w:tblCellMar>
      </w:tblPr>
      <w:tblGrid>
        <w:gridCol w:w="1482"/>
        <w:gridCol w:w="1305"/>
        <w:gridCol w:w="1308"/>
        <w:gridCol w:w="222"/>
        <w:gridCol w:w="759"/>
        <w:gridCol w:w="114"/>
        <w:gridCol w:w="109"/>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state and Local</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Aggregated withholding taxes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(refunds received) for income taxes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for the fiscal years ended July 31, 2025 and 2024, prior to the adoption of ASU 2023-09, the cash paid for income taxes, net of refunds received was $7.6 million and $8.9 million,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considered both positive and negative evidence, including future reversals of existing taxable temporary differences, projected future taxable income, tax planning strategies, differences between prior book and tax profits/losses, and results of future operations, and determined that a valuation allowance was not required for a significant portion of its deferred tax assets. A valuation allowance of $75.1 million and $66.3 million remained as of July 31, 2026 and 2025, respectively, primarily related to California, U.S. Federal, and Canada deferred tax assets. The increase of $8.8 million in the valuation allowance in the current fiscal year relates primarily to net operating losses and income tax credits in certain tax jurisdictions for which no tax benefit is expected to be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Company had U.S. Federal, California, and other states net operating loss (“NOL”) carryforwards of $14.2 million, $62.8 million and $128.4 million, respectively. The U.S. Federal and California NOL carryforwards will start to expire in 2032 and 2027, respectively. The NOL carryforwards in other states will primarily start to expire in various years between 2027 and 2034.</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Company had U.S. Federal and California research and development tax credit (“R&amp;D credit”) carryforwards of $106.8 million and $78.1 million, respectively.</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Federal R&amp;D credit carryforwards start expiring in 2031. California R&amp;D tax credits do not expire.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Federal and California laws impose restrictions on the utilization of NOL carryforwards and R&amp;D credit carryforwards in the event of a change in ownership of the Company, as defined by Internal Revenue Code 382 and 383. The Company experienced an ownership change in the past that does not materially impact the availability of its carryforwards. However, should there be an ownership change in the future, the Company’s ability to utilize existing carryforwards could be substantially restricted.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the Company has recorded a provisional estimate for foreign withholding taxes on undistributed earnings from foreign subsidiaries of $2.5 million. The Company may repatriate foreign earnings in the future to the extent that the repatriation is not restricted by local laws or there are no substantial incremental costs associated with such repatriation.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on July 4, 2025, H.R. 1 was signed into law. Among other provisions, the legislation reinstated immediate expensing for domestic research and experimental expenditures, extended 100% bonus depreciation for qualified property placed in service beginning January 20, 2025, and made certain other provisions of the Tax Cuts and Jobs Act permanent. The legislation has multiple effective dates, with certain provisions effective in fiscal year 2026 and others effective in fiscal year 2027. The immediate expensing of U.S. R&amp;D expenditures had a favorable impact to the Company’s domestic tax liability. The Company has evaluated and recognized the impacts of H.R. 1 on the Company’s consolidated financial statements.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Activity related to unrecognized tax benefits is as follows (in thousands):</w:t>
      </w:r>
    </w:p>
    <w:tbl>
      <w:tblPr>
        <w:tblW w:w="7842" w:type="dxa"/>
        <w:jc w:val="left"/>
        <w:tblInd w:w="0" w:type="dxa"/>
        <w:tblLayout w:type="fixed"/>
        <w:tblCellMar>
          <w:top w:w="28" w:type="dxa"/>
          <w:left w:w="28" w:type="dxa"/>
          <w:bottom w:w="28" w:type="dxa"/>
          <w:right w:w="28" w:type="dxa"/>
        </w:tblCellMar>
      </w:tblPr>
      <w:tblGrid>
        <w:gridCol w:w="1457"/>
        <w:gridCol w:w="1278"/>
        <w:gridCol w:w="1285"/>
        <w:gridCol w:w="211"/>
        <w:gridCol w:w="721"/>
        <w:gridCol w:w="109"/>
        <w:gridCol w:w="109"/>
        <w:gridCol w:w="109"/>
        <w:gridCol w:w="109"/>
        <w:gridCol w:w="211"/>
        <w:gridCol w:w="721"/>
        <w:gridCol w:w="109"/>
        <w:gridCol w:w="109"/>
        <w:gridCol w:w="109"/>
        <w:gridCol w:w="109"/>
        <w:gridCol w:w="211"/>
        <w:gridCol w:w="721"/>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July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 prior 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 prior period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 current 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July 31, 2026, the Company’s unrecognized tax benefits increased by $3.2 million. As of July 31, 2026, the Company had unrecognized tax benefits of $18.7 million that, if recognized, would affect the Company’s effective tax rate. The Company recognizes interest and penalties related to unrecognized tax benefits as income tax expense in its consolidated statements of operations. As of July 31, 2026, the total interest and penalties related to unrecognized tax benefits was not material.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or one of its subsidiaries, files income taxes in the U.S. Federal jurisdiction and various state and foreign jurisdictions. If the Company utilizes NOL carryforwards or tax credits in future years, the U.S. Federal, state and local, and non-U.S. tax authorities may examine the tax returns covering the period in which the net operating losses and tax credits arose. As a result, the Company’s tax returns in the U.S. and California remain open to examination from fiscal years 2002 through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the Organization for Economic Co-operation and Development introduced new guidance including a “side-by-side safe harbor” which, if elected, exempts U.S. parented groups from certain provisions of Pillar 2. However, the election does not relieve foreign subsidiaries from certain jurisdiction-specific minimum taxes. The guidance will need to be incorporated into local tax legislation to be effective.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Defined Contribution and Other Post-Retirement Plans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employee savings and retirement plan in the U.S. is qualified under Section 401(k) of the Internal Revenue Code. Employees on the Company’s U.S. payroll are automatically enrolled when they meet eligibility requirements, unless they decline participation. Upon enrollment employees are provided with tax-deferred salary deductions and various investment options. Employees may contribute up to 60% of their eligible salary up to the statutory prescribed annual limit. The Company matches employees’ contributions up to $7,500 per participant per calendar year. A majority of the Company’s foreign employees participate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post-retirement plans, for which the Company makes contributions. The Company’s contributions to its employee post-retirement plans were $18.2 million, $15.4 million, and $14.1 million for the fiscal years ended July 31,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segment that conducts business globally and is managed, operated, and organized on a consolidated basis. The Company’s chief executive officer is the chief operating decision maker. Since the Company operates in one segment, financial information, revenue by type, and revenue by geographic area presented in the consolidated financial statements represents the operations of the Company’s single segment.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for the Company’s single operating segment (in thousands):</w:t>
      </w:r>
    </w:p>
    <w:tbl>
      <w:tblPr>
        <w:tblW w:w="10205" w:type="dxa"/>
        <w:jc w:val="left"/>
        <w:tblInd w:w="0" w:type="dxa"/>
        <w:tblLayout w:type="fixed"/>
        <w:tblCellMar>
          <w:top w:w="28" w:type="dxa"/>
          <w:left w:w="28" w:type="dxa"/>
          <w:bottom w:w="28" w:type="dxa"/>
          <w:right w:w="28" w:type="dxa"/>
        </w:tblCellMar>
      </w:tblPr>
      <w:tblGrid>
        <w:gridCol w:w="1944"/>
        <w:gridCol w:w="1663"/>
        <w:gridCol w:w="1673"/>
        <w:gridCol w:w="211"/>
        <w:gridCol w:w="976"/>
        <w:gridCol w:w="271"/>
        <w:gridCol w:w="109"/>
        <w:gridCol w:w="109"/>
        <w:gridCol w:w="109"/>
        <w:gridCol w:w="211"/>
        <w:gridCol w:w="976"/>
        <w:gridCol w:w="271"/>
        <w:gridCol w:w="109"/>
        <w:gridCol w:w="109"/>
        <w:gridCol w:w="109"/>
        <w:gridCol w:w="211"/>
        <w:gridCol w:w="826"/>
        <w:gridCol w:w="318"/>
      </w:tblGrid>
      <w:tr>
        <w:trPr/>
        <w:tc>
          <w:tcPr>
            <w:tcW w:w="194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 July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980,497 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revenue</w:t>
            </w:r>
            <w:r>
              <w:rPr>
                <w:rFonts w:ascii="Times New Roman;serif" w:hAnsi="Times New Roman;serif"/>
                <w:b w:val="false"/>
                <w:color w:val="000000"/>
                <w:sz w:val="13"/>
              </w:rPr>
              <w:t>(1)</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362,572 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397,136 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947,368 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583,361 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margin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expenses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518,427 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holdback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635,934 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(52,573)</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(loss) from operations margin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interest income (expense) and other income (expense), net</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strategic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sale of strategic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rate gains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(benefit from)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(20,735)</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cost of revenue excludes stock-based compensation and amortization of intangible assets.</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Adjusted operating expenses excludes stock-based compensation expense, amortization of intangible assets, and acquisition holdback expense.</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Adjusted interest income (expense) and other income (expense), net excludes changes in fair value of strategic investments, gains (losses) on sale of strategic investments, amortization of debt issuance costs, retirement of debt, and unrealized foreign exchange rate gains (losses).</w:t>
      </w:r>
    </w:p>
    <w:p>
      <w:pPr>
        <w:pStyle w:val="TextBody"/>
        <w:bidi w:val="0"/>
        <w:spacing w:before="0" w:after="0"/>
        <w:jc w:val="both"/>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long-lived assets for this disclosure are defined as property and equipment and operating lease assets. The Company’s long-lived assets by geographic region are as follows (in thousands):</w:t>
      </w:r>
    </w:p>
    <w:tbl>
      <w:tblPr>
        <w:tblW w:w="3677" w:type="dxa"/>
        <w:jc w:val="left"/>
        <w:tblInd w:w="0" w:type="dxa"/>
        <w:tblLayout w:type="fixed"/>
        <w:tblCellMar>
          <w:top w:w="28" w:type="dxa"/>
          <w:left w:w="28" w:type="dxa"/>
          <w:bottom w:w="28" w:type="dxa"/>
          <w:right w:w="28" w:type="dxa"/>
        </w:tblCellMar>
      </w:tblPr>
      <w:tblGrid>
        <w:gridCol w:w="315"/>
        <w:gridCol w:w="277"/>
        <w:gridCol w:w="279"/>
        <w:gridCol w:w="211"/>
        <w:gridCol w:w="826"/>
        <w:gridCol w:w="109"/>
        <w:gridCol w:w="109"/>
        <w:gridCol w:w="109"/>
        <w:gridCol w:w="109"/>
        <w:gridCol w:w="211"/>
        <w:gridCol w:w="721"/>
        <w:gridCol w:w="401"/>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99,745 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2026, the Company entered into a new 90-month operating lease agreement for its worldwide headquarters in San Mateo, California. The new lease will commence on July 1, 2027, and includes an option to renew for an additional 60 months, subject to the terms of the lease agreement. Total minimum lease payments under the new lease will be approximately $41.5 million over the 90-month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 on Accounting and Financial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9A.Controls and Procedures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our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ind w:left="0" w:right="0" w:firstLine="360"/>
        <w:jc w:val="both"/>
        <w:rPr/>
      </w:pPr>
      <w:r>
        <w:rPr>
          <w:rFonts w:ascii="Times New Roman;serif" w:hAnsi="Times New Roman;serif"/>
          <w:b w:val="false"/>
          <w:color w:val="000000"/>
          <w:sz w:val="20"/>
        </w:rPr>
        <w:t>Our management assessed the effectiveness of our internal control over financial reporting as of July 31, 2026, using the criteria set forth in</w:t>
      </w:r>
      <w:r>
        <w:rPr>
          <w:color w:val="000000"/>
        </w:rPr>
        <w:t xml:space="preserve">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Based on this assessment and those criteria, management concluded that our internal control over financial reporting was effective, at a reasonable level of assurance, as of July 31,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internal control over financial reporting has been audited by KPMG LLP, an independent registered public accounting firm, as stated in their report, which appears in Part II, Item 8 of this Annual Report on Form 10-K.</w:t>
      </w:r>
    </w:p>
    <w:p>
      <w:pPr>
        <w:pStyle w:val="TextBody"/>
        <w:bidi w:val="0"/>
        <w:spacing w:lineRule="auto" w:line="288" w:before="18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Inherent Limitations of Internal Controls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July 31, 2026 identified in management’s evaluation pursuant to Rules 13a-15(d) or 15d-15(d) of the Exchange Act that materially affected, or are reasonably likely to materially affect, our internal control over financial reporting. We expect to implement new customer quoting, contracting, revenue, and billing applications for our quote-to-cash process by the end of the first quarter of our fiscal year 2027. We will take the necessary steps to monitor, maintain, and modify appropriate internal control over financial reporting during this period of system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9B.Other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9C.Disclosure Regarding Foreign Jurisdictions that Prevent Inspections</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all of our directors, officers, and employees, including our principal executive officer, our principal financial officer, our principal accounting officer, and all other executive officers. The Code of Business Conduct and Ethics is posted on our investor relations website. We will post any amendments to, or waivers from, a provision of this Code of Business Conduct and Ethics by posting such information on our investor relations website.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adopted insider trading policies and procedures governing the purchase, sale, and other dispositions of our securities by our directors, officers, employees, and other covered persons. We believe our policies and procedures are reasonably designed to promote compliance with insider trading laws, rules and regulations, and applicable listing standards. It is our policy to comply with U.S. insider trading laws and regulations, including with respect to transactions in our own securities. A copy of our insider trading policy and guidelines is filed as Exhibit 19.1 to this Annual Report on Form 10-K.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other information required by this item will be contained in our definitive proxy statement to be filed with the SEC in connection with our 2026 Annual Meeting of Stockholders (the “Proxy Statement”), which is expected to be filed not later than 120 days after the end of our fiscal year ended July 31, 2026, and is incorporated in this report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and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12.Security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and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if any, required by this item will be set forth in the Proxy Statement and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14.Principal Accountant Fees and Services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15.Exhibits and Financial Statement Schedules</w: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1. Consolidated Financial Statements</w:t>
      </w:r>
    </w:p>
    <w:p>
      <w:pPr>
        <w:pStyle w:val="TextBody"/>
        <w:bidi w:val="0"/>
        <w:spacing w:lineRule="auto" w:line="288" w:before="100" w:after="283"/>
        <w:ind w:left="0" w:right="0" w:firstLine="1620"/>
        <w:jc w:val="both"/>
        <w:rPr>
          <w:rFonts w:ascii="Times New Roman;serif" w:hAnsi="Times New Roman;serif"/>
          <w:b w:val="false"/>
          <w:color w:val="000000"/>
          <w:sz w:val="20"/>
        </w:rPr>
      </w:pPr>
      <w:r>
        <w:rPr>
          <w:rFonts w:ascii="Times New Roman;serif" w:hAnsi="Times New Roman;serif"/>
          <w:b w:val="false"/>
          <w:color w:val="000000"/>
          <w:sz w:val="20"/>
        </w:rPr>
        <w:t>See Index to Consolidated Financial Statements at Item 8 herein.</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Schedules have been omitted because the information required to be set forth therein is not applicable or is shown in the financial statements or notes therein.</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before="180" w:after="283"/>
        <w:ind w:left="0" w:right="0" w:firstLine="495"/>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incorporated by reference as part of this Annual Report on Form 10-K.</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04"/>
        <w:gridCol w:w="1479"/>
        <w:gridCol w:w="1493"/>
        <w:gridCol w:w="109"/>
        <w:gridCol w:w="109"/>
        <w:gridCol w:w="109"/>
        <w:gridCol w:w="375"/>
        <w:gridCol w:w="375"/>
        <w:gridCol w:w="376"/>
        <w:gridCol w:w="109"/>
        <w:gridCol w:w="109"/>
        <w:gridCol w:w="109"/>
        <w:gridCol w:w="355"/>
        <w:gridCol w:w="355"/>
        <w:gridCol w:w="356"/>
        <w:gridCol w:w="109"/>
        <w:gridCol w:w="109"/>
        <w:gridCol w:w="109"/>
        <w:gridCol w:w="378"/>
        <w:gridCol w:w="345"/>
        <w:gridCol w:w="50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w:t>
              <w:br/>
              <w:t>Reference From</w:t>
              <w:b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w:t>
              <w:br/>
              <w:t>by Reference</w:t>
              <w:br/>
              <w:t>From</w:t>
              <w:b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21,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21,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Common Stock Certificate of Guidewire Software,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9, 2012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October 18, 2024, between Guidewire Software, Inc.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18,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certificate representing the 1.25% Convertible Senior Notes due 2029 (included as Exhibit A to Exhibit 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18,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44-10kfy26.htm">
              <w:r>
                <w:rPr>
                  <w:rStyle w:val="InternetLink"/>
                  <w:rFonts w:ascii="Times New Roman;serif" w:hAnsi="Times New Roman;serif"/>
                  <w:b w:val="false"/>
                  <w:color w:val="0000FF"/>
                  <w:sz w:val="20"/>
                  <w:u w:val="single"/>
                </w:rPr>
                <w:t xml:space="preserve">Description of Guidewire Software, Inc.’s Securities Registered Pursuant to Section 12 of the Securities Exchange Act of 1934, as amended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20"/>
                  <w:u w:val="single"/>
                </w:rPr>
                <w:t>Guidewire Software, Inc. Long Term Incentive Plan and Form of Notice and Restricted Stock Unit Award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erif" w:hAnsi="Times New Roman;serif"/>
                  <w:b w:val="false"/>
                  <w:color w:val="0000FF"/>
                  <w:sz w:val="20"/>
                  <w:u w:val="single"/>
                </w:rPr>
                <w:t>Amended and Restated 2020 Stock Plan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erif" w:hAnsi="Times New Roman;serif"/>
                  <w:b w:val="false"/>
                  <w:color w:val="0000FF"/>
                  <w:sz w:val="20"/>
                  <w:u w:val="single"/>
                </w:rPr>
                <w:t>Form of Restricted Stock Unit Award Agreement for Company Employees under the Guidewire Software, Inc. 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FF"/>
                  <w:sz w:val="20"/>
                  <w:u w:val="single"/>
                </w:rPr>
                <w:t>Form of Global Restricted Stock Unit Award Agreement for Company Employees under the Guidewire Software, Inc. 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FF"/>
                  <w:sz w:val="20"/>
                  <w:u w:val="single"/>
                </w:rPr>
                <w:t>Form of Stock Option Agreement under the Guidewire Software, Inc. 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20"/>
                  <w:u w:val="single"/>
                </w:rPr>
                <w:t>Form of Global Stock Option Agreement under the Guidewire Software, Inc. 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FF"/>
                  <w:sz w:val="20"/>
                  <w:u w:val="single"/>
                </w:rPr>
                <w:t>Form of Restricted Stock Award Agreement under the Guidewire Software, Inc. 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20"/>
                  <w:u w:val="single"/>
                </w:rPr>
                <w:t>Form of Performance-Based Restricted Stock Award Agreement under the Guidewire Software, Inc. Amended and Restated 2020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Guidewire Software, Inc. Senior Executive Incentive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13, 2011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FF"/>
                  <w:sz w:val="20"/>
                  <w:u w:val="single"/>
                </w:rPr>
                <w:t>Guidewire Software, Inc. Form of Executive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erif" w:hAnsi="Times New Roman;serif"/>
                  <w:b w:val="false"/>
                  <w:color w:val="0000FF"/>
                  <w:sz w:val="20"/>
                  <w:u w:val="single"/>
                </w:rPr>
                <w:t>Executive Agreement between Guidewire Software, Inc. and Michael Rosenbaum, dated as of August 3,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First Amendment to Executive Agreement between Guidewire Software, Inc. and Mike Rosenbaum, dated as of November 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9,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3"/>
        <w:gridCol w:w="205"/>
        <w:gridCol w:w="207"/>
        <w:gridCol w:w="109"/>
        <w:gridCol w:w="109"/>
        <w:gridCol w:w="109"/>
        <w:gridCol w:w="1832"/>
        <w:gridCol w:w="1502"/>
        <w:gridCol w:w="1506"/>
        <w:gridCol w:w="109"/>
        <w:gridCol w:w="109"/>
        <w:gridCol w:w="109"/>
        <w:gridCol w:w="553"/>
        <w:gridCol w:w="553"/>
        <w:gridCol w:w="560"/>
        <w:gridCol w:w="109"/>
        <w:gridCol w:w="109"/>
        <w:gridCol w:w="109"/>
        <w:gridCol w:w="189"/>
        <w:gridCol w:w="189"/>
        <w:gridCol w:w="193"/>
        <w:gridCol w:w="109"/>
        <w:gridCol w:w="109"/>
        <w:gridCol w:w="109"/>
        <w:gridCol w:w="470"/>
        <w:gridCol w:w="371"/>
        <w:gridCol w:w="33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Executive Agreement between Guidewire Software, Inc. and John Mullen, dated as of February 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7, 2022</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Indemnification Agreement for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28, 2011</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Lease Agreement between Bay Meadows Station 2 Investors, LLC and Guidewire Software, Inc. dated as of December 18,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19, 2018</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Assignment of Lease, dated as of February 11, 2023, by and between Guidewire Software, Inc. and Roblox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2023</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Sublease, dated as of February 11, 2023, by and between Roblox Corporation and Guidewire Software,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2023</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Capped Call Confirmations in relation to Convertible Senior Notes due 2029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18, 2024</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Credit Agreement, dated as of December 2, 2024, among Guidewire Software, Inc., as borrower, certain subsidiaries as guarantors, Bank of America, N.A., as administrative agent, and certain other lenders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5, 2024</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Insider Trading Policy and Guidelines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6, 2024</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211-10kfy26.htm">
              <w:r>
                <w:rPr>
                  <w:rStyle w:val="InternetLink"/>
                  <w:rFonts w:ascii="Times New Roman;serif" w:hAnsi="Times New Roman;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231-10kfy26.htm">
              <w:r>
                <w:rPr>
                  <w:rStyle w:val="InternetLink"/>
                  <w:rFonts w:ascii="Times New Roman;serif" w:hAnsi="Times New Roman;serif"/>
                  <w:b w:val="false"/>
                  <w:color w:val="0000FF"/>
                  <w:sz w:val="20"/>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11-10kfy26.htm">
              <w:r>
                <w:rPr>
                  <w:rStyle w:val="InternetLink"/>
                  <w:rFonts w:ascii="Times New Roman;serif" w:hAnsi="Times New Roman;serif"/>
                  <w:b w:val="false"/>
                  <w:color w:val="0000FF"/>
                  <w:sz w:val="20"/>
                  <w:u w:val="single"/>
                </w:rPr>
                <w:t>Certification of the Chief Executive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12-10kfy26.htm">
              <w:r>
                <w:rPr>
                  <w:rStyle w:val="InternetLink"/>
                  <w:rFonts w:ascii="Times New Roman;serif" w:hAnsi="Times New Roman;serif"/>
                  <w:b w:val="false"/>
                  <w:color w:val="0000FF"/>
                  <w:sz w:val="20"/>
                  <w:u w:val="single"/>
                </w:rPr>
                <w:t>Certification of the Chief Financial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21-10kfy26.htm">
              <w:r>
                <w:rPr>
                  <w:rStyle w:val="InternetLink"/>
                  <w:rFonts w:ascii="Times New Roman;serif" w:hAnsi="Times New Roman;serif"/>
                  <w:b w:val="false"/>
                  <w:color w:val="0000FF"/>
                  <w:sz w:val="20"/>
                  <w:u w:val="single"/>
                </w:rPr>
                <w:t>Certification of the Chief Executive Officer and the Chief Financial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Compensation Recovery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6, 2024</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Portions of this exhibit have been omitted in accordance with Item 601(a)(5) of Regulation S-K. The Company undertakes to furnish a copy of all omitted schedules and exhibits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16.Form 10-K Summary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8d8975fd09cd414dbd82a30a6a6530aa_7">
        <w:r>
          <w:rPr>
            <w:rStyle w:val="InternetLink"/>
            <w:rFonts w:ascii="Times New Roman;serif" w:hAnsi="Times New Roman;serif"/>
            <w:b w:val="false"/>
            <w:color w:val="000080"/>
            <w:sz w:val="20"/>
            <w:u w:val="single"/>
          </w:rPr>
          <w:t>Table of Content</w:t>
        </w:r>
      </w:hyperlink>
      <w:hyperlink w:anchor="i8d8975fd09cd414dbd82a30a6a6530aa_7">
        <w:r>
          <w:rPr>
            <w:rStyle w:val="InternetLink"/>
            <w:rFonts w:ascii="Times New Roman;serif" w:hAnsi="Times New Roman;serif"/>
            <w:b w:val="false"/>
            <w:color w:val="000080"/>
            <w:sz w:val="20"/>
            <w:u w:val="single"/>
          </w:rPr>
          <w: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September 11, 2026 </w:t>
      </w:r>
    </w:p>
    <w:p>
      <w:pPr>
        <w:pStyle w:val="TextBody"/>
        <w:bidi w:val="0"/>
        <w:spacing w:lineRule="auto" w:line="288" w:before="0" w:after="0"/>
        <w:jc w:val="left"/>
        <w:rPr>
          <w:color w:val="000000"/>
        </w:rPr>
      </w:pPr>
      <w:r>
        <w:rPr>
          <w:color w:val="000000"/>
        </w:rPr>
        <w:t> </w:t>
      </w:r>
    </w:p>
    <w:tbl>
      <w:tblPr>
        <w:tblW w:w="3955" w:type="dxa"/>
        <w:jc w:val="right"/>
        <w:tblInd w:w="0" w:type="dxa"/>
        <w:tblLayout w:type="fixed"/>
        <w:tblCellMar>
          <w:top w:w="28" w:type="dxa"/>
          <w:left w:w="28" w:type="dxa"/>
          <w:bottom w:w="28" w:type="dxa"/>
          <w:right w:w="28" w:type="dxa"/>
        </w:tblCellMar>
      </w:tblPr>
      <w:tblGrid>
        <w:gridCol w:w="335"/>
        <w:gridCol w:w="295"/>
        <w:gridCol w:w="295"/>
        <w:gridCol w:w="295"/>
        <w:gridCol w:w="295"/>
        <w:gridCol w:w="295"/>
        <w:gridCol w:w="620"/>
        <w:gridCol w:w="620"/>
        <w:gridCol w:w="905"/>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9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GUIDEWIRE SOFTWARE, INC.</w:t>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JEFF COOPER</w:t>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 Cooper</w:t>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POWER OF ATTORNEY</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Each person whose individual signature appears below hereby authorizes and appoints Mike Rosenbaum, Jeff Cooper, and Winston King,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9398" w:type="dxa"/>
        <w:jc w:val="left"/>
        <w:tblInd w:w="0" w:type="dxa"/>
        <w:tblLayout w:type="fixed"/>
        <w:tblCellMar>
          <w:top w:w="28" w:type="dxa"/>
          <w:left w:w="28" w:type="dxa"/>
          <w:bottom w:w="28" w:type="dxa"/>
          <w:right w:w="28" w:type="dxa"/>
        </w:tblCellMar>
      </w:tblPr>
      <w:tblGrid>
        <w:gridCol w:w="856"/>
        <w:gridCol w:w="751"/>
        <w:gridCol w:w="762"/>
        <w:gridCol w:w="109"/>
        <w:gridCol w:w="109"/>
        <w:gridCol w:w="109"/>
        <w:gridCol w:w="1592"/>
        <w:gridCol w:w="1592"/>
        <w:gridCol w:w="1616"/>
        <w:gridCol w:w="109"/>
        <w:gridCol w:w="109"/>
        <w:gridCol w:w="109"/>
        <w:gridCol w:w="458"/>
        <w:gridCol w:w="458"/>
        <w:gridCol w:w="659"/>
      </w:tblGrid>
      <w:tr>
        <w:trPr/>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2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MIKE ROSENBAUM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Mike Rosenbaum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JEFF COOPER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 Cooper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DAVID PETERSON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David Peterson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KELLER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Keller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MARK ANQUILLARE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Anquillare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David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MARGARET DILLON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Margaret Dillon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CATHERINE P. LEGO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Catherine P. Lego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RAJANI RAMANATHAN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Rajani Ramanathan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JEFFREY SLOAN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Jeffrey Sloan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ALEXANDER VOLLERT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2026</w:t>
            </w:r>
          </w:p>
        </w:tc>
      </w:tr>
      <w:tr>
        <w:trPr/>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Alexander Vollert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THE COMPANY’S SECURITIES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REGISTERED PURSUANT TO SECTION 12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OF 1934, AS AMENDED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Guidewire Software, Inc. (“Guidewire,” the “Company,” “we,” “us,” or “our”) had one class of securities registered under Section 12 of the Securities Exchange Act of 1934, as amended (the “Exchange Act”): our common stock.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500,000,000 shares of common stock, par value $0.0001 per share, and 25,000,000 shares of undesignated preferred stock, par value $0.0001 per share. The following description of our common stock does not purport to be complete and is subject to, and qualified in its entirety by, our amended and restated certificate of incorporation and our amended and restated bylaws, each of which is incorporated by reference as an exhibit to our Annual Report on Form 10-K for the fiscal year ended July 31, 2026.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our common stock are entitled to one vote per share on all matters to be voted on by the stockholders. Subject to preferences that may be applicable to any outstanding shares of preferred stock, holders of common stock are entitled to receive ratably such dividends when, as and if declared by the board of directors out of funds legally available therefor. In the event we liquidate, dissolve or wind up, holders of common stock are entitled to share ratably in all assets remaining after payment of liabilities and the liquidation preferences of any outstanding shares of preferred stock. Holders of common stock have no preemptive, conversion or subscription rights. There are no redemption or sinking fund provisions applicable to the common stock. All outstanding shares of common stock are fully paid and non-assessable.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listed and traded on the New York Stock Exchange under the symbol “GWRE.”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Preferred Stock – Limitations on Rights of Holders of Common Stock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may, without further action by our stockholders, fix the rights, preferences, privileges and restrictions of up to an aggregate of 25,000,000 shares of preferred stock in one or more series and authorize their issuance. These rights, preferences and privileges could include dividend rights, conversion rights, voting rights, rights and terms of redemption (including sinking fund provisions),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upon liquidation. In addition, the issuance of preferred stock could have the effect of delaying, deferring or preventing a change of control or other corporate action.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Transfer Agent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transfer agent for our common stock is Computershare Trust Company, N.A.</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Anti-Takeover Effects of Delaware Law and Our Amended and Restated Certificate of Incorporation and Amended and Restated Bylaws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provisions of Delaware law, our amended and restated certificate of incorporation and our amended and restated bylaws could have the effect of delaying, deferring or discouraging another party from acquiring control of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These provisions, which are summarized below, may have the effect of discouraging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lineRule="auto" w:line="288" w:before="240" w:after="283"/>
        <w:jc w:val="left"/>
        <w:rPr/>
      </w:pPr>
      <w:r>
        <w:rPr>
          <w:rFonts w:ascii="Times New Roman;serif" w:hAnsi="Times New Roman;serif"/>
          <w:b w:val="false"/>
          <w:i/>
          <w:color w:val="000000"/>
          <w:sz w:val="20"/>
        </w:rPr>
        <w:t>Limits on ability of stockholders to call a special meeting</w:t>
      </w:r>
      <w:r>
        <w:rPr>
          <w:rFonts w:ascii="Times New Roman;serif" w:hAnsi="Times New Roman;serif"/>
          <w:b w:val="false"/>
          <w:color w:val="000000"/>
          <w:sz w:val="20"/>
        </w:rPr>
        <w:t xml:space="preserve">. Our amended and restated bylaws provide that special meetings of the stockholders may be called only by the board of directors, chairperson of the board of directors, chief executive officer or president (in the absence of a chief executive officer) or the corporate secretary at the written request of one or more holders of record of at least twenty percent (20%) of all then outstanding shares of capital stock of the Company entitled to vote at such meeting, but a special meeting may not be called by any other person or persons. These restrictions may delay the ability of our stockholders to force consideration of a proposal, including the removal of directors. </w:t>
      </w:r>
    </w:p>
    <w:p>
      <w:pPr>
        <w:pStyle w:val="TextBody"/>
        <w:bidi w:val="0"/>
        <w:spacing w:lineRule="auto" w:line="288" w:before="240" w:after="283"/>
        <w:jc w:val="left"/>
        <w:rPr/>
      </w:pPr>
      <w:r>
        <w:rPr>
          <w:rFonts w:ascii="Times New Roman;serif" w:hAnsi="Times New Roman;serif"/>
          <w:b w:val="false"/>
          <w:i/>
          <w:color w:val="000000"/>
          <w:sz w:val="20"/>
        </w:rPr>
        <w:t>Requirements for advance notification of stockholder nominations and proposals</w:t>
      </w:r>
      <w:r>
        <w:rPr>
          <w:rFonts w:ascii="Times New Roman;serif" w:hAnsi="Times New Roman;serif"/>
          <w:b w:val="false"/>
          <w:color w:val="000000"/>
          <w:sz w:val="20"/>
        </w:rPr>
        <w:t xml:space="preserve">. Our amended and restated bylaws establish advance notice procedures with respect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w:t>
      </w:r>
    </w:p>
    <w:p>
      <w:pPr>
        <w:pStyle w:val="TextBody"/>
        <w:bidi w:val="0"/>
        <w:spacing w:lineRule="auto" w:line="288" w:before="240" w:after="283"/>
        <w:jc w:val="left"/>
        <w:rPr/>
      </w:pPr>
      <w:r>
        <w:rPr>
          <w:rFonts w:ascii="Times New Roman;serif" w:hAnsi="Times New Roman;serif"/>
          <w:b w:val="false"/>
          <w:i/>
          <w:color w:val="000000"/>
          <w:sz w:val="20"/>
        </w:rPr>
        <w:t>No cumulative voting</w:t>
      </w:r>
      <w:r>
        <w:rPr>
          <w:rFonts w:ascii="Times New Roman;serif" w:hAnsi="Times New Roman;serif"/>
          <w:b w:val="false"/>
          <w:color w:val="000000"/>
          <w:sz w:val="20"/>
        </w:rPr>
        <w:t xml:space="preserve">. The Delaware General Corporation Law provides that stockholders are not entitled to the right to cumulate votes in the election of directors unless our amended and restated certificate of incorporation provides otherwise. Our amended and restated certificate of incorporation and amended and restated bylaws do not expressly provide for cumulative voting.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Board Composition, Filling Vacancies, and Removal</w:t>
      </w:r>
      <w:r>
        <w:rPr>
          <w:rFonts w:ascii="Times New Roman;serif" w:hAnsi="Times New Roman;serif"/>
          <w:b w:val="false"/>
          <w:color w:val="000000"/>
          <w:sz w:val="20"/>
        </w:rPr>
        <w:t>. Each director shall be elected to hold office for a one-year term expiring at the next annual meeting of stockholders, subject to any limitations set forth in our amended and restated bylaws. Directors are elected by a majority of votes cast in uncontested elections and by a plurality vote in contested elections. Any vacancy on our board of directors, however occurring, including a vacancy resulting from an increase in the size of our board, may only be filled by the affirmative vote of a majority of our directors then in office even if less than a quorum, or by a sole remaining director. The limitations on treatment of vacancies have the effect of making it more difficult for stockholders to change the composition of our board of directors. Any director may be removed from office by our stockholders with or without cause.</w:t>
      </w:r>
    </w:p>
    <w:p>
      <w:pPr>
        <w:pStyle w:val="TextBody"/>
        <w:bidi w:val="0"/>
        <w:spacing w:lineRule="auto" w:line="288" w:before="240" w:after="283"/>
        <w:jc w:val="left"/>
        <w:rPr/>
      </w:pPr>
      <w:r>
        <w:rPr>
          <w:rFonts w:ascii="Times New Roman;serif" w:hAnsi="Times New Roman;serif"/>
          <w:b w:val="false"/>
          <w:i/>
          <w:color w:val="000000"/>
          <w:sz w:val="20"/>
        </w:rPr>
        <w:t>No Written Consent of Stockholders</w:t>
      </w:r>
      <w:r>
        <w:rPr>
          <w:rFonts w:ascii="Times New Roman;serif" w:hAnsi="Times New Roman;serif"/>
          <w:b w:val="false"/>
          <w:color w:val="000000"/>
          <w:sz w:val="20"/>
        </w:rPr>
        <w:t xml:space="preserve">. 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 </w:t>
      </w:r>
    </w:p>
    <w:p>
      <w:pPr>
        <w:pStyle w:val="TextBody"/>
        <w:bidi w:val="0"/>
        <w:spacing w:lineRule="auto" w:line="288" w:before="240" w:after="283"/>
        <w:jc w:val="left"/>
        <w:rPr/>
      </w:pPr>
      <w:r>
        <w:rPr>
          <w:rFonts w:ascii="Times New Roman;serif" w:hAnsi="Times New Roman;serif"/>
          <w:b w:val="false"/>
          <w:i/>
          <w:color w:val="000000"/>
          <w:sz w:val="20"/>
        </w:rPr>
        <w:t>Amendment to Certificate of Incorporation and Bylaws</w:t>
      </w:r>
      <w:r>
        <w:rPr>
          <w:rFonts w:ascii="Times New Roman;serif" w:hAnsi="Times New Roman;serif"/>
          <w:b w:val="false"/>
          <w:color w:val="000000"/>
          <w:sz w:val="20"/>
        </w:rPr>
        <w:t xml:space="preserve">. Any amendment of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Our amended and restated bylaws may be amended by the affirmative vote of a majority of the directors then in office, subject to any limitations set forth in our amended and restated bylaws; and may also be amended by the affirmative vote of a majority of the outstanding shares entitled to vote on the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i/>
          <w:color w:val="000000"/>
          <w:sz w:val="20"/>
        </w:rPr>
        <w:t>Undesignated Preferred Stock</w:t>
      </w:r>
      <w:r>
        <w:rPr>
          <w:rFonts w:ascii="Times New Roman;serif" w:hAnsi="Times New Roman;serif"/>
          <w:b w:val="false"/>
          <w:color w:val="000000"/>
          <w:sz w:val="20"/>
        </w:rPr>
        <w:t xml:space="preserve">. Our amended and restated certificate of incorporation provides for 25,000,000 authorized shares of preferred stock. The existence of authorized but unissued shares of preferred stock may enable our board of directors to render more difficult or to discourage an attempt to obtain control of us by means of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0"/>
        </w:rPr>
        <w:t>Exclusive Forum</w:t>
      </w:r>
      <w:r>
        <w:rPr>
          <w:rFonts w:ascii="Times New Roman;serif" w:hAnsi="Times New Roman;serif"/>
          <w:b w:val="false"/>
          <w:color w:val="000000"/>
          <w:sz w:val="20"/>
        </w:rPr>
        <w:t>. Our amended and restated bylaws provide</w:t>
      </w:r>
      <w:r>
        <w:rPr>
          <w:color w:val="000000"/>
        </w:rPr>
        <w:t xml:space="preserve"> </w:t>
      </w:r>
      <w:r>
        <w:rPr>
          <w:rFonts w:ascii="Times New Roman;serif" w:hAnsi="Times New Roman;serif"/>
          <w:b w:val="false"/>
          <w:color w:val="000000"/>
          <w:sz w:val="20"/>
        </w:rPr>
        <w:t>that, unless we consent in writing to the selection of an alternative forum, the Court of Chancery of the State of Delaware (or, if the Chancery Court does not have jurisdiction, the federal district court for the District of Delaware or other state courts of the State of Delaware) will be the sole and exclusive forum for any state law claim for (i) any derivative action or proceeding brought on our behalf; (ii) any action asserting a claim of breach of a fiduciary duty owed by any of our directors, officers or other employees to us or our stockholders; (iii) any action asserting a claim arising pursuant to the Delaware General Corporation Law, our amended and restated certificate of incorporation or our amended and restated bylaws; or (iv) any action asserting a claim that is governed by the internal affairs doctrine (the “Delaware Forum Provision”). The Delaware Forum Provision will not apply to any causes of action arising under the Exchange Act or any other claim for which the federal courts of the United States have exclusive jurisdiction.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of 1933, as amended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 different judgments or results than other courts.</w:t>
      </w:r>
      <w:r>
        <w:rPr>
          <w:color w:val="000000"/>
        </w:rPr>
        <w:t xml:space="preserve"> </w:t>
      </w:r>
      <w:r>
        <w:rPr>
          <w:rFonts w:ascii="Times New Roman;serif" w:hAnsi="Times New Roman;serif"/>
          <w:b w:val="false"/>
          <w:color w:val="000000"/>
          <w:sz w:val="20"/>
        </w:rPr>
        <w:t>In addition, there is uncertainty as to whether the Federal Forum Provision for Securities Act claims will be enforced, which may impose additional costs on us and our stockholders.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Section 203 of the Delaware General Corporation Law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before the stockholder became interested, the board of directors of the corporation approved either the business combination or the transaction which resulted in the stockholder becoming an interested stockholder;</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Section 203 defines a business combination to include: </w:t>
      </w:r>
    </w:p>
    <w:p>
      <w:pPr>
        <w:pStyle w:val="TextBody"/>
        <w:bidi w:val="0"/>
        <w:spacing w:lineRule="auto" w:line="288" w:before="0" w:after="0"/>
        <w:jc w:val="left"/>
        <w:rPr>
          <w:color w:val="000000"/>
        </w:rPr>
      </w:pPr>
      <w:r>
        <w:rPr>
          <w:color w:val="000000"/>
        </w:rPr>
        <w:t> </w:t>
      </w:r>
    </w:p>
    <w:tbl>
      <w:tblPr>
        <w:tblW w:w="812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83"/>
        <w:gridCol w:w="2083"/>
        <w:gridCol w:w="2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merger or consolidation involving the corporation and the interested stockholder;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sale, transfer, lease, pledge or other disposition involving the interested stockholder of 10% or more of the assets of the corporation;</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exceptions, any transaction that results in the issuance of transfer by the corporation of any stock of the corporation to the interested stockholder;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receipt by the interested stockholder of the benefit of any loans, advances, guarantees, pledges or other financial benefits provided by or through the corporation.</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the Registrant</w:t>
      </w:r>
    </w:p>
    <w:tbl>
      <w:tblPr>
        <w:tblW w:w="8216" w:type="dxa"/>
        <w:jc w:val="center"/>
        <w:tblInd w:w="0" w:type="dxa"/>
        <w:tblLayout w:type="fixed"/>
        <w:tblCellMar>
          <w:top w:w="28" w:type="dxa"/>
          <w:left w:w="28" w:type="dxa"/>
          <w:bottom w:w="28" w:type="dxa"/>
          <w:right w:w="28" w:type="dxa"/>
        </w:tblCellMar>
      </w:tblPr>
      <w:tblGrid>
        <w:gridCol w:w="2075"/>
        <w:gridCol w:w="1824"/>
        <w:gridCol w:w="1831"/>
        <w:gridCol w:w="109"/>
        <w:gridCol w:w="109"/>
        <w:gridCol w:w="109"/>
        <w:gridCol w:w="632"/>
        <w:gridCol w:w="632"/>
        <w:gridCol w:w="895"/>
      </w:tblGrid>
      <w:tr>
        <w:trPr/>
        <w:tc>
          <w:tcPr>
            <w:tcW w:w="207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Country or Jurisdiction</w:t>
            </w:r>
          </w:p>
        </w:tc>
      </w:tr>
      <w:tr>
        <w:trPr/>
        <w:tc>
          <w:tcPr>
            <w:tcW w:w="5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Guidewire Servicos de Software do Brasil Ltda.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Patagonia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Guidewire Software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Solutions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Guidewire Software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Japan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Guidewire Software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Guidewire Software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Poland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Quantee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Software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Cyence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EagleEye Analytics,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HazardHub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Guidewire International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48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240" w:after="48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68" w:before="0" w:after="0"/>
        <w:jc w:val="both"/>
        <w:rPr/>
      </w:pPr>
      <w:r>
        <w:rPr>
          <w:rFonts w:ascii="Times New Roman;serif" w:hAnsi="Times New Roman;serif"/>
          <w:b w:val="false"/>
          <w:color w:val="000000"/>
          <w:sz w:val="20"/>
        </w:rPr>
        <w:t>We consent to the incorporation by reference in the registration statements (333-285642, 333-277769, 333-270321, 333-253968, 333-230132, 333-223478, 333-216530, 333-209906, 333-202541, 333-194290, 333-187004, and 333-479799) on Form S-8 of Guidewire Software, Inc. of our report dated September 11, 2026, with respect to the consolidated financial statements of Guidewire Software, Inc. and the effectiveness of internal control over financial reporting</w:t>
      </w:r>
      <w:r>
        <w:rPr>
          <w:rFonts w:ascii="Times New Roman;serif" w:hAnsi="Times New Roman;serif"/>
          <w:b w:val="false"/>
          <w:i/>
          <w:color w:val="000000"/>
          <w:sz w:val="20"/>
        </w:rPr>
        <w:t>.</w:t>
      </w:r>
      <w:r>
        <w:rPr>
          <w:color w:val="000000"/>
        </w:rPr>
        <w:t xml:space="preserve"> </w: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Santa Clara, California</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September 11,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Mike Rosenbaum, certify that:</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Annual Report on Form 10-K of Guidewire Software, Inc.;</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pPr>
      <w:r>
        <w:rPr>
          <w:rFonts w:ascii="Times New Roman;serif" w:hAnsi="Times New Roman;serif"/>
          <w:b w:val="false"/>
          <w:color w:val="000000"/>
          <w:sz w:val="18"/>
        </w:rPr>
        <w:t>5.</w:t>
      </w:r>
      <w:r>
        <w:rPr>
          <w:color w:val="000000"/>
        </w:rPr>
        <w:t xml:space="preserve"> </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00"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40"/>
        <w:gridCol w:w="640"/>
        <w:gridCol w:w="909"/>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Jeff Cooper, certify that:</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Annual Report on Form 10-K of Guidewire Software, Inc.;</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pPr>
      <w:r>
        <w:rPr>
          <w:rFonts w:ascii="Times New Roman;serif" w:hAnsi="Times New Roman;serif"/>
          <w:b w:val="false"/>
          <w:color w:val="000000"/>
          <w:sz w:val="18"/>
        </w:rPr>
        <w:t>5.</w:t>
      </w:r>
      <w:r>
        <w:rPr>
          <w:color w:val="000000"/>
        </w:rPr>
        <w:t xml:space="preserve"> </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55"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27"/>
        <w:gridCol w:w="627"/>
        <w:gridCol w:w="89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pPr>
      <w:r>
        <w:rPr>
          <w:rFonts w:ascii="Times New Roman;serif" w:hAnsi="Times New Roman;serif"/>
          <w:b/>
          <w:color w:val="000000"/>
          <w:sz w:val="20"/>
        </w:rPr>
        <w:t>E</w:t>
      </w:r>
      <w:r>
        <w:rPr>
          <w:rFonts w:ascii="Times New Roman;serif" w:hAnsi="Times New Roman;serif"/>
          <w:b/>
          <w:color w:val="000000"/>
          <w:sz w:val="18"/>
        </w:rPr>
        <w:t xml:space="preserve">xhibit 32.1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18 U.S.C. SECTION 1350,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906 OF THE SARBANES-OXLEY ACT OF 2002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18"/>
        </w:rPr>
        <w:t xml:space="preserve">In connection with the Annual Report on Form 10-K of Guidewire Software, Inc. for the year ended July 31, 2026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 </w:t>
      </w:r>
    </w:p>
    <w:tbl>
      <w:tblPr>
        <w:tblW w:w="4900"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40"/>
        <w:gridCol w:w="640"/>
        <w:gridCol w:w="909"/>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Mike Rosenbaum</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 connection with the Annual Report on Form 10-K of Guidewire Software, Inc. for the year ended July 31, 2026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 </w:t>
      </w:r>
    </w:p>
    <w:tbl>
      <w:tblPr>
        <w:tblW w:w="4855" w:type="dxa"/>
        <w:jc w:val="center"/>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120"/>
        <w:gridCol w:w="120"/>
        <w:gridCol w:w="120"/>
        <w:gridCol w:w="627"/>
        <w:gridCol w:w="627"/>
        <w:gridCol w:w="89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 Cooper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28396/000119312522310042/d440763dex31.htm" TargetMode="External"/><Relationship Id="rId4" Type="http://schemas.openxmlformats.org/officeDocument/2006/relationships/hyperlink" Target="https://www.sec.gov/Archives/edgar/data/0001528396/000119312522310042/d440763dex32.htm" TargetMode="External"/><Relationship Id="rId5" Type="http://schemas.openxmlformats.org/officeDocument/2006/relationships/hyperlink" Target="https://www.sec.gov/Archives/edgar/data/1528396/000119312512006627/d219721dex41.htm" TargetMode="External"/><Relationship Id="rId6" Type="http://schemas.openxmlformats.org/officeDocument/2006/relationships/hyperlink" Target="https://www.sec.gov/Archives/edgar/data/1528396/000119312524239688/d869983dex41.htm" TargetMode="External"/><Relationship Id="rId7" Type="http://schemas.openxmlformats.org/officeDocument/2006/relationships/hyperlink" Target="https://www.sec.gov/Archives/edgar/data/1528396/000119312524239688/d869983dex41.htm" TargetMode="External"/><Relationship Id="rId8" Type="http://schemas.openxmlformats.org/officeDocument/2006/relationships/hyperlink" Target="https://www.sec.gov/Archives/edgar/data/1528396/000152839620000012/a104-formltip.htm" TargetMode="External"/><Relationship Id="rId9" Type="http://schemas.openxmlformats.org/officeDocument/2006/relationships/hyperlink" Target="https://www.sec.gov/Archives/edgar/data/1528396/000152839623000017/gwreex101guidewire_ar2020s.htm" TargetMode="External"/><Relationship Id="rId10" Type="http://schemas.openxmlformats.org/officeDocument/2006/relationships/hyperlink" Target="https://www.sec.gov/Archives/edgar/data/1528396/000152839623000089/gwreex109-10k.htm" TargetMode="External"/><Relationship Id="rId11" Type="http://schemas.openxmlformats.org/officeDocument/2006/relationships/hyperlink" Target="https://www.sec.gov/Archives/edgar/data/1528396/000152839623000089/gwreex1010-10k.htm" TargetMode="External"/><Relationship Id="rId12" Type="http://schemas.openxmlformats.org/officeDocument/2006/relationships/hyperlink" Target="https://www.sec.gov/Archives/edgar/data/1528396/000152839623000089/gwreex1011-10k.htm" TargetMode="External"/><Relationship Id="rId13" Type="http://schemas.openxmlformats.org/officeDocument/2006/relationships/hyperlink" Target="https://www.sec.gov/Archives/edgar/data/1528396/000152839623000089/gwreex1012-10k.htm" TargetMode="External"/><Relationship Id="rId14" Type="http://schemas.openxmlformats.org/officeDocument/2006/relationships/hyperlink" Target="https://www.sec.gov/Archives/edgar/data/1528396/000152839623000089/gwreex1013-10k.htm" TargetMode="External"/><Relationship Id="rId15" Type="http://schemas.openxmlformats.org/officeDocument/2006/relationships/hyperlink" Target="https://www.sec.gov/Archives/edgar/data/1528396/000152839623000089/gwreex1014-10k.htm" TargetMode="External"/><Relationship Id="rId16" Type="http://schemas.openxmlformats.org/officeDocument/2006/relationships/hyperlink" Target="https://www.sec.gov/Archives/edgar/data/1528396/000119312511339725/d219721dex1012.htm" TargetMode="External"/><Relationship Id="rId17" Type="http://schemas.openxmlformats.org/officeDocument/2006/relationships/hyperlink" Target="https://www.sec.gov/Archives/edgar/data/1528396/000152839623000089/gwreex1016-10k.htm" TargetMode="External"/><Relationship Id="rId18" Type="http://schemas.openxmlformats.org/officeDocument/2006/relationships/hyperlink" Target="https://www.sec.gov/Archives/edgar/data/1528396/000119312519213000/d759177dex101.htm" TargetMode="External"/><Relationship Id="rId19" Type="http://schemas.openxmlformats.org/officeDocument/2006/relationships/hyperlink" Target="https://www.sec.gov/Archives/edgar/data/1528396/000152839620000070/gwre-ex101rosenbaumexe.htm" TargetMode="External"/><Relationship Id="rId20" Type="http://schemas.openxmlformats.org/officeDocument/2006/relationships/hyperlink" Target="https://www.sec.gov/Archives/edgar/data/1528396/000152839622000053/gwreex101executiveagreem.htm" TargetMode="External"/><Relationship Id="rId21" Type="http://schemas.openxmlformats.org/officeDocument/2006/relationships/hyperlink" Target="https://www.sec.gov/Archives/edgar/data/1528396/000119312511285002/d219721dex101.htm" TargetMode="External"/><Relationship Id="rId22" Type="http://schemas.openxmlformats.org/officeDocument/2006/relationships/hyperlink" Target="https://www.sec.gov/Archives/edgar/data/1528396/000152839618000037/hqleasebaymeadowsex1011.htm" TargetMode="External"/><Relationship Id="rId23" Type="http://schemas.openxmlformats.org/officeDocument/2006/relationships/hyperlink" Target="https://www.sec.gov/Archives/edgar/data/1528396/000152839623000024/ex101-guidewireleaseassign.htm" TargetMode="External"/><Relationship Id="rId24" Type="http://schemas.openxmlformats.org/officeDocument/2006/relationships/hyperlink" Target="https://www.sec.gov/Archives/edgar/data/1528396/000152839623000024/ex102-guidewiresublease.htm" TargetMode="External"/><Relationship Id="rId25" Type="http://schemas.openxmlformats.org/officeDocument/2006/relationships/hyperlink" Target="https://www.sec.gov/Archives/edgar/data/1528396/000119312524239688/d869983dex101.htm" TargetMode="External"/><Relationship Id="rId26" Type="http://schemas.openxmlformats.org/officeDocument/2006/relationships/hyperlink" Target="https://www.sec.gov/Archives/edgar/data/1528396/000152839624000160/exhibit101toxcreditagreeme.htm" TargetMode="External"/><Relationship Id="rId27" Type="http://schemas.openxmlformats.org/officeDocument/2006/relationships/hyperlink" Target="https://www.sec.gov/Archives/edgar/data/1528396/000152839624000162/gwreex191insidertradingp.htm" TargetMode="External"/><Relationship Id="rId28" Type="http://schemas.openxmlformats.org/officeDocument/2006/relationships/hyperlink" Target="https://www.sec.gov/Archives/edgar/data/1528396/000152839624000162/gwreex996compensationrec.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69670</Words>
  <Characters>398457</Characters>
  <CharactersWithSpaces>465252</CharactersWithSpaces>
  <Paragraphs>5133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