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rFonts w:ascii="MS PGothic" w:cs="MS PGothic" w:eastAsia="MS PGothic" w:hAnsi="MS PGothic"/>
          <w:sz w:val="22"/>
          <w:szCs w:val="22"/>
          <w:color w:val="auto"/>
        </w:rPr>
      </w:pPr>
    </w:p>
    <w:p>
      <w:pPr>
        <w:ind w:left="37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October 31, 2022</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001-35394</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Guidewire Software, Inc.</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52"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400" w:type="dxa"/>
            <w:vAlign w:val="bottom"/>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36-4468504</w:t>
            </w:r>
          </w:p>
        </w:tc>
      </w:tr>
      <w:tr>
        <w:trPr>
          <w:trHeight w:val="146"/>
        </w:trPr>
        <w:tc>
          <w:tcPr>
            <w:tcW w:w="4400" w:type="dxa"/>
            <w:vAlign w:val="bottom"/>
          </w:tcPr>
          <w:p>
            <w:pPr>
              <w:jc w:val="center"/>
              <w:ind w:right="164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20" w:type="dxa"/>
            <w:vAlign w:val="bottom"/>
          </w:tcPr>
          <w:p>
            <w:pPr>
              <w:jc w:val="center"/>
              <w:ind w:left="1623"/>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00" w:type="dxa"/>
            <w:vAlign w:val="bottom"/>
          </w:tcPr>
          <w:p>
            <w:pPr>
              <w:jc w:val="center"/>
              <w:ind w:right="16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20" w:type="dxa"/>
            <w:vAlign w:val="bottom"/>
          </w:tcPr>
          <w:p>
            <w:pPr>
              <w:jc w:val="center"/>
              <w:ind w:left="16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8"/>
        </w:trPr>
        <w:tc>
          <w:tcPr>
            <w:tcW w:w="4400" w:type="dxa"/>
            <w:vAlign w:val="bottom"/>
          </w:tcPr>
          <w:p>
            <w:pPr>
              <w:jc w:val="center"/>
              <w:ind w:right="1642"/>
              <w:spacing w:after="0"/>
              <w:rPr>
                <w:sz w:val="20"/>
                <w:szCs w:val="20"/>
                <w:color w:val="auto"/>
              </w:rPr>
            </w:pPr>
            <w:r>
              <w:rPr>
                <w:rFonts w:ascii="Times New Roman" w:cs="Times New Roman" w:eastAsia="Times New Roman" w:hAnsi="Times New Roman"/>
                <w:sz w:val="16"/>
                <w:szCs w:val="16"/>
                <w:b w:val="1"/>
                <w:bCs w:val="1"/>
                <w:color w:val="auto"/>
              </w:rPr>
              <w:t>2850 S. Delaware St., Suite 400</w:t>
            </w:r>
          </w:p>
        </w:tc>
        <w:tc>
          <w:tcPr>
            <w:tcW w:w="282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94403</w:t>
            </w:r>
          </w:p>
        </w:tc>
      </w:tr>
      <w:tr>
        <w:trPr>
          <w:trHeight w:val="212"/>
        </w:trPr>
        <w:tc>
          <w:tcPr>
            <w:tcW w:w="4400" w:type="dxa"/>
            <w:vAlign w:val="bottom"/>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rPr>
              <w:t>San Mateo, California</w:t>
            </w:r>
          </w:p>
        </w:tc>
        <w:tc>
          <w:tcPr>
            <w:tcW w:w="2820" w:type="dxa"/>
            <w:vAlign w:val="bottom"/>
          </w:tcPr>
          <w:p>
            <w:pPr>
              <w:spacing w:after="0"/>
              <w:rPr>
                <w:sz w:val="18"/>
                <w:szCs w:val="18"/>
                <w:color w:val="auto"/>
              </w:rPr>
            </w:pPr>
          </w:p>
        </w:tc>
      </w:tr>
      <w:tr>
        <w:trPr>
          <w:trHeight w:val="214"/>
        </w:trPr>
        <w:tc>
          <w:tcPr>
            <w:tcW w:w="4400" w:type="dxa"/>
            <w:vAlign w:val="bottom"/>
          </w:tcPr>
          <w:p>
            <w:pPr>
              <w:jc w:val="center"/>
              <w:ind w:right="164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623"/>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357-9100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85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GWRE</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4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955040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283"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1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line="20" w:lineRule="exact"/>
              <w:rPr>
                <w:sz w:val="1"/>
                <w:szCs w:val="1"/>
                <w:color w:val="auto"/>
              </w:rPr>
            </w:pP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37"/>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vMerge w:val="continue"/>
          </w:tcPr>
          <w:p>
            <w:pPr>
              <w:spacing w:after="0"/>
              <w:rPr>
                <w:sz w:val="24"/>
                <w:szCs w:val="24"/>
                <w:color w:val="auto"/>
              </w:rPr>
            </w:pPr>
          </w:p>
        </w:tc>
        <w:tc>
          <w:tcPr>
            <w:tcW w:w="49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4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5" w:lineRule="exact"/>
        <w:rPr>
          <w:sz w:val="20"/>
          <w:szCs w:val="20"/>
          <w:color w:val="auto"/>
        </w:rPr>
      </w:pPr>
    </w:p>
    <w:p>
      <w:pPr>
        <w:ind w:left="460" w:right="136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November 30, 2022, the registrant had 81,876,197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2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Guidewire Software,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540" w:type="dxa"/>
            <w:vAlign w:val="bottom"/>
            <w:gridSpan w:val="8"/>
          </w:tcPr>
          <w:p>
            <w:pPr>
              <w:jc w:val="center"/>
              <w:ind w:right="4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104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31, 2022 and July 31, 2022</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October 31, 2022 and 2021</w:t>
            </w:r>
          </w:p>
        </w:tc>
        <w:tc>
          <w:tcPr>
            <w:tcW w:w="1780" w:type="dxa"/>
            <w:vAlign w:val="bottom"/>
            <w:gridSpan w:val="3"/>
          </w:tcPr>
          <w:p>
            <w:pPr>
              <w:spacing w:after="0"/>
              <w:rPr>
                <w:sz w:val="22"/>
                <w:szCs w:val="22"/>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1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Months Ended October 31, 2022 and 2021</w:t>
            </w:r>
          </w:p>
        </w:tc>
        <w:tc>
          <w:tcPr>
            <w:tcW w:w="360" w:type="dxa"/>
            <w:vAlign w:val="bottom"/>
            <w:gridSpan w:val="2"/>
          </w:tcPr>
          <w:p>
            <w:pPr>
              <w:spacing w:after="0"/>
              <w:rPr>
                <w:sz w:val="22"/>
                <w:szCs w:val="22"/>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October 31, 2022 and</w:t>
            </w: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2021</w:t>
            </w: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3"/>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October 31, 2022 and 2021</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760" w:type="dxa"/>
            <w:vAlign w:val="bottom"/>
            <w:gridSpan w:val="5"/>
          </w:tcPr>
          <w:p>
            <w:pPr>
              <w:spacing w:after="0"/>
              <w:rPr>
                <w:sz w:val="22"/>
                <w:szCs w:val="22"/>
                <w:color w:val="auto"/>
              </w:rPr>
            </w:pPr>
          </w:p>
        </w:tc>
        <w:tc>
          <w:tcPr>
            <w:tcW w:w="1780" w:type="dxa"/>
            <w:vAlign w:val="bottom"/>
            <w:gridSpan w:val="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826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00" w:type="dxa"/>
            <w:vAlign w:val="bottom"/>
            <w:gridSpan w:val="1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0" w:type="dxa"/>
            <w:vAlign w:val="bottom"/>
            <w:gridSpan w:val="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1"/>
        </w:trPr>
        <w:tc>
          <w:tcPr>
            <w:tcW w:w="3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6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w:t>
      </w:r>
    </w:p>
    <w:p>
      <w:pPr>
        <w:spacing w:after="0" w:line="60"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13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17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prospects of the property and casualty (“P&amp;C”) insurance industry and our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developing market for subscription services and uncertainties related to this sales and delivery model, including the migration of our existing term license customers to cloud-based offerings on a subscription basis, the security of our cloud-based operations, or failure to meet stipulated service levels with our subscription services;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and operating margins and factors that affect such margins, including costs related to operating, securing and enhancing our subscription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and timing of future sales, including the mix between license and subscription revenue and seasonality;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environment and changes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attributes of our software applications and delivery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revenue mix resulting in potential declines in our subscription and support gross margin or our services gross margin;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orders from a relatively small number of customers in the P&amp;C insurance industry for a substantial portion of our revenue and Annual Recurring Revenue (“ARR”);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number of professional services engagements and the billing rates and utilization of our professional services employees and contractors;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further increase sales both in the United States and internationally;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any of our established services or products to satisfy customer demands or to maintain market acceptance;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implementation cycles are lengthy and variable, depend upon factors outside our control, and could cause us to expend significant time and resources prior to generating revenue;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customers have substantial negotiating leverage, which may require that we agree to terms and conditions that result in increased cost of revenue, decreased revenue, and lower average selling prices and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customers renewing and expanding their license, support, and subscription contracts for our services and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develop, introduce, and market new and enhanced versions of our services and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research and development and cloud operations investment and efforts;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current and evolving local and foreign data privacy laws, including the General Data Protection Regulation in the European Union (“EU”) and in the United Kingdom (“U.K.”),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and hiring new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be incurred, and benefits to be achieved, from our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tax liabilities, judgments related to revenue recognition, and other critical accounting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share repurchases by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revised regulations, laws, including tax laws in jurisdictions in which we operate, and accounting standards;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apply accounting guidance that requires management to make estimates and assumptions and to adapt to and interpret the requirements of new guidance, to clearly explain to stockholders how new guidance affects reporting of our results of operations, and to develop and maintain effective disclosure controls and procedures or internal controls to prevent errors and fraud;</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market risks, including geographical and political events such as escalation in the ongoing conflict between Russia and Ukraine, supply chain disruptions, and inflation, that may negatively impact our customers, partners, and vendors or our business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concerns could result in regulatory changes and impose additional costs and liabilities on us and limit our use of information;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uncertainties related to the global COVID-19 pandemic and future mutations or related strains of the virus on the U.S. and global economies, our business, our employees, results of operations, financial condition, demand for our products, sales and implementation cycles, and the health of our customers’ and partners’ businesses;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breaches of our cloud-based services or products or unauthorized access to our customers’ or employees’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which could result in securities class action litigation against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future liquidity requirements.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Risk Factors included in Item 1A of Part II of this Quarterly Report on Form 10-Q and the other information set forth in this Quarterly Report on Form 10-Q, including our condensed consolidated financial statements and related notes thereto, as well as in other documents that we file with the U.S. Securities and Exchange Commission (the “SEC”). Additional risks and uncertainties beyond those summarized above or discussed elsewhere in this Quarterly Report on Form 10-Q may apply to our business, activities, or operations as currently conducted or as we may conduct them in the future or in the markets in which we operate or may in the future operate.</w:t>
      </w:r>
    </w:p>
    <w:p>
      <w:pPr>
        <w:spacing w:after="0" w:line="2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_____________</w:t>
      </w:r>
    </w:p>
    <w:p>
      <w:pPr>
        <w:spacing w:after="0" w:line="200" w:lineRule="exact"/>
        <w:rPr>
          <w:sz w:val="20"/>
          <w:szCs w:val="20"/>
          <w:color w:val="auto"/>
        </w:rPr>
      </w:pPr>
    </w:p>
    <w:p>
      <w:pPr>
        <w:spacing w:after="0" w:line="36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00" w:lineRule="exact"/>
        <w:rPr>
          <w:sz w:val="20"/>
          <w:szCs w:val="20"/>
          <w:color w:val="auto"/>
        </w:rPr>
      </w:pPr>
    </w:p>
    <w:p>
      <w:pPr>
        <w:spacing w:after="0" w:line="24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4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420" w:type="dxa"/>
            <w:vAlign w:val="bottom"/>
          </w:tcPr>
          <w:p>
            <w:pPr>
              <w:spacing w:after="0"/>
              <w:rPr>
                <w:sz w:val="24"/>
                <w:szCs w:val="24"/>
                <w:color w:val="auto"/>
              </w:rPr>
            </w:pP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606,303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369,865</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$285 and $359, respectively</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143,797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71,515</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61,223</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943,556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1,252,703</w:t>
            </w:r>
          </w:p>
        </w:tc>
        <w:tc>
          <w:tcPr>
            <w:tcW w:w="0" w:type="dxa"/>
            <w:vAlign w:val="bottom"/>
          </w:tcPr>
          <w:p>
            <w:pPr>
              <w:spacing w:after="0"/>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187,507</w:t>
            </w:r>
          </w:p>
        </w:tc>
        <w:tc>
          <w:tcPr>
            <w:tcW w:w="0" w:type="dxa"/>
            <w:vAlign w:val="bottom"/>
          </w:tcPr>
          <w:p>
            <w:pPr>
              <w:spacing w:after="0"/>
              <w:rPr>
                <w:sz w:val="1"/>
                <w:szCs w:val="1"/>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80,740</w:t>
            </w:r>
          </w:p>
        </w:tc>
        <w:tc>
          <w:tcPr>
            <w:tcW w:w="0" w:type="dxa"/>
            <w:vAlign w:val="bottom"/>
          </w:tcPr>
          <w:p>
            <w:pPr>
              <w:spacing w:after="0"/>
              <w:rPr>
                <w:sz w:val="1"/>
                <w:szCs w:val="1"/>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90,287</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372,192</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191,461</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56,732</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1,948,508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2,266,897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gridSpan w:val="3"/>
            <w:vMerge w:val="continue"/>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41,649</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252,764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337,518</w:t>
            </w:r>
          </w:p>
        </w:tc>
        <w:tc>
          <w:tcPr>
            <w:tcW w:w="0" w:type="dxa"/>
            <w:vAlign w:val="bottom"/>
          </w:tcPr>
          <w:p>
            <w:pPr>
              <w:spacing w:after="0"/>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105,123</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358,216</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815,240</w:t>
            </w:r>
          </w:p>
        </w:tc>
        <w:tc>
          <w:tcPr>
            <w:tcW w:w="0" w:type="dxa"/>
            <w:vAlign w:val="bottom"/>
          </w:tcPr>
          <w:p>
            <w:pPr>
              <w:spacing w:after="0"/>
              <w:rPr>
                <w:sz w:val="1"/>
                <w:szCs w:val="1"/>
                <w:color w:val="auto"/>
              </w:rPr>
            </w:pPr>
          </w:p>
        </w:tc>
      </w:tr>
      <w:tr>
        <w:trPr>
          <w:trHeight w:val="21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1,755,476</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(283,982)</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1,185,161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1,451,657</w:t>
            </w:r>
          </w:p>
        </w:tc>
        <w:tc>
          <w:tcPr>
            <w:tcW w:w="0" w:type="dxa"/>
            <w:vAlign w:val="bottom"/>
          </w:tcPr>
          <w:p>
            <w:pPr>
              <w:spacing w:after="0"/>
              <w:rPr>
                <w:sz w:val="1"/>
                <w:szCs w:val="1"/>
                <w:color w:val="auto"/>
              </w:rPr>
            </w:pPr>
          </w:p>
        </w:tc>
      </w:tr>
      <w:tr>
        <w:trPr>
          <w:trHeight w:val="223"/>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1,948,508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2,266,897</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51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60" w:type="dxa"/>
            <w:vAlign w:val="bottom"/>
            <w:gridSpan w:val="4"/>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shares and per share amounts)</w:t>
            </w: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51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99,068</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4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46,791</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43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195,282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165,934</w:t>
            </w:r>
          </w:p>
        </w:tc>
        <w:tc>
          <w:tcPr>
            <w:tcW w:w="0" w:type="dxa"/>
            <w:vAlign w:val="bottom"/>
          </w:tcPr>
          <w:p>
            <w:pPr>
              <w:spacing w:after="0"/>
              <w:rPr>
                <w:sz w:val="1"/>
                <w:szCs w:val="1"/>
                <w:color w:val="auto"/>
              </w:rPr>
            </w:pPr>
          </w:p>
        </w:tc>
      </w:tr>
      <w:tr>
        <w:trPr>
          <w:trHeight w:val="210"/>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4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3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4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97,540</w:t>
            </w: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4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37,814</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43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68,394</w:t>
            </w:r>
          </w:p>
        </w:tc>
        <w:tc>
          <w:tcPr>
            <w:tcW w:w="0" w:type="dxa"/>
            <w:vAlign w:val="bottom"/>
          </w:tcPr>
          <w:p>
            <w:pPr>
              <w:spacing w:after="0"/>
              <w:rPr>
                <w:sz w:val="1"/>
                <w:szCs w:val="1"/>
                <w:color w:val="auto"/>
              </w:rPr>
            </w:pPr>
          </w:p>
        </w:tc>
      </w:tr>
      <w:tr>
        <w:trPr>
          <w:trHeight w:val="210"/>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133,771</w:t>
            </w:r>
          </w:p>
        </w:tc>
        <w:tc>
          <w:tcPr>
            <w:tcW w:w="0" w:type="dxa"/>
            <w:vAlign w:val="bottom"/>
          </w:tcPr>
          <w:p>
            <w:pPr>
              <w:spacing w:after="0"/>
              <w:rPr>
                <w:sz w:val="1"/>
                <w:szCs w:val="1"/>
                <w:color w:val="auto"/>
              </w:rPr>
            </w:pPr>
          </w:p>
        </w:tc>
      </w:tr>
      <w:tr>
        <w:trPr>
          <w:trHeight w:val="223"/>
        </w:trPr>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3"/>
        </w:trPr>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(68,314)</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3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3"/>
            <w:vMerge w:val="continue"/>
          </w:tcPr>
          <w:p>
            <w:pPr>
              <w:spacing w:after="0"/>
              <w:rPr>
                <w:sz w:val="15"/>
                <w:szCs w:val="15"/>
                <w:color w:val="auto"/>
              </w:rPr>
            </w:pPr>
          </w:p>
        </w:tc>
        <w:tc>
          <w:tcPr>
            <w:tcW w:w="4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5120" w:type="dxa"/>
            <w:vAlign w:val="bottom"/>
            <w:gridSpan w:val="2"/>
            <w:shd w:val="clear" w:color="auto" w:fill="CCEEFF"/>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4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83,320,967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83,225,743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646"/>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2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160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99"/>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(51,276)</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 on unrealized gains (losses) on available-for-sale securities</w:t>
            </w: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realized gains (losses) included in net income (loss)</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23"/>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(52,798)</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91" w:lineRule="auto"/>
        <w:rPr>
          <w:sz w:val="20"/>
          <w:szCs w:val="20"/>
          <w:color w:val="auto"/>
        </w:rPr>
      </w:pPr>
      <w:r>
        <w:rPr>
          <w:rFonts w:ascii="Times New Roman" w:cs="Times New Roman" w:eastAsia="Times New Roman" w:hAnsi="Times New Roman"/>
          <w:sz w:val="16"/>
          <w:szCs w:val="16"/>
          <w:b w:val="1"/>
          <w:bCs w:val="1"/>
          <w:color w:val="auto"/>
        </w:rPr>
        <w:t>GU</w:t>
      </w:r>
      <w:r>
        <w:rPr>
          <w:rFonts w:ascii="Times New Roman" w:cs="Times New Roman" w:eastAsia="Times New Roman" w:hAnsi="Times New Roman"/>
          <w:sz w:val="17"/>
          <w:szCs w:val="17"/>
          <w:b w:val="1"/>
          <w:bCs w:val="1"/>
          <w:color w:val="auto"/>
        </w:rPr>
        <w:t>IDEWIRE SOFTWARE, INC. AND SUBSIDIARIES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b w:val="1"/>
          <w:bCs w:val="1"/>
          <w:color w:val="auto"/>
        </w:rPr>
        <w:t>CONDENSED CONSOLIDATED STATEMENTS OF CHANGES IN STOCKHOLDERS’ EQUITY (unaudited, in thousands except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84,084,209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1,755,476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(283,982)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1,451,657</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(69,318)</w:t>
            </w:r>
          </w:p>
        </w:tc>
        <w:tc>
          <w:tcPr>
            <w:tcW w:w="0" w:type="dxa"/>
            <w:vAlign w:val="bottom"/>
          </w:tcPr>
          <w:p>
            <w:pPr>
              <w:spacing w:after="0"/>
              <w:rPr>
                <w:sz w:val="1"/>
                <w:szCs w:val="1"/>
                <w:color w:val="auto"/>
              </w:rPr>
            </w:pPr>
          </w:p>
        </w:tc>
      </w:tr>
      <w:tr>
        <w:trPr>
          <w:trHeight w:val="146"/>
        </w:trPr>
        <w:tc>
          <w:tcPr>
            <w:tcW w:w="43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("RSUs")</w:t>
            </w: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35,249</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(2,581,478)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39"/>
        </w:trPr>
        <w:tc>
          <w:tcPr>
            <w:tcW w:w="43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Adoption of Accounting Standards Update ("ASU") 2020-06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81,876,111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1,682,722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(23,963)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(473,606)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1,185,161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24"/>
                <w:szCs w:val="24"/>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8"/>
              <w:spacing w:after="0" w:line="11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83,194,157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1,617,204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1,544,894</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32,533</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142"/>
        </w:trPr>
        <w:tc>
          <w:tcPr>
            <w:tcW w:w="436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83,305,156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1,649,754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(143,638)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1,498,383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760" w:type="dxa"/>
            <w:vAlign w:val="bottom"/>
            <w:tcBorders>
              <w:bottom w:val="single" w:sz="8" w:color="auto"/>
            </w:tcBorders>
          </w:tcPr>
          <w:p>
            <w:pPr>
              <w:spacing w:after="0"/>
              <w:rPr>
                <w:sz w:val="18"/>
                <w:szCs w:val="18"/>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r>
      <w:tr>
        <w:trPr>
          <w:trHeight w:val="19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(69,318)</w:t>
            </w:r>
          </w:p>
        </w:tc>
        <w:tc>
          <w:tcPr>
            <w:tcW w:w="8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(51,276)</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of contract costs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32,240</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Changes to allowance for credit losses and revenue reserves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income tax</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(17,551)</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of premium (accretion of discount) on available-for-sale securities,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non-cash items affecting net income (loss)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24,088</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assets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(45,548)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(62,637)</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(30,456)</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Lease liabilities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r>
      <w:tr>
        <w:trPr>
          <w:trHeight w:val="207"/>
        </w:trPr>
        <w:tc>
          <w:tcPr>
            <w:tcW w:w="7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(87,435)</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(107,042)</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(169,232)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(241,247)</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available-for-sale securities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97,023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27,331</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Maturities of available-for-sale securities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272,943</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 of strategic investments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acquired cash</w:t>
            </w:r>
          </w:p>
        </w:tc>
        <w:tc>
          <w:tcPr>
            <w:tcW w:w="1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(43,830)</w:t>
            </w:r>
          </w:p>
        </w:tc>
      </w:tr>
      <w:tr>
        <w:trPr>
          <w:trHeight w:val="212"/>
        </w:trPr>
        <w:tc>
          <w:tcPr>
            <w:tcW w:w="7000" w:type="dxa"/>
            <w:vAlign w:val="bottom"/>
            <w:tcBorders>
              <w:top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(54,423)</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r>
      <w:tr>
        <w:trPr>
          <w:trHeight w:val="19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1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(26,262)</w:t>
            </w:r>
          </w:p>
        </w:tc>
      </w:tr>
      <w:tr>
        <w:trPr>
          <w:trHeight w:val="212"/>
        </w:trPr>
        <w:tc>
          <w:tcPr>
            <w:tcW w:w="7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(26,245)</w:t>
            </w:r>
          </w:p>
        </w:tc>
      </w:tr>
      <w:tr>
        <w:trPr>
          <w:trHeight w:val="207"/>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(344,850)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(126,190)</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614,686</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384,910</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CASH—End of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269,836</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258,720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19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9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income taxes, net of tax refunds</w:t>
            </w:r>
          </w:p>
        </w:tc>
        <w:tc>
          <w:tcPr>
            <w:tcW w:w="1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9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r>
      <w:tr>
        <w:trPr>
          <w:trHeight w:val="21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Accruals for purchase of property and equipment</w:t>
            </w:r>
          </w:p>
        </w:tc>
        <w:tc>
          <w:tcPr>
            <w:tcW w:w="19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9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r>
      <w:tr>
        <w:trPr>
          <w:trHeight w:val="21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Accruals for capitalized software development costs</w:t>
            </w:r>
          </w:p>
        </w:tc>
        <w:tc>
          <w:tcPr>
            <w:tcW w:w="1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9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 and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generally accepted accounting principles in the United States of America (“GAAP”). The condensed consolidated financial statements and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as of the beginning of fiscal year 2023, the Company revised its allocation methodology and presentation of certain expenses. The change resulted in facilities expenses, information technology infrastructure and software expenses, and information security infrastructure and software expenses being allocated to all functional departments based on headcount, with the remaining previously allocated costs being recorded within general and administrative expenses. The impact was an increase in general and administrative expenses and a decrease in cost of revenue and other operating expense categories. Accordingly, prior period amounts have been reclassified to conform to the current period presentation in the Company's condensed consolidated financial statements and the accompanying notes presented herein.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and related disclosures in conformity with GAAP and pursuant to the rules and regulations of the SEC, the Company must make estimates and judgments that affect the amounts reported in the condensed consolidated financial statements and accompanying notes. Actual results may differ materially from these estimates.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from those that were disclosed in the Company’s consolidated financial statements included in its Annual Report on Form 10-K, except for those disclosed herein.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2018, the Company issued $400.0 million aggregate principal amount of 1.25% Convertible Senior Notes due 2025 (the “Convertible Senior Notes”). Prior to the adoption of ASU 2020-06 on August 1, 2022, upon the issuance of the Convertible Senior Notes, the Company separated the Convertible Senior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Convertible Senior Notes as a whole. The difference between the principal amount of the Convertible Senior Notes and the liability component was initially recorded as a debt discount and was amortized as interest expense using the effective interest method over the term of the Convertible Senior Notes. Refer to Recently Adopted Accounting Pronouncements section for the adoption impact of ASU 2020-06.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acquisition consideration holdback subject to service conditions is held in escrow and considered restricted cash. At October 31, 2022, $4.6 million was included in prepaid expenses and other current assets and $2.1 million was included in other assets in the condensed consolidated balance sheet.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customer accounted for 10% or more of the Company's revenue in both the three months ended October 31, 2022, and 2021. One customer accounted for 10% or more of the Company's accounts receivable as of October 31, 2022, and no customer accounted for 10% or more of the Company's accounts receivable as of July 31, 2022.</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17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August 1, 2022, the Company adopted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In addition, this ASU amends the requirement for calculating diluted earnings per share for convertible instruments by using the “if-converted” method instead of the treasury stock method. The use of the “if-converted” method will not impact the Company's diluted earnings per share in the periods in which the Company has a net loss.</w:t>
      </w:r>
    </w:p>
    <w:p>
      <w:pPr>
        <w:spacing w:after="0" w:line="2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Company adopted the ASU using the modified retrospective transition method, and the prior period condensed consolidated financial statements have not been retrospectively adjusted and continue to be reported under the accounting standards in effect for that period. As a result of the adoption, the Company accounts for the Convertible Senior Notes as a single liability and no longer separately accounts for the liability and equity components. The adoption of this ASU also resulted in the de-recognition of a deferred tax liability, which represented a basis difference in the face value of the Convertible Senior Notes due to the previous allocation of a portion of the proceeds to the equity component. Additionally, the Company recorded a cumulative adjustment to decrease the beginning balance of the accumulated deficit on August 1, 2022, which represented a reversal in previously recorded amortization of debt discount through July 31, 2022.</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adjustments made to the condensed consolidated balance sheet as of August 1, 2022 as a result of applying the modified retrospective adoption method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Cumulative effect</w:t>
            </w:r>
          </w:p>
        </w:tc>
        <w:tc>
          <w:tcPr>
            <w:tcW w:w="160" w:type="dxa"/>
            <w:vAlign w:val="bottom"/>
          </w:tcPr>
          <w:p>
            <w:pPr>
              <w:spacing w:after="0"/>
              <w:rPr>
                <w:sz w:val="18"/>
                <w:szCs w:val="18"/>
                <w:color w:val="auto"/>
              </w:rPr>
            </w:pPr>
          </w:p>
        </w:tc>
        <w:tc>
          <w:tcPr>
            <w:tcW w:w="1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Adjusted beginning</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20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Balances reported as of</w:t>
            </w:r>
          </w:p>
        </w:tc>
        <w:tc>
          <w:tcPr>
            <w:tcW w:w="120" w:type="dxa"/>
            <w:vAlign w:val="bottom"/>
          </w:tcPr>
          <w:p>
            <w:pPr>
              <w:spacing w:after="0"/>
              <w:rPr>
                <w:sz w:val="15"/>
                <w:szCs w:val="15"/>
                <w:color w:val="auto"/>
              </w:rPr>
            </w:pPr>
          </w:p>
        </w:tc>
        <w:tc>
          <w:tcPr>
            <w:tcW w:w="19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adjustment due to</w:t>
            </w:r>
          </w:p>
        </w:tc>
        <w:tc>
          <w:tcPr>
            <w:tcW w:w="16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adoption of ASU 2020-</w:t>
            </w:r>
          </w:p>
        </w:tc>
        <w:tc>
          <w:tcPr>
            <w:tcW w:w="19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balance as of August 1,</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July 31, 2022</w:t>
            </w:r>
          </w:p>
        </w:tc>
        <w:tc>
          <w:tcPr>
            <w:tcW w:w="120" w:type="dxa"/>
            <w:vAlign w:val="bottom"/>
          </w:tcPr>
          <w:p>
            <w:pPr>
              <w:spacing w:after="0"/>
              <w:rPr>
                <w:sz w:val="19"/>
                <w:szCs w:val="19"/>
                <w:color w:val="auto"/>
              </w:rPr>
            </w:pPr>
          </w:p>
        </w:tc>
        <w:tc>
          <w:tcPr>
            <w:tcW w:w="1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200,405</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(1,687,473)</w:t>
            </w: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will be applicable to the Company are not expected to have a material impact on its present or future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license or service type is as follows (in thousands):</w:t>
      </w:r>
    </w:p>
    <w:p>
      <w:pPr>
        <w:spacing w:after="0" w:line="200" w:lineRule="exact"/>
        <w:rPr>
          <w:sz w:val="20"/>
          <w:szCs w:val="20"/>
          <w:color w:val="auto"/>
        </w:rPr>
      </w:pPr>
    </w:p>
    <w:p>
      <w:pPr>
        <w:spacing w:after="0" w:line="3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Support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Term license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Perpetual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Services</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Revenue by revenue type and by geography is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p>
      <w:pPr>
        <w:spacing w:after="0" w:line="31"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34"/>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8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w:t>
            </w:r>
          </w:p>
        </w:tc>
      </w:tr>
      <w:tr>
        <w:trPr>
          <w:trHeight w:val="234"/>
        </w:trPr>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21,861</w:t>
            </w:r>
          </w:p>
        </w:tc>
      </w:tr>
      <w:tr>
        <w:trPr>
          <w:trHeight w:val="454"/>
        </w:trPr>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40,105</w:t>
            </w:r>
          </w:p>
        </w:tc>
      </w:tr>
      <w:tr>
        <w:trPr>
          <w:trHeight w:val="229"/>
        </w:trPr>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46,791</w:t>
            </w:r>
          </w:p>
        </w:tc>
      </w:tr>
      <w:tr>
        <w:trPr>
          <w:trHeight w:val="223"/>
        </w:trPr>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195,282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165,934</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Three Months Ended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28575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Subscription</w:t>
            </w: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3"/>
        </w:trPr>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122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0</wp:posOffset>
            </wp:positionV>
            <wp:extent cx="33432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520"/>
            <w:col w:w="5160"/>
          </w:cols>
          <w:pgMar w:left="320" w:top="283" w:right="3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123,115</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Americas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EMEA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27,247</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195,282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October 31, 2021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Subscription</w:t>
            </w:r>
          </w:p>
        </w:tc>
        <w:tc>
          <w:tcPr>
            <w:tcW w:w="220" w:type="dxa"/>
            <w:vAlign w:val="bottom"/>
          </w:tcPr>
          <w:p>
            <w:pPr>
              <w:spacing w:after="0"/>
              <w:rPr>
                <w:sz w:val="15"/>
                <w:szCs w:val="15"/>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20" w:type="dxa"/>
            <w:vAlign w:val="bottom"/>
          </w:tcPr>
          <w:p>
            <w:pPr>
              <w:spacing w:after="0"/>
              <w:rPr>
                <w:sz w:val="15"/>
                <w:szCs w:val="15"/>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8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20,112</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Americas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126,235</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EMEA</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country or region, other than those presented above, accounted for more than 10% of revenue during the three months ended October 31, 2022 and 2021.</w:t>
      </w:r>
    </w:p>
    <w:p>
      <w:pPr>
        <w:spacing w:after="0" w:line="3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Customer Contract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b w:val="1"/>
          <w:bCs w:val="1"/>
          <w:i w:val="1"/>
          <w:iCs w:val="1"/>
          <w:color w:val="auto"/>
        </w:rPr>
        <w:t xml:space="preserve"> Related Balance Sheet Amounts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related to customer contract-related arrangements are included on the condensed consolidated balance sheets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2022</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85,429</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41,352</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44,235</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178,276</w:t>
            </w:r>
          </w:p>
        </w:tc>
      </w:tr>
    </w:tbl>
    <w:p>
      <w:pPr>
        <w:spacing w:after="0" w:line="238" w:lineRule="exact"/>
        <w:rPr>
          <w:sz w:val="20"/>
          <w:szCs w:val="20"/>
          <w:color w:val="auto"/>
        </w:rPr>
      </w:pPr>
    </w:p>
    <w:p>
      <w:pPr>
        <w:ind w:left="340" w:right="1640"/>
        <w:spacing w:after="0" w:line="438" w:lineRule="auto"/>
        <w:rPr>
          <w:sz w:val="20"/>
          <w:szCs w:val="20"/>
          <w:color w:val="auto"/>
        </w:rPr>
      </w:pPr>
      <w:r>
        <w:rPr>
          <w:rFonts w:ascii="Times New Roman" w:cs="Times New Roman" w:eastAsia="Times New Roman" w:hAnsi="Times New Roman"/>
          <w:sz w:val="18"/>
          <w:szCs w:val="18"/>
          <w:color w:val="auto"/>
        </w:rPr>
        <w:t xml:space="preserve">As of October 31, 2022 and July 31, 2022, there was no allowance for credit losses associated with unbilled accounts receivable. </w:t>
      </w:r>
      <w:r>
        <w:rPr>
          <w:rFonts w:ascii="Times New Roman" w:cs="Times New Roman" w:eastAsia="Times New Roman" w:hAnsi="Times New Roman"/>
          <w:sz w:val="18"/>
          <w:szCs w:val="18"/>
          <w:i w:val="1"/>
          <w:iCs w:val="1"/>
          <w:color w:val="auto"/>
        </w:rPr>
        <w:t>Contract costs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current portion of contract costs of $14.6 million and $14.8 million is included in prepaid and other current assets in the Company’s condensed consolidated balance sheets as of October 31, 2022 and July 31, 2022, respectively. The non-current portion of contract costs of $26.8 million and $29.4 million is included in other assets in the Company’s condensed consolidated balance sheets as of October 31, 2022 and July 31, 2022, respectively. The Company amortized $4.5 million and $3.0 million of contract costs during the three months ended October 31, 2022 and 2021, respectively.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2022, the Company recognized revenue of approximately $81.9 million related to the Company’s deferred revenue balance reported as of July 31,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allocated to remaining performance obligations either not satisfied or partially satisfied was approximately $1.1 billion as of October 31, 2022. Subscription services are typically satisfied over three to five years, support services are generally satisfied within one year, and professional services are typically satisfied within one year. Professional services under time and material contracts are not included in the remaining performance obligations calculation as these arrangements can be cancelled at any time.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investments within cash equivalents and investments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9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1"/>
        </w:trPr>
        <w:tc>
          <w:tcPr>
            <w:tcW w:w="40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5"/>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177,719</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296,483</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0" w:type="dxa"/>
            <w:vAlign w:val="bottom"/>
          </w:tcPr>
          <w:p>
            <w:pPr>
              <w:spacing w:after="0"/>
              <w:rPr>
                <w:sz w:val="1"/>
                <w:szCs w:val="1"/>
                <w:color w:val="auto"/>
              </w:rPr>
            </w:pPr>
          </w:p>
        </w:tc>
      </w:tr>
      <w:tr>
        <w:trPr>
          <w:trHeight w:val="248"/>
        </w:trPr>
        <w:tc>
          <w:tcPr>
            <w:tcW w:w="40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771,246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4"/>
                <w:szCs w:val="14"/>
                <w:color w:val="auto"/>
              </w:rPr>
            </w:pPr>
          </w:p>
        </w:tc>
        <w:tc>
          <w:tcPr>
            <w:tcW w:w="9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41"/>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25"/>
        </w:trPr>
        <w:tc>
          <w:tcPr>
            <w:tcW w:w="67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197,998</w:t>
            </w:r>
          </w:p>
        </w:tc>
      </w:tr>
      <w:tr>
        <w:trPr>
          <w:trHeight w:val="229"/>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315,602</w:t>
            </w:r>
          </w:p>
        </w:tc>
      </w:tr>
      <w:tr>
        <w:trPr>
          <w:trHeight w:val="229"/>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43,715</w:t>
            </w:r>
          </w:p>
        </w:tc>
      </w:tr>
      <w:tr>
        <w:trPr>
          <w:trHeight w:val="230"/>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45,702</w:t>
            </w:r>
          </w:p>
        </w:tc>
      </w:tr>
      <w:tr>
        <w:trPr>
          <w:trHeight w:val="229"/>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349,492</w:t>
            </w:r>
          </w:p>
        </w:tc>
      </w:tr>
      <w:tr>
        <w:trPr>
          <w:trHeight w:val="230"/>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36,986</w:t>
            </w:r>
          </w:p>
        </w:tc>
      </w:tr>
      <w:tr>
        <w:trPr>
          <w:trHeight w:val="229"/>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54,171</w:t>
            </w:r>
          </w:p>
        </w:tc>
      </w:tr>
      <w:tr>
        <w:trPr>
          <w:trHeight w:val="229"/>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30"/>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6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1,066,361</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1,058,619</w:t>
            </w: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consider any portion of the unrealized losses at October 31, 2022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condensed consolidated statements of comprehensive income (loss).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investments measured at fair value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w w:val="98"/>
              </w:rPr>
              <w:t>Less Than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12 Months</w:t>
            </w:r>
          </w:p>
        </w:tc>
        <w:tc>
          <w:tcPr>
            <w:tcW w:w="220" w:type="dxa"/>
            <w:vAlign w:val="bottom"/>
          </w:tcPr>
          <w:p>
            <w:pPr>
              <w:spacing w:after="0"/>
              <w:rPr>
                <w:sz w:val="15"/>
                <w:szCs w:val="15"/>
                <w:color w:val="auto"/>
              </w:rPr>
            </w:pPr>
          </w:p>
        </w:tc>
        <w:tc>
          <w:tcPr>
            <w:tcW w:w="8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 Months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Greater</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177,719</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607,911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771,246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investments measured at fair value, by level within the fair value hierarchy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77,178</w:t>
            </w: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9"/>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23"/>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2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165,888</w:t>
            </w: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100,541</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222,767</w:t>
            </w:r>
          </w:p>
        </w:tc>
        <w:tc>
          <w:tcPr>
            <w:tcW w:w="0" w:type="dxa"/>
            <w:vAlign w:val="bottom"/>
          </w:tcPr>
          <w:p>
            <w:pPr>
              <w:spacing w:after="0"/>
              <w:rPr>
                <w:sz w:val="1"/>
                <w:szCs w:val="1"/>
                <w:color w:val="auto"/>
              </w:rPr>
            </w:pPr>
          </w:p>
        </w:tc>
      </w:tr>
      <w:tr>
        <w:trPr>
          <w:trHeight w:val="230"/>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51,997</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0" w:type="dxa"/>
            <w:vAlign w:val="bottom"/>
          </w:tcPr>
          <w:p>
            <w:pPr>
              <w:spacing w:after="0"/>
              <w:rPr>
                <w:sz w:val="1"/>
                <w:szCs w:val="1"/>
                <w:color w:val="auto"/>
              </w:rPr>
            </w:pPr>
          </w:p>
        </w:tc>
      </w:tr>
      <w:tr>
        <w:trPr>
          <w:trHeight w:val="229"/>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29"/>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6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442,023</w:t>
            </w:r>
          </w:p>
        </w:tc>
        <w:tc>
          <w:tcPr>
            <w:tcW w:w="0" w:type="dxa"/>
            <w:vAlign w:val="bottom"/>
          </w:tcPr>
          <w:p>
            <w:pPr>
              <w:spacing w:after="0"/>
              <w:rPr>
                <w:sz w:val="1"/>
                <w:szCs w:val="1"/>
                <w:color w:val="auto"/>
              </w:rPr>
            </w:pPr>
          </w:p>
        </w:tc>
      </w:tr>
      <w:tr>
        <w:trPr>
          <w:trHeight w:val="229"/>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73,716</w:t>
            </w:r>
          </w:p>
        </w:tc>
        <w:tc>
          <w:tcPr>
            <w:tcW w:w="0" w:type="dxa"/>
            <w:vAlign w:val="bottom"/>
          </w:tcPr>
          <w:p>
            <w:pPr>
              <w:spacing w:after="0"/>
              <w:rPr>
                <w:sz w:val="1"/>
                <w:szCs w:val="1"/>
                <w:color w:val="auto"/>
              </w:rPr>
            </w:pPr>
          </w:p>
        </w:tc>
      </w:tr>
      <w:tr>
        <w:trPr>
          <w:trHeight w:val="229"/>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30"/>
        </w:trPr>
        <w:tc>
          <w:tcPr>
            <w:tcW w:w="4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48,227</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26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163,335</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163,335</w:t>
            </w: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771,246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96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7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132,066</w:t>
            </w:r>
          </w:p>
        </w:tc>
      </w:tr>
      <w:tr>
        <w:trPr>
          <w:trHeight w:val="230"/>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r>
      <w:tr>
        <w:trPr>
          <w:trHeight w:val="229"/>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349,492</w:t>
            </w:r>
          </w:p>
        </w:tc>
      </w:tr>
      <w:tr>
        <w:trPr>
          <w:trHeight w:val="230"/>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151,755</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501,247</w:t>
            </w:r>
          </w:p>
        </w:tc>
      </w:tr>
      <w:tr>
        <w:trPr>
          <w:trHeight w:val="230"/>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65,932</w:t>
            </w:r>
          </w:p>
        </w:tc>
      </w:tr>
      <w:tr>
        <w:trPr>
          <w:trHeight w:val="229"/>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203,960</w:t>
            </w:r>
          </w:p>
        </w:tc>
      </w:tr>
      <w:tr>
        <w:trPr>
          <w:trHeight w:val="230"/>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w:t>
            </w:r>
          </w:p>
        </w:tc>
      </w:tr>
      <w:tr>
        <w:trPr>
          <w:trHeight w:val="229"/>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25,429</w:t>
            </w:r>
          </w:p>
        </w:tc>
      </w:tr>
      <w:tr>
        <w:trPr>
          <w:trHeight w:val="229"/>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w:t>
            </w:r>
          </w:p>
        </w:tc>
      </w:tr>
      <w:tr>
        <w:trPr>
          <w:trHeight w:val="230"/>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w:t>
            </w:r>
          </w:p>
        </w:tc>
      </w:tr>
      <w:tr>
        <w:trPr>
          <w:trHeight w:val="229"/>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30"/>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369,865</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369,865</w:t>
            </w:r>
          </w:p>
        </w:tc>
      </w:tr>
      <w:tr>
        <w:trPr>
          <w:trHeight w:val="230"/>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111,642</w:t>
            </w:r>
          </w:p>
        </w:tc>
      </w:tr>
      <w:tr>
        <w:trPr>
          <w:trHeight w:val="229"/>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w:t>
            </w:r>
          </w:p>
        </w:tc>
      </w:tr>
      <w:tr>
        <w:trPr>
          <w:trHeight w:val="230"/>
        </w:trPr>
        <w:tc>
          <w:tcPr>
            <w:tcW w:w="6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45,544</w:t>
            </w:r>
          </w:p>
        </w:tc>
      </w:tr>
      <w:tr>
        <w:trPr>
          <w:trHeight w:val="229"/>
        </w:trPr>
        <w:tc>
          <w:tcPr>
            <w:tcW w:w="6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r>
      <w:tr>
        <w:trPr>
          <w:trHeight w:val="223"/>
        </w:trPr>
        <w:tc>
          <w:tcPr>
            <w:tcW w:w="67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187,507</w:t>
            </w: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1,058,619</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Convertible Senior Notes was $362.2 million and $387.6 million at October 31, 2022 and July 31, 2022, respectively. The Company estimates the fair value of the Convertible Senior Notes using commonly accepted valuation methodologies and market-based risk measurements that are directly observable, such as unadjusted quoted prices in markets that are not active (Level 2). The Company carries the Convertible Senior Notes at initial fair value less unamortized debt issuance costs on its condensed consolidated balance sheets. For further information on the Convertible Senior Notes, see Note 5.</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Strategic Equity Investments</w:t>
      </w:r>
    </w:p>
    <w:p>
      <w:pPr>
        <w:spacing w:after="0" w:line="2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During the three months ended October 31, 2022, the Company invested $0.2 million in an existing strategic equity investment. At October 31, 2022 and July 31, 2022, the Company’s total strategic equity investments was $18.2 million and $18.0 million, respectively.</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impairment charges or unrealized gain or loss related to strategic investments were recognized during the three months ended October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by dividing the net income (loss) by the weighted average number of shares of common stock outstanding for the period. For options to purchase common stock and Stock Awards, the Company uses the treasury stock method for calculating diluted earnings per share in all periods presented. Effective August 1, 2022, the Company adopted ASU 2020-06 which requires the use of the if-converted method for the Convertible Senior Notes. Prior to August 1, 2022, the Company used the treasury stock method for the Convertible Senior Notes.</w:t>
      </w:r>
    </w:p>
    <w:p>
      <w:pPr>
        <w:spacing w:after="0" w:line="22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three months ended October 31, 2022 and 2021 (in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r>
      <w:tr>
        <w:trPr>
          <w:trHeight w:val="223"/>
        </w:trPr>
        <w:tc>
          <w:tcPr>
            <w:tcW w:w="70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(51,276)</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4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03"/>
        </w:trPr>
        <w:tc>
          <w:tcPr>
            <w:tcW w:w="70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tcBorders>
              <w:bottom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(0.83)</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(0.62)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7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54"/>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83,320,967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83,225,743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 average shares of potential common stock were excluded from the computation of diluted net income (loss) per share for the periods presented because including them would have been anti-dilutive:</w:t>
      </w:r>
    </w:p>
    <w:p>
      <w:pPr>
        <w:spacing w:after="0" w:line="22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1,188,284</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2,905,346</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3,516,480</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133,668</w:t>
            </w:r>
          </w:p>
        </w:tc>
      </w:tr>
    </w:tbl>
    <w:p>
      <w:pPr>
        <w:spacing w:after="0" w:line="200" w:lineRule="exact"/>
        <w:rPr>
          <w:sz w:val="20"/>
          <w:szCs w:val="20"/>
          <w:color w:val="auto"/>
        </w:rPr>
      </w:pPr>
    </w:p>
    <w:p>
      <w:pPr>
        <w:spacing w:after="0" w:line="2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2022, the average market price of the Company’s common stock did not exceed the initial conversion price of the Convertible Senior Notes. During the three months ended October 31, 2021, the average market price of the Company’s common stock exceeded the initial conversion price of the Convertible Senior Notes and the conversion premium was anti-dilutive under the treasury stock method.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Convertible Senior Notes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carrying value of the liability component, unamortized debt discount and unamortized debt issuance costs of the Convertible Senior Notes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70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32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2022</w:t>
            </w:r>
          </w:p>
        </w:tc>
      </w:tr>
      <w:tr>
        <w:trPr>
          <w:trHeight w:val="223"/>
        </w:trPr>
        <w:tc>
          <w:tcPr>
            <w:tcW w:w="70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00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Debt discount</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w:t>
            </w:r>
          </w:p>
        </w:tc>
      </w:tr>
      <w:tr>
        <w:trPr>
          <w:trHeight w:val="229"/>
        </w:trPr>
        <w:tc>
          <w:tcPr>
            <w:tcW w:w="70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r>
      <w:tr>
        <w:trPr>
          <w:trHeight w:val="248"/>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358,216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firstLine="8"/>
        <w:spacing w:after="0" w:line="474" w:lineRule="auto"/>
        <w:tabs>
          <w:tab w:leader="none" w:pos="165"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Effective August 1, 2022, the Company adopted ASU 2020-06 using the modified retrospective method which resulted in the accounting for the Convertible Senior Notes as a single liability and no longer required the liability and equity components to be accounted for separately. The prior period has not been retrospectively adjusted and continues to be reported under the accounting standards in effect for that period.</w:t>
      </w:r>
    </w:p>
    <w:p>
      <w:pPr>
        <w:spacing w:after="0" w:line="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 interest rate of the Convertible Senior Notes after the adoption of ASU 2020-06 on August 1, 2022 is 1.69%. Prior to the adoption of ASU 2020-06, the effective interest rate of the Convertible Senior Notes was 5.53%.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Convertible Senior Notes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66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 of debt discount</w:t>
            </w:r>
            <w:r>
              <w:rPr>
                <w:rFonts w:ascii="Times New Roman" w:cs="Times New Roman" w:eastAsia="Times New Roman" w:hAnsi="Times New Roman"/>
                <w:sz w:val="23"/>
                <w:szCs w:val="23"/>
                <w:color w:val="auto"/>
                <w:vertAlign w:val="superscript"/>
              </w:rPr>
              <w:t>(1)</w:t>
            </w:r>
          </w:p>
        </w:tc>
        <w:tc>
          <w:tcPr>
            <w:tcW w:w="1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1"/>
        </w:trPr>
        <w:tc>
          <w:tcPr>
            <w:tcW w:w="6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firstLine="8"/>
        <w:spacing w:after="0" w:line="429" w:lineRule="auto"/>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Effective August 1, 2022, the Company adopted ASU 2020-06 using the modified retrospective method which resulted in the accounting for the Convertible Senior Notes as a single liability and no longer required the amortization of debt discount. The prior period has not been retrospectively adjusted and continues to be reported under the accounting standards in effect for that period.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October 31, 2022, the if-converted value did not exceed the outstanding principal of the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Except as discussed below, there has been no material change in the Company’s contractual obligations and commitments other than in the ordinary course of business since the Company’s fiscal year ended July 31, 2022.</w:t>
      </w:r>
    </w:p>
    <w:p>
      <w:pPr>
        <w:spacing w:after="0" w:line="20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Effective during the three months ended October 31, 2022, the Company terminated its existing agreement and entered into a new agreement with a cloud infrastructure services provider for a total obligation of $600 million over a five-year period.</w:t>
      </w:r>
    </w:p>
    <w:p>
      <w:pPr>
        <w:spacing w:after="0" w:line="20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See the Company’s Annual Report on Form 10-K for the fiscal year ended July 31, 2022 for additional information regarding the Company’s contractual obligations.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7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and receives claims, arising from the normal course of business activities. The Company has not recorded any accrual for claims as of October 31, 2022 or July 31, 2022.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not had to reimburse any of its customers for Losses related to indemnification provisions and no material claims against the Company were outstanding as of October 31, 2022 or July 31, 2022.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6" w:lineRule="exact"/>
        <w:rPr>
          <w:sz w:val="20"/>
          <w:szCs w:val="20"/>
          <w:color w:val="auto"/>
        </w:rPr>
      </w:pPr>
    </w:p>
    <w:p>
      <w:pPr>
        <w:ind w:left="340" w:right="6240" w:hanging="332"/>
        <w:spacing w:after="0" w:line="550" w:lineRule="auto"/>
        <w:tabs>
          <w:tab w:leader="none" w:pos="19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Expense and Shareholders’ Equity </w:t>
      </w:r>
      <w:r>
        <w:rPr>
          <w:rFonts w:ascii="Times New Roman" w:cs="Times New Roman" w:eastAsia="Times New Roman" w:hAnsi="Times New Roman"/>
          <w:sz w:val="18"/>
          <w:szCs w:val="18"/>
          <w:b w:val="1"/>
          <w:bCs w:val="1"/>
          <w:i w:val="1"/>
          <w:iCs w:val="1"/>
          <w:color w:val="auto"/>
        </w:rPr>
        <w:t>Stock-Based Compensation Expense</w:t>
      </w: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Stock Awards is included in the Company’s condensed consolidated statements of operations as follows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400" w:type="dxa"/>
            <w:vAlign w:val="bottom"/>
          </w:tcPr>
          <w:p>
            <w:pPr>
              <w:spacing w:after="0"/>
              <w:rPr>
                <w:sz w:val="24"/>
                <w:szCs w:val="24"/>
                <w:color w:val="auto"/>
              </w:rPr>
            </w:pPr>
          </w:p>
        </w:tc>
        <w:tc>
          <w:tcPr>
            <w:tcW w:w="35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impact of deferred stock-based compensation</w:t>
            </w: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net</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is included in the following categories:</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00" w:type="dxa"/>
            <w:vAlign w:val="bottom"/>
            <w:gridSpan w:val="3"/>
            <w:vMerge w:val="continue"/>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29"/>
        </w:trPr>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Cost of license revenue</w:t>
            </w:r>
          </w:p>
        </w:tc>
        <w:tc>
          <w:tcPr>
            <w:tcW w:w="1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30"/>
        </w:trPr>
        <w:tc>
          <w:tcPr>
            <w:tcW w:w="7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35,096</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Company’s stock options and Stock Awards as of October 31, 2022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Expected</w:t>
            </w:r>
          </w:p>
        </w:tc>
        <w:tc>
          <w:tcPr>
            <w:tcW w:w="0" w:type="dxa"/>
            <w:vAlign w:val="bottom"/>
          </w:tcPr>
          <w:p>
            <w:pPr>
              <w:spacing w:after="0"/>
              <w:rPr>
                <w:sz w:val="1"/>
                <w:szCs w:val="1"/>
                <w:color w:val="auto"/>
              </w:rPr>
            </w:pPr>
          </w:p>
        </w:tc>
      </w:tr>
      <w:tr>
        <w:trPr>
          <w:trHeight w:val="146"/>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352,209</w:t>
            </w:r>
          </w:p>
        </w:tc>
        <w:tc>
          <w:tcPr>
            <w:tcW w:w="2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355,778</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Awards activity under the Company’s equity incentive plans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4420" w:type="dxa"/>
            <w:vAlign w:val="bottom"/>
            <w:tcBorders>
              <w:bottom w:val="single" w:sz="8" w:color="auto"/>
            </w:tcBorders>
            <w:gridSpan w:val="7"/>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Stock Awards Outstanding</w:t>
            </w:r>
          </w:p>
        </w:tc>
      </w:tr>
      <w:tr>
        <w:trPr>
          <w:trHeight w:val="169"/>
        </w:trPr>
        <w:tc>
          <w:tcPr>
            <w:tcW w:w="682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4"/>
                <w:szCs w:val="14"/>
                <w:color w:val="auto"/>
              </w:rPr>
            </w:pPr>
          </w:p>
        </w:tc>
        <w:tc>
          <w:tcPr>
            <w:tcW w:w="12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175"/>
        </w:trPr>
        <w:tc>
          <w:tcPr>
            <w:tcW w:w="6820" w:type="dxa"/>
            <w:vAlign w:val="bottom"/>
          </w:tcPr>
          <w:p>
            <w:pPr>
              <w:spacing w:after="0"/>
              <w:rPr>
                <w:sz w:val="15"/>
                <w:szCs w:val="15"/>
                <w:color w:val="auto"/>
              </w:rPr>
            </w:pPr>
          </w:p>
        </w:tc>
        <w:tc>
          <w:tcPr>
            <w:tcW w:w="140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 Value (in</w:t>
            </w:r>
          </w:p>
        </w:tc>
      </w:tr>
      <w:tr>
        <w:trPr>
          <w:trHeight w:val="243"/>
        </w:trPr>
        <w:tc>
          <w:tcPr>
            <w:tcW w:w="682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1"/>
                <w:szCs w:val="21"/>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80" w:type="dxa"/>
            <w:vAlign w:val="bottom"/>
          </w:tcPr>
          <w:p>
            <w:pPr>
              <w:spacing w:after="0"/>
              <w:rPr>
                <w:sz w:val="21"/>
                <w:szCs w:val="21"/>
                <w:color w:val="auto"/>
              </w:rPr>
            </w:pPr>
          </w:p>
        </w:tc>
        <w:tc>
          <w:tcPr>
            <w:tcW w:w="1260" w:type="dxa"/>
            <w:vAlign w:val="bottom"/>
          </w:tcPr>
          <w:p>
            <w:pPr>
              <w:jc w:val="right"/>
              <w:ind w:right="130"/>
              <w:spacing w:after="0" w:line="243" w:lineRule="exact"/>
              <w:rPr>
                <w:sz w:val="20"/>
                <w:szCs w:val="20"/>
                <w:color w:val="auto"/>
              </w:rPr>
            </w:pPr>
            <w:r>
              <w:rPr>
                <w:rFonts w:ascii="Times New Roman" w:cs="Times New Roman" w:eastAsia="Times New Roman" w:hAnsi="Times New Roman"/>
                <w:sz w:val="18"/>
                <w:szCs w:val="18"/>
                <w:b w:val="1"/>
                <w:bCs w:val="1"/>
                <w:color w:val="auto"/>
              </w:rPr>
              <w:t>thousands)</w:t>
            </w:r>
            <w:r>
              <w:rPr>
                <w:rFonts w:ascii="Times New Roman" w:cs="Times New Roman" w:eastAsia="Times New Roman" w:hAnsi="Times New Roman"/>
                <w:sz w:val="23"/>
                <w:szCs w:val="23"/>
                <w:b w:val="1"/>
                <w:bCs w:val="1"/>
                <w:color w:val="auto"/>
                <w:vertAlign w:val="superscript"/>
              </w:rPr>
              <w:t>(1)</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2,785,353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216,478</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24,981</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4,303,035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255,643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3"/>
        </w:trPr>
        <w:tc>
          <w:tcPr>
            <w:tcW w:w="6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Expected to vest as of October 31, 2022</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4,303,035</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89.81</w:t>
            </w:r>
          </w:p>
        </w:tc>
        <w:tc>
          <w:tcPr>
            <w:tcW w:w="80" w:type="dxa"/>
            <w:vAlign w:val="bottom"/>
          </w:tcPr>
          <w:p>
            <w:pPr>
              <w:spacing w:after="0"/>
              <w:rPr>
                <w:sz w:val="17"/>
                <w:szCs w:val="17"/>
                <w:color w:val="auto"/>
              </w:rPr>
            </w:pPr>
          </w:p>
        </w:tc>
        <w:tc>
          <w:tcPr>
            <w:tcW w:w="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255,643</w:t>
            </w:r>
          </w:p>
        </w:tc>
      </w:tr>
      <w:tr>
        <w:trPr>
          <w:trHeight w:val="20"/>
        </w:trPr>
        <w:tc>
          <w:tcPr>
            <w:tcW w:w="6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1" w:lineRule="exact"/>
        <w:rPr>
          <w:sz w:val="20"/>
          <w:szCs w:val="20"/>
          <w:color w:val="auto"/>
        </w:rPr>
      </w:pPr>
    </w:p>
    <w:p>
      <w:pPr>
        <w:ind w:firstLine="8"/>
        <w:spacing w:after="0" w:line="302" w:lineRule="auto"/>
        <w:tabs>
          <w:tab w:leader="none" w:pos="132"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Aggregate intrinsic value at each period end represents the total market value of Stock Awards at the Company’s closing stock price of $59.41 and $77.72 on October 31, 2022 and July 31, 2022, respectively. Aggregate intrinsic value for released Stock Awards represents the total market value of released Stock Awards at date of release.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under the Company’s equity incentive plans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7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9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7"/>
                <w:szCs w:val="17"/>
                <w:color w:val="auto"/>
              </w:rPr>
            </w:pPr>
          </w:p>
        </w:tc>
        <w:tc>
          <w:tcPr>
            <w:tcW w:w="960" w:type="dxa"/>
            <w:vAlign w:val="bottom"/>
          </w:tcPr>
          <w:p>
            <w:pPr>
              <w:jc w:val="center"/>
              <w:ind w:right="23"/>
              <w:spacing w:after="0" w:line="202"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90"/>
        </w:trPr>
        <w:tc>
          <w:tcPr>
            <w:tcW w:w="67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75,706</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61.93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68.22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167,056</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65.37</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October 31, 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167,056</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65.37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October 31,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14,806</w:t>
            </w:r>
          </w:p>
        </w:tc>
        <w:tc>
          <w:tcPr>
            <w:tcW w:w="2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21.85</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firstLine="8"/>
        <w:spacing w:after="0" w:line="302" w:lineRule="auto"/>
        <w:tabs>
          <w:tab w:leader="none" w:pos="132"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Aggregate intrinsic value at each period end represents the difference between the Company’s closing stock price of $59.41 and $77.72 on October 31, 2022 and July 31, 2022, respectively, and the exercise price of outstanding options. Aggregate intrinsic value for exercised options represents the difference between the Company’s stock price at date of exercise and the exercise price.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2022, the Company entered into an accelerated share repurchase (“ASR”) agreement with a large financial institution whereupon the Company provided them with a prepayment of $200.0 million and received an initial delivery of 2,581,478 shares of the Company’s common stock. The ASR is expected to settle between the second and third quarters of fiscal year 2023. Under the terms of the ASR, the total number of shares delivered and average price paid per share will be determined upon settlement based on the volume weighted average price over the term of the ASR, less an agreed upon discount. At settlement, the financial institution may be required to deliver additional shares of the Company’s common stock to the Company or, under certain circumstances, the Company may be required to make a cash payment or deliver shares of the Company’s common stock to the financial institution, with the method of settlement at the Company’s election. As of October 31, 2022, a portion of the ASR prepayment was evaluated as an unsettled forward contract indexed to the Company’s stock, classified within stockholders’ equity.</w:t>
      </w:r>
    </w:p>
    <w:p>
      <w:pPr>
        <w:spacing w:after="0" w:line="2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2022, the Company repurchased 2,581,478 shares of common stock through the ASR described above. As of October 31, 2022, $200.0 million remains under the September 2022 authorized and approved share repurchase program.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2021, the Company repurchased 226,172 shares of common stock at an average price of $116.12 per share under a previously completed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Guidewire delivers a leading platform that property and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2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Guidewire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InsuranceNow is a complete, cloud-based application that offers policy, billing, and claims management functionality to insurers.</w:t>
      </w:r>
    </w:p>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InsuranceSuite for self-managed installations is comprised of three core applications (PolicyCenter, BillingCenter, and ClaimCenter) that can be licensed separately or together and can be deployed and updated by our customers and their implementation partners.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customers range from some of the largest global insurance companies or their subsidiaries to predominantly national or local insurers that serve</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w:t>
      </w:r>
    </w:p>
    <w:p>
      <w:pPr>
        <w:spacing w:after="0" w:line="13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We also offer professional services, both directly and through SI partners, to help our customers deploy, migrate, and utilize our platform, services, and products. A majority of our services revenue is billed monthly on a time and materials basis.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3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and securely managing the infrastructure of our cloud-based customers. In response to these and other risks we might face, we continue to invest in many areas of our business, including product development, cloud operations, cybersecurity, implementation services, and sales and marketing.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term license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quarter of fiscal year 2021 and created a challenging comparable period for the first quarter of fiscal year 2022.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 and Other Global Events</w:t>
      </w:r>
    </w:p>
    <w:p>
      <w:pPr>
        <w:spacing w:after="0" w:line="175"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Recent global events have adversely affected and are continuing to adversely affect workforces, organizations, economies, and financial markets globally, leading to economic downturns, inflation, and increased market volatility. 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Additionally, the ongoing conflict between Russia and Ukraine, inflation higher than we have seen in decades, and supply chain issues have added to global economic and market volatility. While we are unable to accurately predict the full impact that these global events will have on our results of operations, financial condition, liquidity, and cash flows due to numerous uncertainties, including the duration and severity of the pandemic, and containment measures and if there are any periods of increases in the number of COVID-19 cases or future variants of the virus 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extend our sales cycle, to delay the timing of new orders, and increase the time to complete professional services engagements in the future.</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business and financial results since the third quarter of fiscal year 2020 have been impacted due to these disruptions, which has effected our annual recurring revenue (“ARR”) growth rates, services revenue and margins, operating cash flow and expenses, potentially higher employee attrition, challenges in hiring and onboarding necessary personnel, and the change in fair value of strategic investments. Our sales cycles, ARR growth rates and revenue, especially services revenue, continued to be impacted as a result of these disruptions and challenges. Additionally, in recent quarters, inflation has reached levels that have not been seen for decades, which is impacting the global economy and magnifying the impact of these disruptions.</w:t>
      </w:r>
    </w:p>
    <w:p>
      <w:pPr>
        <w:spacing w:after="0" w:line="12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Although vaccines have made progress against the COVID-19 pandemic in the United States and certain other parts of the world where vaccinations are widely available, the economic impact of the pandemic and other disruptions on our business and the businesses of our customers, SI partners, and vendors may continue. We believe that new sales activities are being delayed, not cancelled, and implementation engagements are being rescheduled to later periods or being completed over a longer period of time. Certain marketing events have been cancelled or postponed, while others are being hosted both in-person and virtually, like our customer conference, Connections. 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continue to evaluate the nature and extent of the impact of COVID-19 and other global events on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three months ended October 31, 2022, the recurring license and support or subscription contract value recognized as services revenue was $10.9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2022, ARR was $673 million, compared to $664 million as of July 31, 2022. We measure ARR results on a constant currency basis during the fiscal year and revalue ARR at year end to current currency rates.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payments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Free cash flow in the three months ended October 31, 2022 was impacted by severance payments of $2.9 million. Free cash flow in the three months ended October 31, 2021 was impacted by payments of $18.1 million related to settling accrued vacation balances in countries in which we adopted a non-accrual vacation policy. For a further discussion of our operating cash flows, see “Liquidity and Capital Resources –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(107,042)</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Free cash flow</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(91,736)</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(114,158)</w:t>
            </w:r>
          </w:p>
        </w:tc>
      </w:tr>
      <w:tr>
        <w:trPr>
          <w:trHeight w:val="20"/>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consolidated financial statements included in our Annual Report on Form 10-K, our revenue recognition policies are critical to the periods presented.</w:t>
      </w:r>
    </w:p>
    <w:p>
      <w:pPr>
        <w:spacing w:after="0" w:line="138"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as described in “Management's Discussion and Analysis of Financial Condition and Results of Operations – Critical Accounting Policies and Estimates” in our Annual Report on Form 10-K for the fiscal year ended July 31,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0" w:type="dxa"/>
            <w:vAlign w:val="bottom"/>
          </w:tcPr>
          <w:p>
            <w:pPr>
              <w:spacing w:after="0"/>
              <w:rPr>
                <w:sz w:val="1"/>
                <w:szCs w:val="1"/>
                <w:color w:val="auto"/>
              </w:rPr>
            </w:pPr>
          </w:p>
        </w:tc>
      </w:tr>
      <w:tr>
        <w:trPr>
          <w:trHeight w:val="174"/>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220" w:type="dxa"/>
            <w:vAlign w:val="bottom"/>
          </w:tcPr>
          <w:p>
            <w:pPr>
              <w:spacing w:after="0"/>
              <w:rPr>
                <w:sz w:val="15"/>
                <w:szCs w:val="15"/>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w w:val="99"/>
              </w:rPr>
              <w:t>As a % of total</w:t>
            </w: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80" w:type="dxa"/>
            <w:vAlign w:val="bottom"/>
            <w:gridSpan w:val="8"/>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13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46,791</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195,282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165,934</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13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65,566</w:t>
            </w:r>
          </w:p>
        </w:tc>
        <w:tc>
          <w:tcPr>
            <w:tcW w:w="13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123,130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97,540</w:t>
            </w:r>
          </w:p>
        </w:tc>
        <w:tc>
          <w:tcPr>
            <w:tcW w:w="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43,377</w:t>
            </w: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3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68,394</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3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13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133,771</w:t>
            </w:r>
          </w:p>
        </w:tc>
        <w:tc>
          <w:tcPr>
            <w:tcW w:w="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3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(68,314)</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3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8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derive our revenue primarily from delivering cloud-based services, licensing our software applications, providing support, and delivering professional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9"/>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60" w:type="dxa"/>
            <w:vAlign w:val="bottom"/>
          </w:tcPr>
          <w:p>
            <w:pPr>
              <w:spacing w:after="0"/>
              <w:rPr>
                <w:sz w:val="15"/>
                <w:szCs w:val="15"/>
                <w:color w:val="auto"/>
              </w:rPr>
            </w:pP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5"/>
                <w:szCs w:val="15"/>
                <w:color w:val="auto"/>
              </w:rPr>
            </w:pPr>
          </w:p>
        </w:tc>
        <w:tc>
          <w:tcPr>
            <w:tcW w:w="7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80" w:type="dxa"/>
            <w:vAlign w:val="bottom"/>
            <w:gridSpan w:val="9"/>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1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license</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40,889</w:t>
            </w:r>
          </w:p>
        </w:tc>
        <w:tc>
          <w:tcPr>
            <w:tcW w:w="1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40,105</w:t>
            </w:r>
          </w:p>
        </w:tc>
        <w:tc>
          <w:tcPr>
            <w:tcW w:w="1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Perpetual license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55,262</w:t>
            </w:r>
          </w:p>
        </w:tc>
        <w:tc>
          <w:tcPr>
            <w:tcW w:w="1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46,791</w:t>
            </w:r>
          </w:p>
        </w:tc>
        <w:tc>
          <w:tcPr>
            <w:tcW w:w="13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195,282</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165,934</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29,348</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7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fully reflected in revenues until the following fiscal year.</w:t>
      </w:r>
    </w:p>
    <w:p>
      <w:pPr>
        <w:spacing w:after="0" w:line="13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Subscription revenue increased by $21.8 million during the three months ended October 31, 2022, compared to the same period a year ago, primarily due to the impact of cloud transition agreements, new subscription agreements entered into and provisioned since October 31, 2021, and, to a lesser extent, the renewal of subscription services at the fully ramped annual fees after the initial committed term.</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Support revenue decreased by $1.8 million during the three months ended October 31, 2022, compared to the same period a year ago,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Term license revenue increased by $0.8 million during the three months ended October 31, 2022, compared to the same period a year ago. The increase is primarily driven by an increase of $4.6 million in new deals and $1.3 million in renewals, which was partially offset by $5.1 million of agreements that migrated from a term license to a subscription service in the prior year period. Ongoing revenue related to migration agreements is recorded as subscription revenue. The impact on term license revenue from contracts with an initial term of greater than two years or a renewal term of greater than one year was $3.4 million during the three months ended October 31, 2022 compared with no impact in the prior year period.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Perpetual license revenue accounted for less than 1% of total revenue during the three months ended October 31, 2022.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Services revenue increased by $8.5 million during the three months ended October 31, 2022, compared to the same period a year ago. The increase is primarily driven by an increase in the number and size of subscription implementation and migration projects, but services revenue overall continues to be impacted by contracts with lower average services billing rates and increased investments in customer implementations, including fixed fee or capped arrangements, to accelerate customer transition to the cloud. In these arrangements when a project extends longer than originally anticipated, the average billing rate we recognize may decrease, which can result in revenue adjustments and lower gross profit.</w:t>
      </w:r>
    </w:p>
    <w:p>
      <w:pPr>
        <w:spacing w:after="0" w:line="12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expect some level of variability in our services revenue in future periods. As we successfully leverage our SI partners to lead more implementations, our services revenue could decrease. We expect challenges related to COVID-19, inflation, and our ability to hire additional services professionals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services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13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00" w:type="dxa"/>
            <w:vAlign w:val="bottom"/>
            <w:gridSpan w:val="2"/>
          </w:tcPr>
          <w:p>
            <w:pPr>
              <w:jc w:val="center"/>
              <w:ind w:right="5040"/>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6300" w:type="dxa"/>
            <w:vAlign w:val="bottom"/>
            <w:gridSpan w:val="2"/>
          </w:tcPr>
          <w:p>
            <w:pPr>
              <w:jc w:val="center"/>
              <w:ind w:right="5040"/>
              <w:spacing w:after="0"/>
              <w:rPr>
                <w:sz w:val="20"/>
                <w:szCs w:val="20"/>
                <w:color w:val="auto"/>
              </w:rPr>
            </w:pPr>
            <w:r>
              <w:rPr>
                <w:rFonts w:ascii="Times New Roman" w:cs="Times New Roman" w:eastAsia="Times New Roman" w:hAnsi="Times New Roman"/>
                <w:sz w:val="18"/>
                <w:szCs w:val="18"/>
                <w:b w:val="1"/>
                <w:bCs w:val="1"/>
                <w:i w:val="1"/>
                <w:iCs w:val="1"/>
                <w:color w:val="auto"/>
                <w:w w:val="99"/>
              </w:rPr>
              <w:t>Cost of 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8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8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6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6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65,566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8"/>
        </w:trPr>
        <w:tc>
          <w:tcPr>
            <w:tcW w:w="6640" w:type="dxa"/>
            <w:vAlign w:val="bottom"/>
            <w:tcBorders>
              <w:bottom w:val="single" w:sz="8" w:color="CCEEFF"/>
            </w:tcBorders>
            <w:gridSpan w:val="3"/>
            <w:shd w:val="clear" w:color="auto" w:fill="CCEEFF"/>
          </w:tcPr>
          <w:p>
            <w:pPr>
              <w:jc w:val="center"/>
              <w:ind w:right="4680"/>
              <w:spacing w:after="0"/>
              <w:rPr>
                <w:sz w:val="20"/>
                <w:szCs w:val="20"/>
                <w:color w:val="auto"/>
              </w:rPr>
            </w:pPr>
            <w:r>
              <w:rPr>
                <w:rFonts w:ascii="Times New Roman" w:cs="Times New Roman" w:eastAsia="Times New Roman" w:hAnsi="Times New Roman"/>
                <w:sz w:val="18"/>
                <w:szCs w:val="18"/>
                <w:color w:val="auto"/>
                <w:w w:val="99"/>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66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34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license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subscription and support revenue during the three months ended October 31, 2022 increased by $7.6 million, compared to the same period a year ago, primarily due to increases in cloud infrastructure expense of $7.4 million for our growing cloud customer base, personnel costs of $1.0 million as a result of our continued investment in our cloud operations to increase operational efficiency and scale, and higher royalties of $0.2 million. These increases were partially offset by a decrease in professional services of $1.0 million due to replacing cloud operations consultants with employees.</w:t>
      </w:r>
    </w:p>
    <w:p>
      <w:pPr>
        <w:spacing w:after="0" w:line="12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Due to our continued investment in cloud-based operations, increase in new cloud-based customers, and increased usage from existing cloud-based customers, the costs to provide our subscription and support services increased. We expect our cost of subscription and support revenue to decrease as a percentage of revenue, but increase in absolute dollars, due to inflation, platform and product investments, and more customers utilizing our cloud product. To address cloud infrastructure costs, we entered into a five-year amendment with our cloud infrastructure provider. However, we believe that the cost of subscription and support revenue will grow at a slower rate than subscription and support revenue in future years as we achieve economies of scale and other efficiencies. The short-term impact of these trends along with mix within subscription and support revenue may result in a decline in subscription and support gross margin even though subscription and support gross profit increases in absolute dollars.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$0.5 million decrease in our cost of license revenue was primarily due to lower personnel costs associated with the development of online training curriculum included with the latest releases of InsuranceSuite of $0.3 million and a decrease in amortization of acquired intangible assets of $0.1 million due to certain acquired intangible assets being fully amortized.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continue to anticipate lower cost of license revenue over time as our term license customers transition to cloud subscription agreements.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$18.4 million increase in cost of services revenue during the three months ended October 31, 2022, compared to the same period a year ago, was primarily due to increases of $13.2 million in subcontractor expenses from staffing requirements on cloud migration and implementation projects and $5.4 million in personnel expenses associated with an increase in headcount. These increases were partially offset by a decrease in professional services of $0.2 million.</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had 692 cloud operations and technical support employees and 790 professional services employees at October 31, 2022, compared to 634 cloud operations and technical support employees and 659 professional services employees at October 31, 2021.</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8"/>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4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43,377</w:t>
            </w:r>
          </w:p>
        </w:tc>
        <w:tc>
          <w:tcPr>
            <w:tcW w:w="8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8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4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39,079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42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(10,304)</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4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48"/>
        </w:trPr>
        <w:tc>
          <w:tcPr>
            <w:tcW w:w="42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72,152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68,394</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profit increased $3.8 million during the three months ended October 31, 2022, compared to the same period a year ago. Gross profit was impacted by an increase in subscription and support gross profit due to the increase in subscription revenue and cloud operations efficiencies, partially offset by a decrease in services gross profit due to the investments that we are making in our customers' transition to subscription services.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gross margin decreased to 37% during the three months ended October 31, 2022 from 42% during the same period a year ago. Gross margin was primarily impacted by the lower services margin due to the investments that we are making in our customers' transition to subscription services.</w:t>
      </w:r>
    </w:p>
    <w:p>
      <w:pPr>
        <w:spacing w:after="0" w:line="200" w:lineRule="exact"/>
        <w:rPr>
          <w:sz w:val="20"/>
          <w:szCs w:val="20"/>
          <w:color w:val="auto"/>
        </w:rPr>
      </w:pPr>
    </w:p>
    <w:p>
      <w:pPr>
        <w:spacing w:after="0" w:line="2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subscription and support gross margin to improve over the next several years as we gain efficiencies and increase the number of cloud customers. We expect services gross margin will improve as we lower our reliance on subcontractors and enter into fewer fixed fee arrangements. We expect license gross margin to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improve as improvements in subscription and support gross margin and services gross margin will more than offset the negative impact of revenue shifts away from high margin license revenue.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infrastructure and software expenses, information security infrastructure and software expenses, and facilities expenses to all functional departments based on headcount. As a result, these general overhead expenses are reflected in cost of revenue and each functional operating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5"/>
                <w:szCs w:val="15"/>
                <w:color w:val="auto"/>
              </w:rPr>
            </w:pPr>
          </w:p>
        </w:tc>
        <w:tc>
          <w:tcPr>
            <w:tcW w:w="10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5"/>
                <w:szCs w:val="15"/>
                <w:color w:val="auto"/>
              </w:rPr>
            </w:pPr>
          </w:p>
        </w:tc>
        <w:tc>
          <w:tcPr>
            <w:tcW w:w="10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5"/>
                <w:szCs w:val="15"/>
                <w:color w:val="auto"/>
              </w:rPr>
            </w:pPr>
          </w:p>
        </w:tc>
        <w:tc>
          <w:tcPr>
            <w:tcW w:w="7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 personnel costs for our technical staff and consultants providing professional services.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$3.0 million increase in research and development expenses during the three months ended October 31, 2022, compared to the same period a year ago, was primarily due to increases of $2.9 million in personnel costs associated with higher headcount and travel expenses of $0.4 million, partially offset by small decreases in cloud infrastructure costs for our development environments, software subscription costs, and professional services costs.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headcount was 940 at October 31, 2022, compared with 871 at October 31, 2021.</w:t>
      </w:r>
    </w:p>
    <w:p>
      <w:pPr>
        <w:spacing w:after="0" w:line="16" w:lineRule="exact"/>
        <w:rPr>
          <w:sz w:val="20"/>
          <w:szCs w:val="20"/>
          <w:color w:val="auto"/>
        </w:rPr>
      </w:pPr>
    </w:p>
    <w:p>
      <w:pPr>
        <w:ind w:right="320" w:firstLine="324"/>
        <w:spacing w:after="0" w:line="271" w:lineRule="auto"/>
        <w:rPr>
          <w:sz w:val="20"/>
          <w:szCs w:val="20"/>
          <w:color w:val="auto"/>
        </w:rPr>
      </w:pPr>
      <w:r>
        <w:rPr>
          <w:rFonts w:ascii="Times New Roman" w:cs="Times New Roman" w:eastAsia="Times New Roman" w:hAnsi="Times New Roman"/>
          <w:sz w:val="17"/>
          <w:szCs w:val="17"/>
          <w:color w:val="auto"/>
        </w:rPr>
        <w:t>We expect our research and development expenses to increase in absolute dollars due to inflation and investments to support our growing customer base, but decrease as a percentage of revenue as overall hiring slows after a period of investment in building out our cloud platform capabilities.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$5.5 million increase in sales and marketing expenses during the three months ended October 31, 2022, compared to the same period a year ago, was primarily due to increases of $2.4 million in marketing and advertising expense associated with Connections Reimagined, our annual customer conference, which was held in the first quarter of fiscal year 2023 compared to the second quarter of fiscal year 2022; $1.8 million in personnel costs comprised mainly of $1.5 million of severance expense; $1.8 million in travel expenses, particularly for Connections Reimagined; and, to a lesser extent, an increase of $0.3 million in professional services. These increases were partially offset by a decrease of $0.9 million due to certain acquired intangible assets being fully amortized.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sales and marketing headcount was 454 at October 31, 2022, compared with 457 at October 31, 2021.</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expenses to increase in absolute dollars due to inflation and investments to support ongoing growth, but decrease as a percentage of revenue as overall hiring slows after a period of investment in building out our customer success team and adding analytics and cloud sales capabilities.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include executive, finance, human resources, legal, information technology and security, and corporate development and strategy functions, and primarily consist of personnel costs, as well as professional services.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$4.4 million increase in general and administrative during the three months ended October 31, 2022, compared to the same period a year ago, was primarily due to increases of $3.3 million in personnel costs due to higher headcount, which includes $1.0 million of severance expense, and $1.3 million in software subscription and web hosting costs. These increases were partially offset by a decrease of $0.2 million in professional services.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general and administrative headcount was 462 at October 31, 2022, compared with 410 at October 31, 2021. General and administrative headcount includes facilities personnel whose expenses are allocated across all functional departments.</w:t>
      </w:r>
    </w:p>
    <w:p>
      <w:pPr>
        <w:jc w:val="both"/>
        <w:ind w:right="220" w:firstLine="445"/>
        <w:spacing w:after="0" w:line="239"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due to inflation and investments required to support our strategic initiatives, grow our business, and meet our security, compliance and reporting obligations, but decrease as a percentage of revenue as overall hiring and investments slow.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80" w:type="dxa"/>
            <w:vAlign w:val="bottom"/>
            <w:tcBorders>
              <w:bottom w:val="single" w:sz="8" w:color="auto"/>
            </w:tcBorders>
          </w:tcPr>
          <w:p>
            <w:pPr>
              <w:spacing w:after="0"/>
              <w:rPr>
                <w:sz w:val="22"/>
                <w:szCs w:val="22"/>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8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3,964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(15,007)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represents interest earned on our cash, cash equivalents, and investments.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increased $4.0 million during the three months ended October 31, 2022, compared to the same period a year ago, primarily due to higher interest rates, which was impacted by lower funds available for investment.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August 1, 2022 and adoption of ASU 2020-06, interest expense included both stated interest and the amortization of debt discount and issuance costs associated with our Convertible Senior Notes. Previously, the amortization of debt discount and issuance costs were recognized on an effective interest basis. For periods after August 1, 2022, there is no longer a debt discount component related to the Convertible Senior Notes as it was eliminated upon adoption. Stated interest expense is consistent in the comparative periods as the outstanding principal and stated interest rate have not changed.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October 31, 2022 consists of stated interest of $1.3 million and non-cash interest expense of $0.4 million related to amortization of debt issuance costs. Interest expense for the three months ended October 31, 2021 consists of stated interest of $1.3 million and non-cash interest expense of $3.5 million related to the amortization of debt discount and issuance costs.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Malaysian Ringgit, and Polish Zloty.</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during the three months ended October 31, 2022 was expense of $13.8 million, as compared to income of $1.2 million during the same period a year ago, due to fluctuations in foreign currency exchange rates.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and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also be subject to U.S. income tax.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6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6440" w:type="dxa"/>
            <w:vAlign w:val="bottom"/>
          </w:tcPr>
          <w:p>
            <w:pPr>
              <w:spacing w:after="0"/>
              <w:rPr>
                <w:sz w:val="19"/>
                <w:szCs w:val="19"/>
                <w:color w:val="auto"/>
              </w:rPr>
            </w:pPr>
          </w:p>
        </w:tc>
        <w:tc>
          <w:tcPr>
            <w:tcW w:w="10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8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6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(16,095)</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(17,038)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recognized an income tax benefit of $16.1 million and $17.0 million for the three months ended October 31, 2022 and 2021, respectively. The decrease in the amount of income tax benefit recorded for the three months ended October 31, 2022, compared to the same period a year ago, was primarily due to a decrease in tax deductions from stock-based compensation and an increase in non-deductible executive compensation limitation, offset by an increase in the loss before taxes and an increase in research and development credits.</w:t>
      </w:r>
    </w:p>
    <w:p>
      <w:pPr>
        <w:spacing w:after="0" w:line="2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19% for the three months ended October 31, 2022, differs from the statutory U.S. federal income tax rate of 21% mainly due to state taxes, tax deficiencies related to stock-based compensation, research and development credits, foreign earnings taxed in the United States, and certain non-deductible expenses, including executive compensation limitation.</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2022, unrecognized tax benefits increased by $0.5 million. As of October 31, 2022, we had unrecognized tax benefits of $12.1 million that, if recognized, would affect our effective tax rate.</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(the “Tax Act”) amended Internal Revenue Code Section 174 to require that specific research and experimental (“R&amp;E”) expenditures be capitalized and amortized over five years (U.S. R&amp;E) or fifteen years (non-U.S. R&amp;E) beginning in the Company’s fiscal year 2023. Although Congress has considered legislation that would defer, modify, or repeal the capitalization and amortization requirement, there is no assurance that the provision will be deferred, modified, or otherwise repealed. If the requirement is not modified, the Company may be required to utilize some of its federal and state tax attributes and there may be increases to state cash taxes or tax expense.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202"/>
        <w:spacing w:after="0" w:line="254" w:lineRule="auto"/>
        <w:rPr>
          <w:sz w:val="20"/>
          <w:szCs w:val="20"/>
          <w:color w:val="auto"/>
        </w:rPr>
      </w:pPr>
      <w:r>
        <w:rPr>
          <w:rFonts w:ascii="Times New Roman" w:cs="Times New Roman" w:eastAsia="Times New Roman" w:hAnsi="Times New Roman"/>
          <w:sz w:val="18"/>
          <w:szCs w:val="18"/>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138"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135" w:lineRule="exact"/>
        <w:rPr>
          <w:sz w:val="20"/>
          <w:szCs w:val="20"/>
          <w:color w:val="auto"/>
        </w:rPr>
      </w:pPr>
    </w:p>
    <w:p>
      <w:pPr>
        <w:jc w:val="both"/>
        <w:ind w:right="20" w:firstLine="202"/>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specific items excluded from GAAP in the calculation of non-GAAP financial measures for the periods indicated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840" w:type="dxa"/>
            <w:vAlign w:val="bottom"/>
            <w:tcBorders>
              <w:bottom w:val="single" w:sz="8" w:color="auto"/>
            </w:tcBorders>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19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reconciliation:</w:t>
            </w: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68,394</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8,401</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83,021</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78,739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 reconciliation:</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(74,553)</w:t>
            </w:r>
          </w:p>
        </w:tc>
        <w:tc>
          <w:tcPr>
            <w:tcW w:w="8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(65,377)</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(28,710)</w:t>
            </w:r>
          </w:p>
        </w:tc>
      </w:tr>
      <w:tr>
        <w:trPr>
          <w:trHeight w:val="21"/>
        </w:trPr>
        <w:tc>
          <w:tcPr>
            <w:tcW w:w="7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reconciliation:</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(loss)</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(69,318)</w:t>
            </w:r>
          </w:p>
        </w:tc>
        <w:tc>
          <w:tcPr>
            <w:tcW w:w="8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(51,276)</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32,240</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w:t>
            </w:r>
          </w:p>
        </w:tc>
      </w:tr>
      <w:tr>
        <w:trPr>
          <w:trHeight w:val="213"/>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3"/>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20,378</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(6,966)</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(loss)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 reconciliation:</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tax provision (benefit)</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8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(17,038)</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11,548</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13"/>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(51,139)</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(7,430)</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tax provision (benefit)</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reconciliation:</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(loss) per share — diluted</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80" w:type="dxa"/>
            <w:vAlign w:val="bottom"/>
          </w:tcPr>
          <w:p>
            <w:pPr>
              <w:spacing w:after="0"/>
              <w:rPr>
                <w:sz w:val="18"/>
                <w:szCs w:val="18"/>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1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1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Non-GAAP dilutive shares excluded from GAAP net income (loss) per share calculation</w:t>
            </w:r>
          </w:p>
        </w:tc>
        <w:tc>
          <w:tcPr>
            <w:tcW w:w="1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 per share — diluted</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46"/>
        </w:trPr>
        <w:tc>
          <w:tcPr>
            <w:tcW w:w="70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4"/>
        </w:trPr>
        <w:tc>
          <w:tcPr>
            <w:tcW w:w="70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in computing Non-GAAP net income (loss) per share amounts:</w:t>
            </w:r>
          </w:p>
        </w:tc>
        <w:tc>
          <w:tcPr>
            <w:tcW w:w="1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21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weighted average shares — diluted</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83,320,967</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83,225,743</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Non-GAAP dilutive shares excluded from GAAP net income (loss) per share calculation</w:t>
            </w:r>
          </w:p>
        </w:tc>
        <w:tc>
          <w:tcPr>
            <w:tcW w:w="1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 forma weighted average shares — diluted</w:t>
            </w: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83,320,967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83,225,743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sources of liquidity are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31, 2022</w:t>
            </w:r>
          </w:p>
        </w:tc>
        <w:tc>
          <w:tcPr>
            <w:tcW w:w="320" w:type="dxa"/>
            <w:vAlign w:val="bottom"/>
          </w:tcPr>
          <w:p>
            <w:pPr>
              <w:spacing w:after="0" w:line="20" w:lineRule="exact"/>
              <w:rPr>
                <w:sz w:val="1"/>
                <w:szCs w:val="1"/>
                <w:color w:val="auto"/>
              </w:rPr>
            </w:pPr>
          </w:p>
        </w:tc>
        <w:tc>
          <w:tcPr>
            <w:tcW w:w="1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0" w:type="dxa"/>
            <w:vAlign w:val="bottom"/>
          </w:tcPr>
          <w:p>
            <w:pPr>
              <w:spacing w:after="0" w:line="20" w:lineRule="exact"/>
              <w:rPr>
                <w:sz w:val="1"/>
                <w:szCs w:val="1"/>
                <w:color w:val="auto"/>
              </w:rPr>
            </w:pPr>
          </w:p>
        </w:tc>
      </w:tr>
      <w:tr>
        <w:trPr>
          <w:trHeight w:val="871"/>
        </w:trPr>
        <w:tc>
          <w:tcPr>
            <w:tcW w:w="7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4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gridSpan w:val="3"/>
            <w:vMerge w:val="continue"/>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868,521</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1,163,675</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915,185</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2022, approximately $30.5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September 2022, our board of directors authorized and approved a share repurchase program of up to $400.0 million of our outstanding common stock. We entered into an accelerated share repurchase (“ASR”) agreement with a large financial institution whereupon we provided them with a prepayment of $200.0 million and received an initial delivery of 2,581,478 shares of our common stock. During the three months ended October 31, 2022, we repurchased 2,581,478 shares of common stock under the ASR program described above and $200.0 million remains under the September 2022 authorized and approved share repurchase program.</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2021, we repurchased 226,172 shares of common stock at an average price of $116.12 per share under a previously completed share repurchase program.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the first fiscal quarter, which ends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cybersecurity, operating costs, and expansion into other markets. We also may invest in or acquire complementary businesses, applications or technologies, or may execute on the board-authorized share repurchase program, which may require the use of significant cash resources and/or additional financing.</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cash flows for the periods indicated has been derived from our condensed consolidated financial statements included elsewhere in this Quarterly Report on Form 10-Q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r>
      <w:tr>
        <w:trPr>
          <w:trHeight w:val="223"/>
        </w:trPr>
        <w:tc>
          <w:tcPr>
            <w:tcW w:w="70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(107,042)</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(54,423)</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$87.4 million for the three months ended October 31, 2022 compared to net cash used by operating activities of $107.0 million during the three months ended October 31, 2021. This $19.6 million improvement in operating cash used was attributable to a $19.8 million increase in net loss after excluding the impact of non-cash charges such as deferred taxes, stock-based compensation expense, depreciation and amortization expense, and other non-cash items offset by a $39.4 million decrease in cash used by working capital activities. During the first quarter of fiscal year 2023, changes in working capital included severance payments of $2.9 million. During the first quarter of fiscal year 2022, changes in working capital included payments of $18.1 million related to the settlement of accrued vacation balances in countries in which we adopted a non-accrual vacation policy.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by investing activities was $54.4 million for the three months ended October 31, 2022 compared to net cash provided by investing activities of $8.1 million during the three months ended October 31, 2021. The $62.5 million decrease in cash provided by investing activities was primarily due to increased net purchases of available-for-sale securities of $109.0 million and a $0.2 million increase in amounts paid for strategic investments. These increases were partially offset by a decrease in business acquisitions as there were none during first quarter of fiscal year 2023, compared to the acquisition of HazardHub for purchase consideration of $43.8 million during the first quarter of fiscal year 2022, and lower capital expenditures and capitalized software development costs of $2.8 million.</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October 31, 2022 was $200.0 million, compared to $26.2 million for the three months ended October 31, 2021. This $173.8 million increase in cash used was because of the accelerated share repurchase transaction we entered into under our share repurchase program that resulted in $173.7 million more of our common stock being repurchased during the first quarter of fiscal year 2023,compared to the same period a year ago.</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Except as discussed below, there has been no material change in our contractual obligations and commitments other than in the ordinary course of business since our fiscal year ended July 31, 2022.</w:t>
      </w:r>
    </w:p>
    <w:p>
      <w:pPr>
        <w:spacing w:after="0" w:line="20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Effective during the three months ended October 31, 2022, we terminated our existing agreement and entered into a new agreement with a cloud infrastructure services provider for a total obligation of $600 million over a five-year period.</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our Annual Report on Form 10-K for the fiscal year ended July 31, 2022 for additional information regarding our contractual obligations.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October 31,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cash equivalents, and investments. Our cash, cash equivalents, and investments as of October 31, 2022 and July 31, 2022 were $868.5 million and $1,163.7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$3.6 million and $3.6 million in the market value of our available-for-sale securities as of October 31, 2022 and July 31, 2022, respectively. Any realized gains or losses resulting from such interest rate changes would only occur if we sold the investments prior to maturity.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particularly changes in the Australian Dollar, British Pound, Canadian Dollar, Euro, Indian Rupee, Japanese Yen, Malaysian Ringgit, and Polish Zloty, the currency of the locations within which we currently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three months ended October 31, 2022 and 2021, we recorded a foreign currency loss of $13.8 million and a foreign currency gain of $1.2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is estimated to be approximately $24.1 million. As our international operations grow, we will continue to assess our approach to managing our risk relating to fluctuations in currency rates.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in financial instruments, as our investments primarily consist of high-quality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2022 identified in management’s evaluation pursuant to Rules 13a-15(d) or 15d-15(d) of the Exchange Act that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described in Note 6 “Commitments and Contingencies,” to our condensed consolidated financial statements included elsewhere in this Quarterly Report on Form 10-Q, which are incorporated by reference herein, we are not party to any material pending legal proceedings.</w:t>
      </w:r>
    </w:p>
    <w:p>
      <w:pPr>
        <w:spacing w:after="0" w:line="3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104" w:lineRule="exact"/>
        <w:rPr>
          <w:sz w:val="20"/>
          <w:szCs w:val="20"/>
          <w:color w:val="auto"/>
        </w:rPr>
      </w:pPr>
    </w:p>
    <w:p>
      <w:pPr>
        <w:ind w:left="1100" w:right="20" w:hanging="323"/>
        <w:spacing w:after="0" w:line="282"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 related market volatility caused by economic volatility, inflation, or other national and worldwide events on our business and the businesses of our customers, partners, and vendors;</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domestic and international customers and renew existing customers;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potential customers and our ability to sell additional software and services to existing customers;</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and timing of subscription sales as opposed to term or perpetual software licenses, and the variations in revenue recognition between these contract types;</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durations of term software licenses and renewals;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cloud operations, product development, and services;</w:t>
      </w:r>
    </w:p>
    <w:p>
      <w:pPr>
        <w:spacing w:after="0" w:line="103"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cloud-based services, including the impact of our customers transitioning from term software licenses to subscription services;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services margins or significant fluctuations in services revenue caused by changing customer demand, negotiated professional services billing rates, investments in customer implementation and migration projects, or fixed fee contracts;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110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 concerns related to employee data, customer data, and systems that are accessed or otherwise used by our hybrid workforce and customers;</w:t>
      </w:r>
    </w:p>
    <w:p>
      <w:pPr>
        <w:spacing w:after="0" w:line="26"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and our related accounting policies, interpretations, and controls;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acquisitions and other strategic business transactions;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customers’ budgets for information technology purchases and delays in their purchasing decisions;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the ability to hire and onboard appropriate personnel, and the timing of hiring personnel and employee related expenses;</w:t>
      </w:r>
    </w:p>
    <w:p>
      <w:pPr>
        <w:spacing w:after="0" w:line="103" w:lineRule="exact"/>
        <w:rPr>
          <w:rFonts w:ascii="Times New Roman" w:cs="Times New Roman" w:eastAsia="Times New Roman" w:hAnsi="Times New Roman"/>
          <w:sz w:val="18"/>
          <w:szCs w:val="18"/>
          <w:color w:val="auto"/>
        </w:rPr>
      </w:pPr>
    </w:p>
    <w:p>
      <w:pPr>
        <w:jc w:val="both"/>
        <w:ind w:left="1100" w:hanging="323"/>
        <w:spacing w:after="0" w:line="266"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 on our business, including pandemics, geographic and political conflicts, trade tariffs, trade agreements, and other uncertainties that may cause a delay in entering into or a failure to enter into significant customer agreements or the fulfillment of professional service arrangements;</w:t>
      </w:r>
    </w:p>
    <w:p>
      <w:pPr>
        <w:spacing w:after="0" w:line="54"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dispute-related settlement payments, or litigation-related costs;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or deflation in the economies in which we operate and its impact on our revenues given the multi-year term of most customer agreements.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3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3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40" w:lineRule="exact"/>
        <w:rPr>
          <w:sz w:val="20"/>
          <w:szCs w:val="20"/>
          <w:color w:val="auto"/>
        </w:rPr>
      </w:pPr>
    </w:p>
    <w:p>
      <w:pPr>
        <w:ind w:left="1100" w:hanging="323"/>
        <w:spacing w:after="0" w:line="281" w:lineRule="auto"/>
        <w:tabs>
          <w:tab w:leader="none" w:pos="10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subscription arrangements are recognized ratably and only a portion, if any, of the revenue from an order is recognized in the same fiscal period of the order;</w:t>
      </w:r>
    </w:p>
    <w:p>
      <w:pPr>
        <w:spacing w:after="0" w:line="40" w:lineRule="exact"/>
        <w:rPr>
          <w:rFonts w:ascii="Arial" w:cs="Arial" w:eastAsia="Arial" w:hAnsi="Arial"/>
          <w:sz w:val="18"/>
          <w:szCs w:val="18"/>
          <w:color w:val="auto"/>
        </w:rPr>
      </w:pPr>
    </w:p>
    <w:p>
      <w:pPr>
        <w:ind w:left="1100" w:right="20" w:hanging="323"/>
        <w:spacing w:after="0" w:line="281" w:lineRule="auto"/>
        <w:tabs>
          <w:tab w:leader="none" w:pos="10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subscription arrangements generally have ramped invoicing schedules over the initial term, which affects ARR, but revenue is recognized ratably over the initial term;</w:t>
      </w:r>
    </w:p>
    <w:p>
      <w:pPr>
        <w:spacing w:after="0" w:line="27"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our term license agreements and multi-year term license renewals generally have annual billing arrangements even though revenue is recognized upfront for the entire committed term;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both"/>
        <w:ind w:left="1100" w:right="20" w:hanging="323"/>
        <w:spacing w:after="0" w:line="265" w:lineRule="auto"/>
        <w:tabs>
          <w:tab w:leader="none" w:pos="10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42"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spacing w:after="0" w:line="40"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five-year renewal of a single license agreement, which resulted in the first quarter of fiscal year 2021 lacking comparability to the prior year and creating a challenging comparable for the first quarter of fiscal year 2022.</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18"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105"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w:t>
      </w:r>
    </w:p>
    <w:p>
      <w:pPr>
        <w:spacing w:after="0" w:line="14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13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25"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107" w:lineRule="exact"/>
        <w:rPr>
          <w:sz w:val="20"/>
          <w:szCs w:val="20"/>
          <w:color w:val="auto"/>
        </w:rPr>
      </w:pPr>
    </w:p>
    <w:p>
      <w:pPr>
        <w:jc w:val="both"/>
        <w:ind w:firstLine="445"/>
        <w:spacing w:after="0" w:line="236" w:lineRule="auto"/>
        <w:rPr>
          <w:sz w:val="20"/>
          <w:szCs w:val="20"/>
          <w:color w:val="auto"/>
        </w:rPr>
      </w:pPr>
      <w:r>
        <w:rPr>
          <w:rFonts w:ascii="Times New Roman" w:cs="Times New Roman" w:eastAsia="Times New Roman" w:hAnsi="Times New Roman"/>
          <w:sz w:val="18"/>
          <w:szCs w:val="18"/>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 2020, our ten largest customers accounted for 27% of our revenue, in fiscal year 2021 they accounted for 28%, and in fiscal year 2022 they accounted for 23%. Additionally, our ten largest customers based on ARR accounted for 26% of total ARR at July 31, 2022.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14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derive a significant majority of our revenue and cash flows from our established product offerings, including Guidewire InsuranceSuite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global events have adversely affected, and may continue to adversely affect, our business, 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18"/>
          <w:szCs w:val="18"/>
          <w:color w:val="auto"/>
        </w:rPr>
        <w:t>Recent global events have adversely affected and are continuing to adversely affect workforces, organizations, economies, and financial markets globally, leading to economic downturns, inflation, and increased market volatility. The continuing COVID-19 pandemic, the ongoing conflict between Russia and Ukraine, inflation higher than we have seen in decades, and supply chain issues have added to global economic and market volatility. Our business and financial results during fiscal year 2022, including our ARR growth rates, services revenue, and margins, were adversely impacted due to the disruptions resulting from these events. The pandemic, as well as measures undertaken to contain the spread of COVID-19 variants,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 delays. In the third quarter of our fiscal year 2022, the ongoing conflict between Russia and Ukraine resulted in our ceasing operations in Russia, which resulted in our recording $3.0 million of bad debt expense and removing $3.1 million of ARR due to our cancellation of contracts with customers in Russia.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w:t>
      </w:r>
    </w:p>
    <w:p>
      <w:pPr>
        <w:spacing w:after="0" w:line="14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transitioning to a hybrid in-person and remote workforce, which will subject us to certain operational challenges and risks and potential harm to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133"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0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knowledge, and pre-built content applicable to that jurisdiction. We also compete with vendors of horizontal software products that may be customized to address needs of the P&amp;C insurance industry.</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spacing w:after="0" w:line="1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3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w:t>
      </w:r>
    </w:p>
    <w:p>
      <w:pPr>
        <w:spacing w:after="0" w:line="13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31"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implementation and testing of our services and products by our customers typically lasts six to 24 months or longer and unexpected implementation delays and difficulties can occur. Implementing our services and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renegotiating existing customer’s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3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Furthermore, our sales and implementation cycles could be interrupted or affected by other factors outside of our control. For example, the COVID-19 pandemic caused sales and implementation cycles to lengthen, along with other impacts on our business.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and other global events on our business, results of operations, and financial condition.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expanding operations effectively could harm our business.</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experienced consistent growth and expect to continue to expand our operations, including the number of employees and the locations and scope of our international operations. Additionally, we have announced our intention to transition to a hybrid work environment in which a large portion of our workforce will work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134"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subscription and support revenue was 42% and 34% of total revenue for fiscal years 2022 and 2021, respectively. Our subscription and support revenue produces lower gross margins than our license revenue. The gross margin of our subscription and support revenue was 41% and 35% for fiscal years 2022 and 2021, respectively, while the gross margin for license revenue was 97% and 97% for fiscal years 2022 and 2021,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inflation, or other global events and disasters.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Further, our services revenue was 26% and 25% of total revenue for fiscal years 2022 and 2021, respectively. Our services revenue produces lower gross margin than either our license revenue or our subscription and support revenue. The gross margin of our services revenue was negative for fiscal years 2022 and 2021.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139"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These customers may also delay making payments under existing agreements or at renewal in an attempt to obtain more favorable terms from us. We have been required to, and may continue to be required to, reduce the average selling price of our services and products in response to these pressures. If we are unable to avoid reducing our average selling prices, our results of operations could be harmed.</w:t>
      </w:r>
    </w:p>
    <w:p>
      <w:pPr>
        <w:spacing w:after="0" w:line="131"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renewing and expanding their license, support, and subscription contracts for our services and products. A decline in our customer renewals and expansions could harm our future results of operations.</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 in our customers’ business including their DWP, reductions in our customers’ spending levels due to the macroeconomic environment or other factors, or the sale of their operations to a buyer that is not a current customer.</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18"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services and products, we may be put at a competitive disadvantage.</w:t>
      </w:r>
    </w:p>
    <w:p>
      <w:pPr>
        <w:spacing w:after="0" w:line="105"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updates to our existing products and services can take significant time and resources to develop and bring to market. 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customer requirements and to successfully introduce new, enhanced, and competitive services and products to meet our customers’ and prospective customers’ needs on a timely basis. We have invested and intend to increase</w:t>
      </w:r>
    </w:p>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research and development and cloud operations to meet these challenges. Revenue may not be sufficient to support the future product development that is required for us to remain competitive. If we fail to develop services and products in a timely manner that are competitive in technology and price or develop services and products that fail to meet customer demands, our market share will decline and our business and results of operations</w:t>
      </w:r>
    </w:p>
    <w:p>
      <w:pPr>
        <w:jc w:val="both"/>
        <w:spacing w:after="0" w:line="282" w:lineRule="auto"/>
        <w:rPr>
          <w:sz w:val="20"/>
          <w:szCs w:val="20"/>
          <w:color w:val="auto"/>
        </w:rPr>
      </w:pPr>
      <w:r>
        <w:rPr>
          <w:rFonts w:ascii="Times New Roman" w:cs="Times New Roman" w:eastAsia="Times New Roman" w:hAnsi="Times New Roman"/>
          <w:sz w:val="18"/>
          <w:szCs w:val="18"/>
          <w:color w:val="auto"/>
        </w:rPr>
        <w:t>could be harmed. If our development efforts do not develop services, products or features that our customers find valuable, then we might incur impairment charges related to our capitalized software development costs.</w:t>
      </w:r>
    </w:p>
    <w:p>
      <w:pPr>
        <w:spacing w:after="0" w:line="104"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 failures, and bugs in some of our offerings after their introduction. Additionally, our Guidewire Cloud offerings rely on third-party hosting</w:t>
      </w:r>
    </w:p>
    <w:p>
      <w:pPr>
        <w:spacing w:after="0" w:line="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services, primarily Amazon Web Services (“AWS”). Any material disruption or slowdown in these services or the systems of third parties who we depend upon could cause outages or delays in our services, which could harm our reputation and adversely affect our results of operations.</w:t>
      </w:r>
    </w:p>
    <w:p>
      <w:pPr>
        <w:spacing w:after="0" w:line="13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provide our customers with upfront estimates regarding the duration, resources, and costs associated with the migration and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spacing w:after="0" w:line="13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125"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13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05"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API-driven property risk insights. Acquisitions and alliances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spacing w:after="0" w:line="13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2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successful development of our global direct sales force and the expansion of our relationships with our strategic partners, sales of our services and products will suffer and our growth could be slower than we project.</w:t>
      </w:r>
    </w:p>
    <w:p>
      <w:pPr>
        <w:spacing w:after="0" w:line="10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 resources that our SI partners commit to migrating or implementing our services and products, the quality or timeliness of such migrations and implementations, or the effects of the COVID-19 pandemic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spacing w:after="0" w:line="136"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0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sell our services and products to customers located outside the United States, and we are continuing to expand our international operations as part of our growth strategy. In fiscal years 2022, 2021, and 2020, $296.2 million, $271.1 million, and $279.8 million of our revenue, respectively, was from customers outside of the United States. Our current international operations and our plans to expand our international operations subject us to a variety of risks, including:</w:t>
      </w:r>
    </w:p>
    <w:p>
      <w:pPr>
        <w:spacing w:after="0" w:line="58" w:lineRule="exact"/>
        <w:rPr>
          <w:sz w:val="20"/>
          <w:szCs w:val="20"/>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and legal compliance costs associated with having multiple international operations;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terms and conditions in contract negotiations imposed by customers in foreign countries;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contracts and collecting accounts receivable;</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contracts and our services and products for international customers;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fluctuations in currency exchange rates, especially on revenue and ARR;</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inflationary international economies, such as Argentina;</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and political conflicts, such as that between Russia and Ukraine;</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complying with a wide variety of foreign laws and legal standards, including the General Data Protection Regulation in the European Union (“EU”) and the U.K.;</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U.K. Bribery Act of 2010 and other anti-corruption regulations, particularly in emerging market countries;</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international staff with accounting practices generally accepted in the United States, including adherence to our accounting policies and internal controls;</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tax and reporting burdens and complexities;</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intellectual property rights in some countries;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regimes;</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sanctions that may interfere with our ability to sell into particular countries, such as Russia;</w:t>
      </w:r>
    </w:p>
    <w:p>
      <w:pPr>
        <w:spacing w:after="0" w:line="9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 caused by epidemics or pandemics, such as COVID-19; and</w:t>
      </w:r>
    </w:p>
    <w:p>
      <w:pPr>
        <w:spacing w:after="0" w:line="103"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118"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services and products are complex and are deployed in a wide variety of network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if there is substantial turnover of customer personnel responsible, especially at the executive level,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spacing w:after="0" w:line="125"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0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may need additional financing to execute on our current or future business strategies, including to develop new or enhance existing services and products, acquire businesses and technologies, or otherwise to respond to competitive pressures.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spacing w:after="0" w:line="2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Data Security and Privacy, Intellectual Property, and Information Technology</w:t>
      </w:r>
    </w:p>
    <w:p>
      <w:pPr>
        <w:spacing w:after="0" w:line="171"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cloud-based services experience data security breaches or there is unauthorized access to our customers’ data, we may lose current or future customers and our reputation and business may be harmed.</w:t>
      </w:r>
    </w:p>
    <w:p>
      <w:pPr>
        <w:spacing w:after="0" w:line="10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company. 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32"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adoption of our cloud-based services occurs, the amount of customer data, including customer personal information, that we manage, hold, and/or</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 continues to increase. 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12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takes substantial effect on January 1, 2023,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w:t>
      </w:r>
    </w:p>
    <w:p>
      <w:pPr>
        <w:spacing w:after="0" w:line="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U.S. state and law enforcement agencies, known as the Schrems II decision. Schrems II now requires companies to conduct case-by-case assessments of each data transfer to a non-EU, or non-UK, country in order to ensure that such data is adequately protected.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122"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spacing w:after="0" w:line="13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w:t>
      </w:r>
    </w:p>
    <w:p>
      <w:pPr>
        <w:spacing w:after="0" w:line="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The revised clauses must be used for relevant new data transfers from September 27, 2021, while existing standard contractual clauses arrangements must be migrated to the revised clauses by December 27, 2022. We will be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 receipt of personal data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 to the United States and other countries. As data protection authorities continue to issue further guidance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12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13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provide adequate protection for personal data. These changes may lead to additional costs and increase our overall risk exposure.</w:t>
      </w:r>
    </w:p>
    <w:p>
      <w:pPr>
        <w:spacing w:after="0" w:line="17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125"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0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12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w:t>
      </w:r>
    </w:p>
    <w:p>
      <w:pPr>
        <w:sectPr>
          <w:pgSz w:w="11900" w:h="16838" w:orient="portrait"/>
          <w:cols w:equalWidth="0" w:num="1">
            <w:col w:w="11240"/>
          </w:cols>
          <w:pgMar w:left="320" w:top="283"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results of operations.</w:t>
      </w:r>
    </w:p>
    <w:p>
      <w:pPr>
        <w:spacing w:after="0" w:line="1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2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3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spacing w:after="0" w:line="129"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rely on technology and intellectual property of third parties, the loss of which could limit the functionality of our services and products and disrupt our business.</w:t>
      </w:r>
    </w:p>
    <w:p>
      <w:pPr>
        <w:spacing w:after="0" w:line="10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services and products, and we may license additional third-party technology and intellectual property in the future. Any errors or defects in this third-party technology and intellectual property or the integration of third-party technology and intellectual property with our services and products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spacing w:after="0" w:line="1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addition, our Guidewire Cloud offerings rely on third-party hosting and infrastructure services provided by AWS, for the continuous, reliable, and secure operation of servers, related hardware and software, and network infrastructure. A prolonged 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disruption or slowdown for any reason could damage our reputation with current and potential customers, expose us to liability, cause us to lose customers, or otherwise harm our business.</w:t>
      </w:r>
    </w:p>
    <w:p>
      <w:pPr>
        <w:spacing w:after="0" w:line="104"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and technologies may use “open source” software, which may restrict how we use or distribute our services or require that we release the source code of certain services and products subject to those licenses.</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13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36"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Regulatory, Accounting, and Tax Matters</w:t>
      </w:r>
    </w:p>
    <w:p>
      <w:pPr>
        <w:spacing w:after="0" w:line="171"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w:t>
      </w:r>
    </w:p>
    <w:p>
      <w:pPr>
        <w:spacing w:after="0" w:line="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0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1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related accounting policies on our financial statements going forward. In addition, were we to change our accounting estimates, including those related to the timing of revenue</w:t>
      </w:r>
    </w:p>
    <w:p>
      <w:pPr>
        <w:sectPr>
          <w:pgSz w:w="11900" w:h="16838" w:orient="portrait"/>
          <w:cols w:equalWidth="0" w:num="1">
            <w:col w:w="11240"/>
          </w:cols>
          <w:pgMar w:left="320" w:top="283"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 revenue recognition standards require significant judgment and estimates that impact our reported revenue and results of operations.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reported revenue has and will vary from the ARR and cash flow associated with each customer agreement. 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129"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12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131"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0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“Tax Act”), the Coronavirus Aid, Relief, Economic Security Act of 2020, and the Inflation Reduction Act of 2022.</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20" w:lineRule="exact"/>
        <w:rPr>
          <w:sz w:val="20"/>
          <w:szCs w:val="20"/>
          <w:color w:val="auto"/>
        </w:rPr>
      </w:pPr>
    </w:p>
    <w:p>
      <w:pPr>
        <w:ind w:left="460" w:right="3480" w:firstLine="3366"/>
        <w:spacing w:after="0" w:line="516"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Risks Related to Ownership of Our Common Stock </w:t>
      </w:r>
      <w:r>
        <w:rPr>
          <w:rFonts w:ascii="Times New Roman" w:cs="Times New Roman" w:eastAsia="Times New Roman" w:hAnsi="Times New Roman"/>
          <w:sz w:val="17"/>
          <w:szCs w:val="17"/>
          <w:b w:val="1"/>
          <w:bCs w:val="1"/>
          <w:i w:val="1"/>
          <w:iCs w:val="1"/>
          <w:color w:val="auto"/>
        </w:rPr>
        <w:t>Our stock price may be volatile, which could result in securities class action litigation against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spacing w:after="0" w:line="1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118"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0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04"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0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58" w:lineRule="exact"/>
        <w:rPr>
          <w:sz w:val="20"/>
          <w:szCs w:val="20"/>
          <w:color w:val="auto"/>
        </w:rPr>
      </w:pPr>
    </w:p>
    <w:p>
      <w:pPr>
        <w:ind w:left="1100" w:hanging="323"/>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103"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acquirer;</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which could delay the ability of our stockholders to force consideration of a proposal or to take action, including the removal of directors; and</w:t>
      </w:r>
    </w:p>
    <w:p>
      <w:pPr>
        <w:spacing w:after="0" w:line="26"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118"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40" w:lineRule="exact"/>
        <w:rPr>
          <w:sz w:val="20"/>
          <w:szCs w:val="20"/>
          <w:color w:val="auto"/>
        </w:rPr>
      </w:pPr>
    </w:p>
    <w:p>
      <w:pPr>
        <w:ind w:left="1100" w:hanging="323"/>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40"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the Delaware General Corporation Law, our amended and restated certificate of incorporation or our amended and restated bylaws; or</w:t>
      </w:r>
    </w:p>
    <w:p>
      <w:pPr>
        <w:spacing w:after="0" w:line="40"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(the “Delaware Forum Provision”).</w:t>
      </w:r>
    </w:p>
    <w:p>
      <w:pPr>
        <w:spacing w:after="0" w:line="21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3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4"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it will enhance stockholder value, and share repurchases could affect the price of our common stock.</w:t>
      </w:r>
    </w:p>
    <w:p>
      <w:pPr>
        <w:spacing w:after="0" w:line="10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September 2022, our board of directors authorized and approved a share repurchase program of up to $400 million of our outstanding common stock and entered into an ASR agreement to repurchase an aggregate $200 million of our common stock. As of October 31, 2022, $200 million of the share repurchase program remains available for future 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2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71" w:lineRule="exact"/>
        <w:rPr>
          <w:sz w:val="20"/>
          <w:szCs w:val="20"/>
          <w:color w:val="auto"/>
        </w:rPr>
      </w:pPr>
    </w:p>
    <w:p>
      <w:pPr>
        <w:jc w:val="both"/>
        <w:ind w:firstLine="4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July 31, 2022,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129"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4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30"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results of operations.</w:t>
      </w:r>
    </w:p>
    <w:p>
      <w:pPr>
        <w:spacing w:after="0" w:line="10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Convertible Senior Notes may affect the value of our common stock.</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18"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Debt—Debt with Conversion and Other Options (Subtopic 470-</w:t>
      </w:r>
    </w:p>
    <w:p>
      <w:pPr>
        <w:spacing w:after="0" w:line="27" w:lineRule="exact"/>
        <w:rPr>
          <w:sz w:val="20"/>
          <w:szCs w:val="20"/>
          <w:color w:val="auto"/>
        </w:rPr>
      </w:pPr>
    </w:p>
    <w:p>
      <w:pPr>
        <w:jc w:val="both"/>
        <w:ind w:firstLine="8"/>
        <w:spacing w:after="0" w:line="252" w:lineRule="auto"/>
        <w:tabs>
          <w:tab w:leader="none" w:pos="3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Derivatives and Hedging—Contracts in Entity’s Own Equity (Subtopic 815-40), which we adopted on August 1, 2022. The ASU simplifies the accounting for convertible instruments, and among other things, eliminates the treasury stock method to calculate diluted earnings per share for convertible instruments and requires the use of the if-converted method. When calculating diluted EPS, the if-converted method requires us to assume that convertible debt instruments (and any applicable conversion premium) are converted to common stock as of the beginning of the period presented regardless of the price of our stock in periods that we have net income. Additionally, the if-converted method does not allow us to offset the impact of our capped call transactions on the calculation. We expect that such calculations will negatively affect our reported diluted EPS in the periods that we have net income irrespective of actual conversion of the Convertible Senior Notes.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1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171"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forego purchases of our services or products in the event of weakened global economic conditions, political transitions, and industry consolidation.</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Further, other global events such as global inflation concerns and the ongoing conflict between Russia and Ukraine,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spacing w:after="0" w:line="1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118"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10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133" w:lineRule="exact"/>
        <w:rPr>
          <w:sz w:val="20"/>
          <w:szCs w:val="20"/>
          <w:color w:val="auto"/>
        </w:rPr>
      </w:pPr>
    </w:p>
    <w:p>
      <w:pPr>
        <w:jc w:val="both"/>
        <w:ind w:firstLine="445"/>
        <w:spacing w:after="0" w:line="273" w:lineRule="auto"/>
        <w:rPr>
          <w:sz w:val="20"/>
          <w:szCs w:val="20"/>
          <w:color w:val="auto"/>
        </w:rPr>
      </w:pPr>
      <w:r>
        <w:rPr>
          <w:rFonts w:ascii="Times New Roman" w:cs="Times New Roman" w:eastAsia="Times New Roman" w:hAnsi="Times New Roman"/>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12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12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the COVID-19 pandemic,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which has increased in connection with the COVID-19 pandemic and its associated workplace-related ramifications, or we may be required to pay increased compensation in order to do so.</w:t>
      </w:r>
    </w:p>
    <w:p>
      <w:pPr>
        <w:spacing w:after="0" w:line="13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spacing w:after="0" w:line="122"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12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conflict between Russia and Ukraine,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floods, severe heat and cold events, fires, and other natural disasters, Germany, Pakistan, and other parts of Europe have experienced flooding,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13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corporate headquarters and the majority of our operations are located in the San Francisco Bay Area, a region known for seismic activity and near an area subject to severe fire damage. A significant natural disaster, such as an earthquake, tsunami, fire, flood, epidemic, or pandemic, such as the COVID-19 pandemic, could have a material adverse impact on our business, results of operations, and financial condition.</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118" w:lineRule="exact"/>
        <w:rPr>
          <w:sz w:val="20"/>
          <w:szCs w:val="20"/>
          <w:color w:val="auto"/>
        </w:rPr>
      </w:pPr>
    </w:p>
    <w:p>
      <w:pPr>
        <w:jc w:val="both"/>
        <w:ind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subject to fluctuations due to changes in foreign currency exchange rates, particularly changes in the Australian Dollar, British Pound, Canadian Dollar, Euro, Indian Rupee, and Polish Zloty.</w:t>
      </w:r>
    </w:p>
    <w:p>
      <w:pPr>
        <w:spacing w:after="0" w:line="10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While we have limited currency exchange exposure to the Russian Ruble, we expect global exchange rates for various currencies may be more volatile than normal as a result of the ongoing conflict between Russia and Ukraine and related events. We will continue to experience fluctuations in foreign currency exchange rates, which, if material, may harm our revenue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Repurchases of equity securities by the Company during the three months ended October 31, 2022 were as follows:</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800" w:type="dxa"/>
            <w:vAlign w:val="bottom"/>
            <w:tcBorders>
              <w:top w:val="single" w:sz="8" w:color="auto"/>
              <w:left w:val="single" w:sz="8" w:color="auto"/>
              <w:right w:val="single" w:sz="8" w:color="auto"/>
            </w:tcBorders>
          </w:tcPr>
          <w:p>
            <w:pPr>
              <w:spacing w:after="0"/>
              <w:rPr>
                <w:sz w:val="21"/>
                <w:szCs w:val="21"/>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(in</w:t>
            </w:r>
          </w:p>
        </w:tc>
        <w:tc>
          <w:tcPr>
            <w:tcW w:w="0" w:type="dxa"/>
            <w:vAlign w:val="bottom"/>
          </w:tcPr>
          <w:p>
            <w:pPr>
              <w:spacing w:after="0"/>
              <w:rPr>
                <w:sz w:val="1"/>
                <w:szCs w:val="1"/>
                <w:color w:val="auto"/>
              </w:rPr>
            </w:pPr>
          </w:p>
        </w:tc>
      </w:tr>
      <w:tr>
        <w:trPr>
          <w:trHeight w:val="175"/>
        </w:trPr>
        <w:tc>
          <w:tcPr>
            <w:tcW w:w="3800" w:type="dxa"/>
            <w:vAlign w:val="bottom"/>
            <w:tcBorders>
              <w:left w:val="single" w:sz="8" w:color="auto"/>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25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4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millions) of Shares That May</w:t>
            </w:r>
          </w:p>
        </w:tc>
        <w:tc>
          <w:tcPr>
            <w:tcW w:w="0" w:type="dxa"/>
            <w:vAlign w:val="bottom"/>
          </w:tcPr>
          <w:p>
            <w:pPr>
              <w:spacing w:after="0"/>
              <w:rPr>
                <w:sz w:val="1"/>
                <w:szCs w:val="1"/>
                <w:color w:val="auto"/>
              </w:rPr>
            </w:pPr>
          </w:p>
        </w:tc>
      </w:tr>
      <w:tr>
        <w:trPr>
          <w:trHeight w:val="189"/>
        </w:trPr>
        <w:tc>
          <w:tcPr>
            <w:tcW w:w="3800" w:type="dxa"/>
            <w:vAlign w:val="bottom"/>
            <w:tcBorders>
              <w:left w:val="single" w:sz="8" w:color="auto"/>
              <w:right w:val="single" w:sz="8" w:color="auto"/>
            </w:tcBorders>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25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4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Yet Be Purchased Under the</w:t>
            </w: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3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1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48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Plans or Programs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September 1, 2022 - September 30, 2022 </w:t>
            </w:r>
            <w:r>
              <w:rPr>
                <w:rFonts w:ascii="Times New Roman" w:cs="Times New Roman" w:eastAsia="Times New Roman" w:hAnsi="Times New Roman"/>
                <w:sz w:val="23"/>
                <w:szCs w:val="23"/>
                <w:color w:val="auto"/>
                <w:vertAlign w:val="superscript"/>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2,581,478</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$61.98</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2,581,478</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20" w:firstLine="8"/>
        <w:spacing w:after="0" w:line="241" w:lineRule="auto"/>
        <w:tabs>
          <w:tab w:leader="none" w:pos="191"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22, 2022, we announced that our board of directors authorized and approved a share repurchase program of up to $400.0 million of our outstanding stock. We began repurchasing shares under this program during the first quarter of fiscal year 2023. As of October 31, 2022, we had approximately $200.0 million remaining for future share repurchases under the share repurchase program. The share repurchase program does not obligate us to repurchase any dollar amount or number of shares, and the program may be modified, suspended or discontinued at any time. There is no stated expiration date for the program.</w:t>
      </w:r>
    </w:p>
    <w:p>
      <w:pPr>
        <w:spacing w:after="0" w:line="23" w:lineRule="exact"/>
        <w:rPr>
          <w:rFonts w:ascii="Times New Roman" w:cs="Times New Roman" w:eastAsia="Times New Roman" w:hAnsi="Times New Roman"/>
          <w:sz w:val="23"/>
          <w:szCs w:val="23"/>
          <w:color w:val="auto"/>
          <w:vertAlign w:val="superscript"/>
        </w:rPr>
      </w:pPr>
    </w:p>
    <w:p>
      <w:pPr>
        <w:ind w:right="40" w:firstLine="8"/>
        <w:spacing w:after="0" w:line="233" w:lineRule="auto"/>
        <w:tabs>
          <w:tab w:leader="none" w:pos="184"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September 28, 2022, we entered into an ASR agreement with a large financial institution whereupon we provided them with a prepayment of $200.0 million. As of October 31, 2022, approximately $40 million of the prepayment remained under this agreement.</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83" w:right="319" w:bottom="1440" w:gutter="0" w:footer="0" w:header="0"/>
        </w:sectPr>
      </w:pPr>
    </w:p>
    <w:bookmarkStart w:id="67" w:name="page68"/>
    <w:bookmarkEnd w:id="67"/>
    <w:tbl>
      <w:tblPr>
        <w:tblLayout w:type="fixed"/>
        <w:tblInd w:w="73"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7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Report.</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0" w:type="dxa"/>
            <w:vAlign w:val="bottom"/>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44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0" w:type="dxa"/>
            <w:vAlign w:val="bottom"/>
          </w:tcPr>
          <w:p>
            <w:pPr>
              <w:jc w:val="center"/>
              <w:ind w:left="808"/>
              <w:spacing w:after="0" w:line="137" w:lineRule="exact"/>
              <w:rPr>
                <w:sz w:val="20"/>
                <w:szCs w:val="20"/>
                <w:color w:val="auto"/>
              </w:rPr>
            </w:pPr>
            <w:r>
              <w:rPr>
                <w:rFonts w:ascii="Times New Roman" w:cs="Times New Roman" w:eastAsia="Times New Roman" w:hAnsi="Times New Roman"/>
                <w:sz w:val="14"/>
                <w:szCs w:val="14"/>
                <w:b w:val="1"/>
                <w:bCs w:val="1"/>
                <w:color w:val="auto"/>
              </w:rPr>
              <w:t>Reference From</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26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13"/>
          </w:cols>
          <w:pgMar w:left="247" w:top="270" w:right="339" w:bottom="1440" w:gutter="0" w:footer="0" w:header="0"/>
        </w:sectPr>
      </w:pPr>
    </w:p>
    <w:tbl>
      <w:tblPr>
        <w:tblLayout w:type="fixed"/>
        <w:tblInd w:w="513"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240" w:type="dxa"/>
            <w:vAlign w:val="bottom"/>
            <w:tcBorders>
              <w:bottom w:val="single" w:sz="8" w:color="0000FF"/>
            </w:tcBorders>
          </w:tcPr>
          <w:p>
            <w:pPr>
              <w:jc w:val="center"/>
              <w:spacing w:after="0" w:line="19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60" w:type="dxa"/>
            <w:vAlign w:val="bottom"/>
          </w:tcPr>
          <w:p>
            <w:pPr>
              <w:ind w:left="260"/>
              <w:spacing w:after="0" w:line="199" w:lineRule="exact"/>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Common Stock Certificate of the Registrant</w:t>
            </w:r>
          </w:p>
        </w:tc>
        <w:tc>
          <w:tcPr>
            <w:tcW w:w="0" w:type="dxa"/>
            <w:vAlign w:val="bottom"/>
          </w:tcPr>
          <w:p>
            <w:pPr>
              <w:spacing w:after="0"/>
              <w:rPr>
                <w:sz w:val="1"/>
                <w:szCs w:val="1"/>
                <w:color w:val="auto"/>
              </w:rPr>
            </w:pPr>
          </w:p>
        </w:tc>
      </w:tr>
      <w:tr>
        <w:trPr>
          <w:trHeight w:val="205"/>
        </w:trPr>
        <w:tc>
          <w:tcPr>
            <w:tcW w:w="5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26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w w:val="99"/>
              </w:rPr>
              <w:t>Certification of the Chief Executive Officer pursuant to</w:t>
            </w:r>
          </w:p>
        </w:tc>
        <w:tc>
          <w:tcPr>
            <w:tcW w:w="0" w:type="dxa"/>
            <w:vAlign w:val="bottom"/>
          </w:tcPr>
          <w:p>
            <w:pPr>
              <w:spacing w:after="0"/>
              <w:rPr>
                <w:sz w:val="1"/>
                <w:szCs w:val="1"/>
                <w:color w:val="auto"/>
              </w:rPr>
            </w:pPr>
          </w:p>
        </w:tc>
      </w:tr>
      <w:tr>
        <w:trPr>
          <w:trHeight w:val="99"/>
        </w:trPr>
        <w:tc>
          <w:tcPr>
            <w:tcW w:w="580" w:type="dxa"/>
            <w:vAlign w:val="bottom"/>
            <w:gridSpan w:val="4"/>
            <w:vMerge w:val="continue"/>
          </w:tcPr>
          <w:p>
            <w:pPr>
              <w:spacing w:after="0"/>
              <w:rPr>
                <w:sz w:val="8"/>
                <w:szCs w:val="8"/>
                <w:color w:val="auto"/>
              </w:rPr>
            </w:pPr>
          </w:p>
        </w:tc>
        <w:tc>
          <w:tcPr>
            <w:tcW w:w="4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0" w:type="dxa"/>
            <w:vAlign w:val="bottom"/>
          </w:tcPr>
          <w:p>
            <w:pPr>
              <w:spacing w:after="0"/>
              <w:rPr>
                <w:sz w:val="1"/>
                <w:szCs w:val="1"/>
                <w:color w:val="auto"/>
              </w:rPr>
            </w:pPr>
          </w:p>
        </w:tc>
      </w:tr>
      <w:tr>
        <w:trPr>
          <w:trHeight w:val="115"/>
        </w:trPr>
        <w:tc>
          <w:tcPr>
            <w:tcW w:w="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13" w:type="dxa"/>
        <w:tblCellMar>
          <w:top w:w="0" w:type="dxa"/>
          <w:left w:w="0" w:type="dxa"/>
          <w:bottom w:w="0" w:type="dxa"/>
          <w:right w:w="0" w:type="dxa"/>
        </w:tblCellMar>
      </w:tblPr>
      <w:tr>
        <w:trPr>
          <w:trHeight w:val="184"/>
        </w:trPr>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20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w w:val="99"/>
              </w:rPr>
              <w:t>Certification of the Chief Financial Officer pursuant to</w:t>
            </w:r>
          </w:p>
        </w:tc>
        <w:tc>
          <w:tcPr>
            <w:tcW w:w="0" w:type="dxa"/>
            <w:vAlign w:val="bottom"/>
          </w:tcPr>
          <w:p>
            <w:pPr>
              <w:spacing w:after="0"/>
              <w:rPr>
                <w:sz w:val="1"/>
                <w:szCs w:val="1"/>
                <w:color w:val="auto"/>
              </w:rPr>
            </w:pPr>
          </w:p>
        </w:tc>
      </w:tr>
      <w:tr>
        <w:trPr>
          <w:trHeight w:val="99"/>
        </w:trPr>
        <w:tc>
          <w:tcPr>
            <w:tcW w:w="580" w:type="dxa"/>
            <w:vAlign w:val="bottom"/>
            <w:gridSpan w:val="2"/>
            <w:vMerge w:val="continue"/>
          </w:tcPr>
          <w:p>
            <w:pPr>
              <w:spacing w:after="0"/>
              <w:rPr>
                <w:sz w:val="8"/>
                <w:szCs w:val="8"/>
                <w:color w:val="auto"/>
              </w:rPr>
            </w:pPr>
          </w:p>
        </w:tc>
        <w:tc>
          <w:tcPr>
            <w:tcW w:w="42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0" w:type="dxa"/>
            <w:vAlign w:val="bottom"/>
          </w:tcPr>
          <w:p>
            <w:pPr>
              <w:spacing w:after="0"/>
              <w:rPr>
                <w:sz w:val="1"/>
                <w:szCs w:val="1"/>
                <w:color w:val="auto"/>
              </w:rPr>
            </w:pPr>
          </w:p>
        </w:tc>
      </w:tr>
      <w:tr>
        <w:trPr>
          <w:trHeight w:val="115"/>
        </w:trPr>
        <w:tc>
          <w:tcPr>
            <w:tcW w:w="32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4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230"/>
        </w:trPr>
        <w:tc>
          <w:tcPr>
            <w:tcW w:w="1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9, 2022</w:t>
            </w:r>
          </w:p>
        </w:tc>
      </w:tr>
      <w:tr>
        <w:trPr>
          <w:trHeight w:val="229"/>
        </w:trPr>
        <w:tc>
          <w:tcPr>
            <w:tcW w:w="1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34"/>
        </w:trPr>
        <w:tc>
          <w:tcPr>
            <w:tcW w:w="1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22" w:lineRule="exact"/>
        <w:rPr>
          <w:sz w:val="20"/>
          <w:szCs w:val="20"/>
          <w:color w:val="auto"/>
        </w:rPr>
      </w:pPr>
    </w:p>
    <w:p>
      <w:pPr>
        <w:sectPr>
          <w:pgSz w:w="11900" w:h="16838" w:orient="portrait"/>
          <w:cols w:equalWidth="0" w:num="2">
            <w:col w:w="5613" w:space="720"/>
            <w:col w:w="4980"/>
          </w:cols>
          <w:pgMar w:left="247" w:top="270" w:right="339" w:bottom="1440" w:gutter="0" w:footer="0" w:header="0"/>
          <w:type w:val="continuous"/>
        </w:sectPr>
      </w:pPr>
    </w:p>
    <w:tbl>
      <w:tblPr>
        <w:tblLayout w:type="fixed"/>
        <w:tblInd w:w="333" w:type="dxa"/>
        <w:tblCellMar>
          <w:top w:w="0" w:type="dxa"/>
          <w:left w:w="0" w:type="dxa"/>
          <w:bottom w:w="0" w:type="dxa"/>
          <w:right w:w="0" w:type="dxa"/>
        </w:tblCellMar>
      </w:tblPr>
      <w:tr>
        <w:trPr>
          <w:trHeight w:val="184"/>
        </w:trPr>
        <w:tc>
          <w:tcPr>
            <w:tcW w:w="8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66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Certification of the Chief Executive Officer and the Chief</w:t>
            </w:r>
          </w:p>
        </w:tc>
        <w:tc>
          <w:tcPr>
            <w:tcW w:w="17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80"/>
        </w:trPr>
        <w:tc>
          <w:tcPr>
            <w:tcW w:w="860" w:type="dxa"/>
            <w:vAlign w:val="bottom"/>
            <w:gridSpan w:val="3"/>
            <w:vMerge w:val="continue"/>
          </w:tcPr>
          <w:p>
            <w:pPr>
              <w:spacing w:after="0"/>
              <w:rPr>
                <w:sz w:val="15"/>
                <w:szCs w:val="15"/>
                <w:color w:val="auto"/>
              </w:rPr>
            </w:pPr>
          </w:p>
        </w:tc>
        <w:tc>
          <w:tcPr>
            <w:tcW w:w="4660" w:type="dxa"/>
            <w:vAlign w:val="bottom"/>
          </w:tcPr>
          <w:p>
            <w:pPr>
              <w:ind w:left="160"/>
              <w:spacing w:after="0" w:line="160" w:lineRule="exact"/>
              <w:rPr>
                <w:sz w:val="20"/>
                <w:szCs w:val="20"/>
                <w:color w:val="auto"/>
              </w:rPr>
            </w:pPr>
            <w:r>
              <w:rPr>
                <w:rFonts w:ascii="Times New Roman" w:cs="Times New Roman" w:eastAsia="Times New Roman" w:hAnsi="Times New Roman"/>
                <w:sz w:val="18"/>
                <w:szCs w:val="18"/>
                <w:color w:val="auto"/>
              </w:rPr>
              <w:t>Financial Officer pursuant to Section 906 of the Sarbanes-</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66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Oxley Act</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101.INS</w:t>
            </w: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9"/>
        </w:trPr>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101.SCH</w:t>
            </w: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7"/>
              </w:rPr>
              <w:t>101.DEF</w:t>
            </w: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860" w:type="dxa"/>
            <w:vAlign w:val="bottom"/>
            <w:gridSpan w:val="3"/>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w w:val="99"/>
              </w:rPr>
              <w:t>101.PRE</w:t>
            </w: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54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XBRL with applicable taxonomy extension information</w:t>
            </w:r>
          </w:p>
        </w:tc>
        <w:tc>
          <w:tcPr>
            <w:tcW w:w="17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contained in Exhibits 101)</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93" w:hanging="493"/>
        <w:spacing w:after="0" w:line="261" w:lineRule="auto"/>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270" w:right="339" w:bottom="1440" w:gutter="0" w:footer="0" w:header="0"/>
          <w:type w:val="continuous"/>
        </w:sectPr>
      </w:pPr>
    </w:p>
    <w:bookmarkStart w:id="68" w:name="page69"/>
    <w:bookmarkEnd w:id="68"/>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20"/>
        <w:spacing w:after="0"/>
        <w:tabs>
          <w:tab w:leader="none" w:pos="580" w:val="left"/>
          <w:tab w:leader="none" w:pos="5320" w:val="left"/>
        </w:tabs>
        <w:rPr>
          <w:sz w:val="20"/>
          <w:szCs w:val="20"/>
          <w:color w:val="auto"/>
        </w:rPr>
      </w:pPr>
      <w:r>
        <w:rPr>
          <w:rFonts w:ascii="Times New Roman" w:cs="Times New Roman" w:eastAsia="Times New Roman" w:hAnsi="Times New Roman"/>
          <w:sz w:val="18"/>
          <w:szCs w:val="18"/>
          <w:color w:val="auto"/>
        </w:rPr>
        <w:t>Date:</w:t>
        <w:tab/>
        <w:t>December 6, 2022</w:t>
      </w:r>
      <w:r>
        <w:rPr>
          <w:sz w:val="20"/>
          <w:szCs w:val="20"/>
          <w:color w:val="auto"/>
        </w:rPr>
        <w:tab/>
      </w:r>
      <w:r>
        <w:rPr>
          <w:rFonts w:ascii="Times New Roman" w:cs="Times New Roman" w:eastAsia="Times New Roman" w:hAnsi="Times New Roman"/>
          <w:sz w:val="17"/>
          <w:szCs w:val="17"/>
          <w:b w:val="1"/>
          <w:bCs w:val="1"/>
          <w:color w:val="auto"/>
        </w:rPr>
        <w:t>GUIDEWIRE SOFTWARE, INC.</w:t>
      </w:r>
    </w:p>
    <w:p>
      <w:pPr>
        <w:spacing w:after="0" w:line="297" w:lineRule="exact"/>
        <w:rPr>
          <w:sz w:val="20"/>
          <w:szCs w:val="20"/>
          <w:color w:val="auto"/>
        </w:rPr>
      </w:pPr>
    </w:p>
    <w:p>
      <w:pPr>
        <w:ind w:left="534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1203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Jeff Cooper</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1">
            <w:col w:w="10720"/>
          </w:cols>
          <w:pgMar w:left="320" w:top="117" w:right="8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220" w:hanging="320"/>
        <w:spacing w:after="0" w:line="312" w:lineRule="auto"/>
        <w:tabs>
          <w:tab w:leader="none" w:pos="129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Date:December 6, 2022</w:t>
            </w: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MIKE ROSENBAUM</w:t>
            </w:r>
          </w:p>
        </w:tc>
      </w:tr>
      <w:tr>
        <w:trPr>
          <w:trHeight w:val="218"/>
        </w:trPr>
        <w:tc>
          <w:tcPr>
            <w:tcW w:w="4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Mike Rosenbaum</w:t>
            </w:r>
          </w:p>
        </w:tc>
      </w:tr>
      <w:tr>
        <w:trPr>
          <w:trHeight w:val="230"/>
        </w:trPr>
        <w:tc>
          <w:tcPr>
            <w:tcW w:w="40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220" w:hanging="320"/>
        <w:spacing w:after="0" w:line="312" w:lineRule="auto"/>
        <w:tabs>
          <w:tab w:leader="none" w:pos="129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73" w:lineRule="auto"/>
        <w:tabs>
          <w:tab w:leader="none" w:pos="12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2022</w:t>
            </w:r>
          </w:p>
        </w:tc>
        <w:tc>
          <w:tcPr>
            <w:tcW w:w="2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JEFF COOPER</w:t>
            </w:r>
          </w:p>
        </w:tc>
      </w:tr>
      <w:tr>
        <w:trPr>
          <w:trHeight w:val="218"/>
        </w:trPr>
        <w:tc>
          <w:tcPr>
            <w:tcW w:w="4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 Cooper</w:t>
            </w:r>
          </w:p>
        </w:tc>
      </w:tr>
      <w:tr>
        <w:trPr>
          <w:trHeight w:val="229"/>
        </w:trPr>
        <w:tc>
          <w:tcPr>
            <w:tcW w:w="4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October 31, 2022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8" w:lineRule="exact"/>
        <w:rPr>
          <w:sz w:val="20"/>
          <w:szCs w:val="20"/>
          <w:color w:val="auto"/>
        </w:rPr>
      </w:pPr>
    </w:p>
    <w:p>
      <w:pPr>
        <w:ind w:left="60"/>
        <w:spacing w:after="0"/>
        <w:tabs>
          <w:tab w:leader="none" w:pos="820" w:val="left"/>
          <w:tab w:leader="none" w:pos="582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Mike Rosenbaum</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October 31, 2022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8" w:lineRule="exact"/>
        <w:rPr>
          <w:sz w:val="20"/>
          <w:szCs w:val="20"/>
          <w:color w:val="auto"/>
        </w:rPr>
      </w:pPr>
    </w:p>
    <w:p>
      <w:pPr>
        <w:ind w:left="800" w:right="3280" w:hanging="6587"/>
        <w:spacing w:after="0" w:line="276" w:lineRule="auto"/>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6, 2022 By: /s/ JEFF COOPER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-1905</wp:posOffset>
            </wp:positionV>
            <wp:extent cx="30518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20"/>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5"/>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4" Type="http://schemas.openxmlformats.org/officeDocument/2006/relationships/hyperlink" Target="https://www.sec.gov/Archives/edgar/data/1528396/000152839622000021/gwre-1312022x10xqex31resta.htm" TargetMode="External"/><Relationship Id="rId85" Type="http://schemas.openxmlformats.org/officeDocument/2006/relationships/hyperlink" Target="https://www.sec.gov/Archives/edgar/data/0001528396/000152839620000045/amendedandrestatedbyla.htm" TargetMode="External"/><Relationship Id="rId86"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2022-12-07T05:13:40Z</dcterms:created>
  <dcterms:modified xsi:type="dcterms:W3CDTF">2022-12-07T05:13:40Z</dcterms:modified>
</cp:coreProperties>
</file>