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83"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April 30, 2021</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0"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001-35394</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Guidewire Software,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50" w:lineRule="exact"/>
        <w:rPr>
          <w:sz w:val="24"/>
          <w:szCs w:val="24"/>
          <w:color w:val="auto"/>
        </w:rPr>
      </w:pPr>
    </w:p>
    <w:tbl>
      <w:tblPr>
        <w:tblLayout w:type="fixed"/>
        <w:tblInd w:w="1320" w:type="dxa"/>
        <w:tblCellMar>
          <w:top w:w="0" w:type="dxa"/>
          <w:left w:w="0" w:type="dxa"/>
          <w:bottom w:w="0" w:type="dxa"/>
          <w:right w:w="0" w:type="dxa"/>
        </w:tblCellMar>
      </w:tblPr>
      <w:tr>
        <w:trPr>
          <w:trHeight w:val="207"/>
        </w:trPr>
        <w:tc>
          <w:tcPr>
            <w:tcW w:w="4400" w:type="dxa"/>
            <w:vAlign w:val="bottom"/>
          </w:tcPr>
          <w:p>
            <w:pPr>
              <w:jc w:val="center"/>
              <w:ind w:right="1622"/>
              <w:spacing w:after="0"/>
              <w:rPr>
                <w:sz w:val="20"/>
                <w:szCs w:val="20"/>
                <w:color w:val="auto"/>
              </w:rPr>
            </w:pPr>
            <w:r>
              <w:rPr>
                <w:rFonts w:ascii="Arial" w:cs="Arial" w:eastAsia="Arial" w:hAnsi="Arial"/>
                <w:sz w:val="16"/>
                <w:szCs w:val="16"/>
                <w:b w:val="1"/>
                <w:bCs w:val="1"/>
                <w:color w:val="auto"/>
                <w:w w:val="93"/>
              </w:rPr>
              <w:t>Delaware</w:t>
            </w:r>
          </w:p>
        </w:tc>
        <w:tc>
          <w:tcPr>
            <w:tcW w:w="2840" w:type="dxa"/>
            <w:vAlign w:val="bottom"/>
          </w:tcPr>
          <w:p>
            <w:pPr>
              <w:jc w:val="right"/>
              <w:ind w:right="103"/>
              <w:spacing w:after="0"/>
              <w:rPr>
                <w:sz w:val="20"/>
                <w:szCs w:val="20"/>
                <w:color w:val="auto"/>
              </w:rPr>
            </w:pPr>
            <w:r>
              <w:rPr>
                <w:rFonts w:ascii="Arial" w:cs="Arial" w:eastAsia="Arial" w:hAnsi="Arial"/>
                <w:sz w:val="16"/>
                <w:szCs w:val="16"/>
                <w:b w:val="1"/>
                <w:bCs w:val="1"/>
                <w:color w:val="auto"/>
              </w:rPr>
              <w:t>36-4468504</w:t>
            </w:r>
          </w:p>
        </w:tc>
      </w:tr>
      <w:tr>
        <w:trPr>
          <w:trHeight w:val="144"/>
        </w:trPr>
        <w:tc>
          <w:tcPr>
            <w:tcW w:w="4400" w:type="dxa"/>
            <w:vAlign w:val="bottom"/>
          </w:tcPr>
          <w:p>
            <w:pPr>
              <w:jc w:val="center"/>
              <w:ind w:right="164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jc w:val="center"/>
              <w:ind w:left="1603"/>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00" w:type="dxa"/>
            <w:vAlign w:val="bottom"/>
          </w:tcPr>
          <w:p>
            <w:pPr>
              <w:jc w:val="center"/>
              <w:ind w:right="1622"/>
              <w:spacing w:after="0"/>
              <w:rPr>
                <w:sz w:val="20"/>
                <w:szCs w:val="20"/>
                <w:color w:val="auto"/>
              </w:rPr>
            </w:pPr>
            <w:r>
              <w:rPr>
                <w:rFonts w:ascii="Arial" w:cs="Arial" w:eastAsia="Arial" w:hAnsi="Arial"/>
                <w:sz w:val="14"/>
                <w:szCs w:val="14"/>
                <w:b w:val="1"/>
                <w:bCs w:val="1"/>
                <w:color w:val="auto"/>
                <w:w w:val="95"/>
              </w:rPr>
              <w:t>Incorporation or organization)</w:t>
            </w:r>
          </w:p>
        </w:tc>
        <w:tc>
          <w:tcPr>
            <w:tcW w:w="2840" w:type="dxa"/>
            <w:vAlign w:val="bottom"/>
          </w:tcPr>
          <w:p>
            <w:pPr>
              <w:jc w:val="center"/>
              <w:ind w:left="1623"/>
              <w:spacing w:after="0"/>
              <w:rPr>
                <w:sz w:val="20"/>
                <w:szCs w:val="20"/>
                <w:color w:val="auto"/>
              </w:rPr>
            </w:pPr>
            <w:r>
              <w:rPr>
                <w:rFonts w:ascii="Arial" w:cs="Arial" w:eastAsia="Arial" w:hAnsi="Arial"/>
                <w:sz w:val="14"/>
                <w:szCs w:val="14"/>
                <w:b w:val="1"/>
                <w:bCs w:val="1"/>
                <w:color w:val="auto"/>
                <w:w w:val="96"/>
              </w:rPr>
              <w:t>Identification No.)</w:t>
            </w:r>
          </w:p>
        </w:tc>
      </w:tr>
      <w:tr>
        <w:trPr>
          <w:trHeight w:val="219"/>
        </w:trPr>
        <w:tc>
          <w:tcPr>
            <w:tcW w:w="4400" w:type="dxa"/>
            <w:vAlign w:val="bottom"/>
          </w:tcPr>
          <w:p>
            <w:pPr>
              <w:jc w:val="center"/>
              <w:ind w:right="1622"/>
              <w:spacing w:after="0"/>
              <w:rPr>
                <w:sz w:val="20"/>
                <w:szCs w:val="20"/>
                <w:color w:val="auto"/>
              </w:rPr>
            </w:pPr>
            <w:r>
              <w:rPr>
                <w:rFonts w:ascii="Arial" w:cs="Arial" w:eastAsia="Arial" w:hAnsi="Arial"/>
                <w:sz w:val="16"/>
                <w:szCs w:val="16"/>
                <w:b w:val="1"/>
                <w:bCs w:val="1"/>
                <w:color w:val="auto"/>
                <w:w w:val="91"/>
              </w:rPr>
              <w:t>2850 S. Delaware St., Suite 400</w:t>
            </w:r>
          </w:p>
        </w:tc>
        <w:tc>
          <w:tcPr>
            <w:tcW w:w="2840" w:type="dxa"/>
            <w:vAlign w:val="bottom"/>
          </w:tcPr>
          <w:p>
            <w:pPr>
              <w:jc w:val="right"/>
              <w:ind w:right="303"/>
              <w:spacing w:after="0"/>
              <w:rPr>
                <w:sz w:val="20"/>
                <w:szCs w:val="20"/>
                <w:color w:val="auto"/>
              </w:rPr>
            </w:pPr>
            <w:r>
              <w:rPr>
                <w:rFonts w:ascii="Arial" w:cs="Arial" w:eastAsia="Arial" w:hAnsi="Arial"/>
                <w:sz w:val="16"/>
                <w:szCs w:val="16"/>
                <w:b w:val="1"/>
                <w:bCs w:val="1"/>
                <w:color w:val="auto"/>
              </w:rPr>
              <w:t>94403</w:t>
            </w:r>
          </w:p>
        </w:tc>
      </w:tr>
      <w:tr>
        <w:trPr>
          <w:trHeight w:val="210"/>
        </w:trPr>
        <w:tc>
          <w:tcPr>
            <w:tcW w:w="4400" w:type="dxa"/>
            <w:vAlign w:val="bottom"/>
          </w:tcPr>
          <w:p>
            <w:pPr>
              <w:jc w:val="center"/>
              <w:ind w:right="1622"/>
              <w:spacing w:after="0"/>
              <w:rPr>
                <w:sz w:val="20"/>
                <w:szCs w:val="20"/>
                <w:color w:val="auto"/>
              </w:rPr>
            </w:pPr>
            <w:r>
              <w:rPr>
                <w:rFonts w:ascii="Arial" w:cs="Arial" w:eastAsia="Arial" w:hAnsi="Arial"/>
                <w:sz w:val="16"/>
                <w:szCs w:val="16"/>
                <w:b w:val="1"/>
                <w:bCs w:val="1"/>
                <w:color w:val="auto"/>
                <w:w w:val="94"/>
              </w:rPr>
              <w:t>San Mateo, California</w:t>
            </w:r>
          </w:p>
        </w:tc>
        <w:tc>
          <w:tcPr>
            <w:tcW w:w="2840" w:type="dxa"/>
            <w:vAlign w:val="bottom"/>
          </w:tcPr>
          <w:p>
            <w:pPr>
              <w:spacing w:after="0"/>
              <w:rPr>
                <w:sz w:val="18"/>
                <w:szCs w:val="18"/>
                <w:color w:val="auto"/>
              </w:rPr>
            </w:pPr>
          </w:p>
        </w:tc>
      </w:tr>
      <w:tr>
        <w:trPr>
          <w:trHeight w:val="216"/>
        </w:trPr>
        <w:tc>
          <w:tcPr>
            <w:tcW w:w="4400" w:type="dxa"/>
            <w:vAlign w:val="bottom"/>
          </w:tcPr>
          <w:p>
            <w:pPr>
              <w:jc w:val="center"/>
              <w:ind w:right="1642"/>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40" w:type="dxa"/>
            <w:vAlign w:val="bottom"/>
          </w:tcPr>
          <w:p>
            <w:pPr>
              <w:jc w:val="center"/>
              <w:ind w:left="1623"/>
              <w:spacing w:after="0"/>
              <w:rPr>
                <w:sz w:val="20"/>
                <w:szCs w:val="20"/>
                <w:color w:val="auto"/>
              </w:rPr>
            </w:pPr>
            <w:r>
              <w:rPr>
                <w:rFonts w:ascii="Arial" w:cs="Arial" w:eastAsia="Arial" w:hAnsi="Arial"/>
                <w:sz w:val="16"/>
                <w:szCs w:val="16"/>
                <w:b w:val="1"/>
                <w:bCs w:val="1"/>
                <w:color w:val="auto"/>
                <w:w w:val="93"/>
              </w:rPr>
              <w:t>(Zip Code)</w:t>
            </w:r>
          </w:p>
        </w:tc>
      </w:tr>
    </w:tbl>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 357-9100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850" w:type="dxa"/>
        <w:tblCellMar>
          <w:top w:w="0" w:type="dxa"/>
          <w:left w:w="0" w:type="dxa"/>
          <w:bottom w:w="0" w:type="dxa"/>
          <w:right w:w="0" w:type="dxa"/>
        </w:tblCellMar>
      </w:tblPr>
      <w:tr>
        <w:trPr>
          <w:trHeight w:val="243"/>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GWRE</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5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1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line="20" w:lineRule="exact"/>
              <w:rPr>
                <w:sz w:val="1"/>
                <w:szCs w:val="1"/>
                <w:color w:val="auto"/>
              </w:rPr>
            </w:pP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729"/>
        </w:trPr>
        <w:tc>
          <w:tcPr>
            <w:tcW w:w="1860" w:type="dxa"/>
            <w:vAlign w:val="bottom"/>
            <w:gridSpan w:val="3"/>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vMerge w:val="continue"/>
          </w:tcPr>
          <w:p>
            <w:pPr>
              <w:spacing w:after="0"/>
              <w:rPr>
                <w:sz w:val="24"/>
                <w:szCs w:val="24"/>
                <w:color w:val="auto"/>
              </w:rPr>
            </w:pPr>
          </w:p>
        </w:tc>
        <w:tc>
          <w:tcPr>
            <w:tcW w:w="49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gridSpan w:val="3"/>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40"/>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4" w:lineRule="exact"/>
        <w:rPr>
          <w:sz w:val="20"/>
          <w:szCs w:val="20"/>
          <w:color w:val="auto"/>
        </w:rPr>
      </w:pPr>
    </w:p>
    <w:p>
      <w:pPr>
        <w:ind w:left="460" w:right="13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28, 2021, the registrant had 83,154,725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100" w:type="dxa"/>
            <w:vAlign w:val="bottom"/>
            <w:gridSpan w:val="10"/>
          </w:tcPr>
          <w:p>
            <w:pPr>
              <w:jc w:val="center"/>
              <w:ind w:right="2540"/>
              <w:spacing w:after="0"/>
              <w:rPr>
                <w:sz w:val="20"/>
                <w:szCs w:val="20"/>
                <w:color w:val="auto"/>
              </w:rPr>
            </w:pPr>
            <w:r>
              <w:rPr>
                <w:rFonts w:ascii="Arial" w:cs="Arial" w:eastAsia="Arial" w:hAnsi="Arial"/>
                <w:sz w:val="18"/>
                <w:szCs w:val="18"/>
                <w:b w:val="1"/>
                <w:bCs w:val="1"/>
                <w:color w:val="auto"/>
                <w:w w:val="91"/>
              </w:rPr>
              <w:t>Guidewire Software,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0420" w:type="dxa"/>
            <w:vAlign w:val="bottom"/>
            <w:gridSpan w:val="21"/>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 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40" w:type="dxa"/>
            <w:vAlign w:val="bottom"/>
            <w:gridSpan w:val="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Financial Statements (unaudited):</w:t>
              </w:r>
            </w:hyperlink>
          </w:p>
        </w:tc>
        <w:tc>
          <w:tcPr>
            <w:tcW w:w="7100" w:type="dxa"/>
            <w:vAlign w:val="bottom"/>
            <w:gridSpan w:val="10"/>
          </w:tcPr>
          <w:p>
            <w:pPr>
              <w:spacing w:after="0"/>
              <w:rPr>
                <w:sz w:val="22"/>
                <w:szCs w:val="22"/>
                <w:color w:val="auto"/>
              </w:rPr>
            </w:pPr>
          </w:p>
        </w:tc>
        <w:tc>
          <w:tcPr>
            <w:tcW w:w="800" w:type="dxa"/>
            <w:vAlign w:val="bottom"/>
            <w:gridSpan w:val="3"/>
          </w:tcPr>
          <w:p>
            <w:pPr>
              <w:jc w:val="right"/>
              <w:ind w:right="620"/>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as of April </w:t>
              </w:r>
            </w:hyperlink>
            <w:r>
              <w:rPr>
                <w:rFonts w:ascii="Arial" w:cs="Arial" w:eastAsia="Arial" w:hAnsi="Arial"/>
                <w:sz w:val="18"/>
                <w:szCs w:val="18"/>
                <w:color w:val="0000FF"/>
              </w:rPr>
              <w:t xml:space="preserve">30, </w:t>
            </w:r>
            <w:hyperlink w:anchor="page5">
              <w:r>
                <w:rPr>
                  <w:rFonts w:ascii="Arial" w:cs="Arial" w:eastAsia="Arial" w:hAnsi="Arial"/>
                  <w:sz w:val="18"/>
                  <w:szCs w:val="18"/>
                  <w:color w:val="0000FF"/>
                </w:rPr>
                <w:t>2021 and July 31, 2020</w:t>
              </w:r>
            </w:hyperlink>
          </w:p>
        </w:tc>
        <w:tc>
          <w:tcPr>
            <w:tcW w:w="800" w:type="dxa"/>
            <w:vAlign w:val="bottom"/>
            <w:gridSpan w:val="3"/>
          </w:tcPr>
          <w:p>
            <w:pPr>
              <w:jc w:val="right"/>
              <w:ind w:right="6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60" w:type="dxa"/>
            <w:vAlign w:val="bottom"/>
            <w:gridSpan w:val="15"/>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 xml:space="preserve">Condensed Consolidated Statements of Operations for the Three and Nine Months Ended April </w:t>
              </w:r>
            </w:hyperlink>
            <w:r>
              <w:rPr>
                <w:rFonts w:ascii="Arial" w:cs="Arial" w:eastAsia="Arial" w:hAnsi="Arial"/>
                <w:sz w:val="18"/>
                <w:szCs w:val="18"/>
                <w:color w:val="0000FF"/>
                <w:w w:val="90"/>
              </w:rPr>
              <w:t xml:space="preserve">30, </w:t>
            </w:r>
            <w:hyperlink w:anchor="page6">
              <w:r>
                <w:rPr>
                  <w:rFonts w:ascii="Arial" w:cs="Arial" w:eastAsia="Arial" w:hAnsi="Arial"/>
                  <w:sz w:val="18"/>
                  <w:szCs w:val="18"/>
                  <w:color w:val="0000FF"/>
                  <w:w w:val="90"/>
                </w:rPr>
                <w:t xml:space="preserve">2021 and </w:t>
              </w:r>
            </w:hyperlink>
            <w:r>
              <w:rPr>
                <w:rFonts w:ascii="Arial" w:cs="Arial" w:eastAsia="Arial" w:hAnsi="Arial"/>
                <w:sz w:val="18"/>
                <w:szCs w:val="18"/>
                <w:color w:val="0000FF"/>
                <w:w w:val="90"/>
              </w:rPr>
              <w:t>2020</w:t>
            </w:r>
          </w:p>
        </w:tc>
        <w:tc>
          <w:tcPr>
            <w:tcW w:w="1280" w:type="dxa"/>
            <w:vAlign w:val="bottom"/>
            <w:gridSpan w:val="3"/>
          </w:tcPr>
          <w:p>
            <w:pPr>
              <w:spacing w:after="0"/>
              <w:rPr>
                <w:sz w:val="22"/>
                <w:szCs w:val="22"/>
                <w:color w:val="auto"/>
              </w:rPr>
            </w:pPr>
          </w:p>
        </w:tc>
        <w:tc>
          <w:tcPr>
            <w:tcW w:w="800" w:type="dxa"/>
            <w:vAlign w:val="bottom"/>
            <w:gridSpan w:val="3"/>
          </w:tcPr>
          <w:p>
            <w:pPr>
              <w:jc w:val="right"/>
              <w:ind w:right="6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8"/>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 xml:space="preserve">Condensed Consolidated Statements of Comprehensive Income (Loss) for the Three and Nine Months Ended April </w:t>
              </w:r>
            </w:hyperlink>
            <w:r>
              <w:rPr>
                <w:rFonts w:ascii="Arial" w:cs="Arial" w:eastAsia="Arial" w:hAnsi="Arial"/>
                <w:sz w:val="18"/>
                <w:szCs w:val="18"/>
                <w:color w:val="0000FF"/>
                <w:w w:val="96"/>
              </w:rPr>
              <w:t>30, 2021</w:t>
            </w:r>
          </w:p>
        </w:tc>
        <w:tc>
          <w:tcPr>
            <w:tcW w:w="800" w:type="dxa"/>
            <w:vAlign w:val="bottom"/>
            <w:gridSpan w:val="3"/>
            <w:vMerge w:val="restart"/>
          </w:tcPr>
          <w:p>
            <w:pPr>
              <w:jc w:val="right"/>
              <w:ind w:right="6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8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and 2020</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8"/>
          </w:tcPr>
          <w:p>
            <w:pPr>
              <w:spacing w:after="0"/>
              <w:rPr>
                <w:rFonts w:ascii="Arial" w:cs="Arial" w:eastAsia="Arial" w:hAnsi="Arial"/>
                <w:sz w:val="18"/>
                <w:szCs w:val="18"/>
                <w:color w:val="0000FF"/>
                <w:w w:val="94"/>
              </w:rPr>
            </w:pPr>
            <w:hyperlink w:anchor="page8">
              <w:r>
                <w:rPr>
                  <w:rFonts w:ascii="Arial" w:cs="Arial" w:eastAsia="Arial" w:hAnsi="Arial"/>
                  <w:sz w:val="18"/>
                  <w:szCs w:val="18"/>
                  <w:color w:val="0000FF"/>
                  <w:w w:val="94"/>
                </w:rPr>
                <w:t xml:space="preserve">Condensed Consolidated Statements of Changes in Stockholders’ Equity for the Three and Nine Months Ended April </w:t>
              </w:r>
            </w:hyperlink>
            <w:r>
              <w:rPr>
                <w:rFonts w:ascii="Arial" w:cs="Arial" w:eastAsia="Arial" w:hAnsi="Arial"/>
                <w:sz w:val="18"/>
                <w:szCs w:val="18"/>
                <w:color w:val="0000FF"/>
                <w:w w:val="94"/>
              </w:rPr>
              <w:t>30, 2021</w:t>
            </w:r>
          </w:p>
        </w:tc>
        <w:tc>
          <w:tcPr>
            <w:tcW w:w="800" w:type="dxa"/>
            <w:vAlign w:val="bottom"/>
            <w:gridSpan w:val="3"/>
            <w:vMerge w:val="restart"/>
          </w:tcPr>
          <w:p>
            <w:pPr>
              <w:jc w:val="right"/>
              <w:ind w:right="6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and 2020</w:t>
            </w:r>
          </w:p>
        </w:tc>
        <w:tc>
          <w:tcPr>
            <w:tcW w:w="4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54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10">
              <w:r>
                <w:rPr>
                  <w:rFonts w:ascii="Arial" w:cs="Arial" w:eastAsia="Arial" w:hAnsi="Arial"/>
                  <w:sz w:val="18"/>
                  <w:szCs w:val="18"/>
                  <w:color w:val="0000FF"/>
                  <w:w w:val="90"/>
                </w:rPr>
                <w:t xml:space="preserve">Condensed Consolidated Statements of Cash Flows for the Nine Months Ended April </w:t>
              </w:r>
            </w:hyperlink>
            <w:r>
              <w:rPr>
                <w:rFonts w:ascii="Arial" w:cs="Arial" w:eastAsia="Arial" w:hAnsi="Arial"/>
                <w:sz w:val="18"/>
                <w:szCs w:val="18"/>
                <w:color w:val="0000FF"/>
                <w:w w:val="90"/>
              </w:rPr>
              <w:t xml:space="preserve">30, 2021 </w:t>
            </w:r>
            <w:hyperlink w:anchor="page10">
              <w:r>
                <w:rPr>
                  <w:rFonts w:ascii="Arial" w:cs="Arial" w:eastAsia="Arial" w:hAnsi="Arial"/>
                  <w:sz w:val="18"/>
                  <w:szCs w:val="18"/>
                  <w:color w:val="0000FF"/>
                  <w:w w:val="90"/>
                </w:rPr>
                <w:t xml:space="preserve">and </w:t>
              </w:r>
            </w:hyperlink>
            <w:r>
              <w:rPr>
                <w:rFonts w:ascii="Arial" w:cs="Arial" w:eastAsia="Arial" w:hAnsi="Arial"/>
                <w:sz w:val="18"/>
                <w:szCs w:val="18"/>
                <w:color w:val="0000FF"/>
                <w:w w:val="90"/>
              </w:rPr>
              <w:t>2020</w:t>
            </w:r>
          </w:p>
        </w:tc>
        <w:tc>
          <w:tcPr>
            <w:tcW w:w="2000" w:type="dxa"/>
            <w:vAlign w:val="bottom"/>
            <w:gridSpan w:val="4"/>
          </w:tcPr>
          <w:p>
            <w:pPr>
              <w:spacing w:after="0"/>
              <w:rPr>
                <w:sz w:val="22"/>
                <w:szCs w:val="22"/>
                <w:color w:val="auto"/>
              </w:rPr>
            </w:pPr>
          </w:p>
        </w:tc>
        <w:tc>
          <w:tcPr>
            <w:tcW w:w="800" w:type="dxa"/>
            <w:vAlign w:val="bottom"/>
            <w:gridSpan w:val="3"/>
          </w:tcPr>
          <w:p>
            <w:pPr>
              <w:jc w:val="right"/>
              <w:ind w:right="62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12">
              <w:r>
                <w:rPr>
                  <w:rFonts w:ascii="Arial" w:cs="Arial" w:eastAsia="Arial" w:hAnsi="Arial"/>
                  <w:sz w:val="18"/>
                  <w:szCs w:val="18"/>
                  <w:color w:val="0000FF"/>
                  <w:w w:val="88"/>
                </w:rPr>
                <w:t>Notes to Condensed Consolidated Financial Statements</w:t>
              </w:r>
            </w:hyperlink>
          </w:p>
        </w:tc>
        <w:tc>
          <w:tcPr>
            <w:tcW w:w="5540" w:type="dxa"/>
            <w:vAlign w:val="bottom"/>
            <w:gridSpan w:val="9"/>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Management’s Discussion and Analysis of Financial Condition and Results of Operations</w:t>
              </w:r>
            </w:hyperlink>
          </w:p>
        </w:tc>
        <w:tc>
          <w:tcPr>
            <w:tcW w:w="3080" w:type="dxa"/>
            <w:vAlign w:val="bottom"/>
            <w:gridSpan w:val="5"/>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Quantitative and Qualitative Disclosures about Market Risk</w:t>
              </w:r>
            </w:hyperlink>
          </w:p>
        </w:tc>
        <w:tc>
          <w:tcPr>
            <w:tcW w:w="5220" w:type="dxa"/>
            <w:vAlign w:val="bottom"/>
            <w:gridSpan w:val="8"/>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53</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Controls and Procedures</w:t>
              </w:r>
            </w:hyperlink>
          </w:p>
        </w:tc>
        <w:tc>
          <w:tcPr>
            <w:tcW w:w="7760" w:type="dxa"/>
            <w:vAlign w:val="bottom"/>
            <w:gridSpan w:val="11"/>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54</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60" w:type="dxa"/>
            <w:vAlign w:val="bottom"/>
            <w:tcBorders>
              <w:bottom w:val="single" w:sz="8" w:color="0000FF"/>
            </w:tcBorders>
            <w:gridSpan w:val="7"/>
          </w:tcPr>
          <w:p>
            <w:pPr>
              <w:spacing w:after="0"/>
              <w:rPr>
                <w:rFonts w:ascii="Arial" w:cs="Arial" w:eastAsia="Arial" w:hAnsi="Arial"/>
                <w:sz w:val="18"/>
                <w:szCs w:val="18"/>
                <w:b w:val="1"/>
                <w:bCs w:val="1"/>
                <w:color w:val="0000FF"/>
                <w:w w:val="96"/>
              </w:rPr>
            </w:pPr>
            <w:hyperlink w:anchor="page57">
              <w:r>
                <w:rPr>
                  <w:rFonts w:ascii="Arial" w:cs="Arial" w:eastAsia="Arial" w:hAnsi="Arial"/>
                  <w:sz w:val="18"/>
                  <w:szCs w:val="18"/>
                  <w:b w:val="1"/>
                  <w:bCs w:val="1"/>
                  <w:color w:val="0000FF"/>
                  <w:w w:val="96"/>
                </w:rPr>
                <w:t>Part II – Other Information</w:t>
              </w:r>
            </w:hyperlink>
          </w:p>
        </w:tc>
        <w:tc>
          <w:tcPr>
            <w:tcW w:w="8260" w:type="dxa"/>
            <w:vAlign w:val="bottom"/>
            <w:gridSpan w:val="14"/>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8">
              <w:r>
                <w:rPr>
                  <w:rFonts w:ascii="Arial" w:cs="Arial" w:eastAsia="Arial" w:hAnsi="Arial"/>
                  <w:sz w:val="18"/>
                  <w:szCs w:val="18"/>
                  <w:color w:val="0000FF"/>
                  <w:w w:val="88"/>
                </w:rPr>
                <w:t>Legal Proceedings</w:t>
              </w:r>
            </w:hyperlink>
          </w:p>
        </w:tc>
        <w:tc>
          <w:tcPr>
            <w:tcW w:w="820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55</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55</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Unregistered Sales of Equity Securities and Use of Proceeds</w:t>
              </w:r>
            </w:hyperlink>
          </w:p>
        </w:tc>
        <w:tc>
          <w:tcPr>
            <w:tcW w:w="5180" w:type="dxa"/>
            <w:vAlign w:val="bottom"/>
            <w:gridSpan w:val="7"/>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77</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18"/>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78</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80" w:type="dxa"/>
            <w:vAlign w:val="bottom"/>
            <w:gridSpan w:val="3"/>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Signatures</w:t>
              </w:r>
            </w:hyperlink>
          </w:p>
        </w:tc>
        <w:tc>
          <w:tcPr>
            <w:tcW w:w="66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79</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4"/>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FORWARD-LOOKING STATEMENTS</w:t>
      </w:r>
    </w:p>
    <w:p>
      <w:pPr>
        <w:spacing w:after="0" w:line="2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7"/>
          <w:szCs w:val="17"/>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 Examples of forward-looking statements include statements regarding:</w:t>
      </w:r>
    </w:p>
    <w:p>
      <w:pPr>
        <w:spacing w:after="0" w:line="2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growth prospects of the property &amp; casualty (“P&amp;C”) insurance industry and our Company;</w:t>
      </w:r>
    </w:p>
    <w:p>
      <w:pPr>
        <w:spacing w:after="0" w:line="63" w:lineRule="exact"/>
        <w:rPr>
          <w:rFonts w:ascii="Arial" w:cs="Arial" w:eastAsia="Arial" w:hAnsi="Arial"/>
          <w:sz w:val="18"/>
          <w:szCs w:val="18"/>
          <w:i w:val="1"/>
          <w:iCs w:val="1"/>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developing market for subscription services and uncertainties attendant on emerging sales and delivery models, including the migration of our existing term license customers to subscription services;</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and timing of future sales, including the mix between license and subscription revenue and seasonality;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competitive environment and changes thereto;</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competitive attributes of our software applications and delivery models;</w:t>
      </w:r>
    </w:p>
    <w:p>
      <w:pPr>
        <w:spacing w:after="0" w:line="63" w:lineRule="exact"/>
        <w:rPr>
          <w:rFonts w:ascii="Arial" w:cs="Arial" w:eastAsia="Arial" w:hAnsi="Arial"/>
          <w:sz w:val="18"/>
          <w:szCs w:val="18"/>
          <w:i w:val="1"/>
          <w:iCs w:val="1"/>
          <w:color w:val="auto"/>
        </w:rPr>
      </w:pPr>
    </w:p>
    <w:p>
      <w:pPr>
        <w:ind w:left="660" w:right="50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number of professional services engagements and the billing rates and utilization of our professional services employees and contractors;</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challenges to further increase sales both in the United States and internationally;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research and development and cloud operations investment and efforts;</w:t>
      </w:r>
    </w:p>
    <w:p>
      <w:pPr>
        <w:spacing w:after="0" w:line="63" w:lineRule="exact"/>
        <w:rPr>
          <w:rFonts w:ascii="Arial" w:cs="Arial" w:eastAsia="Arial" w:hAnsi="Arial"/>
          <w:sz w:val="18"/>
          <w:szCs w:val="18"/>
          <w:i w:val="1"/>
          <w:iCs w:val="1"/>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evolving data privacy standards and maintain the security of our customers' data, our products or our cloud-based services, and the related costs and liabilities that we may incur;</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expenses to be incurred, and benefits to be achieved, from our acquisitions;</w:t>
      </w:r>
    </w:p>
    <w:p>
      <w:pPr>
        <w:spacing w:after="0" w:line="63" w:lineRule="exact"/>
        <w:rPr>
          <w:rFonts w:ascii="Arial" w:cs="Arial" w:eastAsia="Arial" w:hAnsi="Arial"/>
          <w:sz w:val="18"/>
          <w:szCs w:val="18"/>
          <w:i w:val="1"/>
          <w:iCs w:val="1"/>
          <w:color w:val="auto"/>
        </w:rPr>
      </w:pPr>
    </w:p>
    <w:p>
      <w:pPr>
        <w:ind w:left="660" w:right="8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gross and operating margins and factors that affect such margins, including costs related to operating, securing and enhancing our subscription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provision for tax liabilities, judgments related to revenue recognition, and other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amount of any share repurchases by us;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new regulations and laws, including tax laws and accounting standards;</w:t>
      </w:r>
    </w:p>
    <w:p>
      <w:pPr>
        <w:spacing w:after="0" w:line="63" w:lineRule="exact"/>
        <w:rPr>
          <w:rFonts w:ascii="Arial" w:cs="Arial" w:eastAsia="Arial" w:hAnsi="Arial"/>
          <w:sz w:val="18"/>
          <w:szCs w:val="18"/>
          <w:i w:val="1"/>
          <w:iCs w:val="1"/>
          <w:color w:val="auto"/>
        </w:rPr>
      </w:pPr>
    </w:p>
    <w:p>
      <w:pPr>
        <w:ind w:left="660" w:right="80" w:hanging="328"/>
        <w:spacing w:after="0" w:line="262"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exposure to market risks, including geographical and political events that may negatively impact our customers, partners, and vendors or our business operations;</w:t>
      </w:r>
    </w:p>
    <w:p>
      <w:pPr>
        <w:spacing w:after="0" w:line="20" w:lineRule="exact"/>
        <w:rPr>
          <w:rFonts w:ascii="Arial" w:cs="Arial" w:eastAsia="Arial" w:hAnsi="Arial"/>
          <w:sz w:val="18"/>
          <w:szCs w:val="18"/>
          <w:i w:val="1"/>
          <w:iCs w:val="1"/>
          <w:color w:val="auto"/>
        </w:rPr>
      </w:pPr>
    </w:p>
    <w:p>
      <w:pPr>
        <w:jc w:val="both"/>
        <w:ind w:left="660" w:right="60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effect of uncertainties related to the global COVID-19 pandemic on U.S. and global economies, our business, our employees, results of operations, financial condition, demand for our products, sales and implementation cycles, and the health of our customers' and partners' businesses;</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 and</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satisfy future liquidity requirements.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We do not undertake any obligation to update any forward-looking statements in this report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21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the context requires otherwise, we are referring to Guidewire Software, Inc., together with its subsidiaries, when we use the terms “Guidewire,” the “Company,” “we,” “our,” or “us.”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1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2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rPr>
              <w:t>GUIDEWIRE SOFTWARE, INC. AND SUBSIDIARIES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4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(unaudited, in thousands)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30,</w:t>
            </w:r>
          </w:p>
        </w:tc>
        <w:tc>
          <w:tcPr>
            <w:tcW w:w="30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366,969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803,885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766,527</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allowances of $1,212 and $1,276, respectively</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114,242</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Unbilled accounts receivable, net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49,491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1,307,946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1,343,218</w:t>
            </w: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300,771</w:t>
            </w: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Unbilled accounts receivable, net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34,737</w:t>
            </w: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65,235</w:t>
            </w:r>
          </w:p>
        </w:tc>
        <w:tc>
          <w:tcPr>
            <w:tcW w:w="0" w:type="dxa"/>
            <w:vAlign w:val="bottom"/>
          </w:tcPr>
          <w:p>
            <w:pPr>
              <w:spacing w:after="0"/>
              <w:rPr>
                <w:sz w:val="1"/>
                <w:szCs w:val="1"/>
                <w:color w:val="auto"/>
              </w:rPr>
            </w:pPr>
          </w:p>
        </w:tc>
      </w:tr>
      <w:tr>
        <w:trPr>
          <w:trHeight w:val="23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Operating lease assets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100,813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103,797</w:t>
            </w:r>
          </w:p>
        </w:tc>
        <w:tc>
          <w:tcPr>
            <w:tcW w:w="0" w:type="dxa"/>
            <w:vAlign w:val="bottom"/>
          </w:tcPr>
          <w:p>
            <w:pPr>
              <w:spacing w:after="0"/>
              <w:rPr>
                <w:sz w:val="1"/>
                <w:szCs w:val="1"/>
                <w:color w:val="auto"/>
              </w:rPr>
            </w:pPr>
          </w:p>
        </w:tc>
      </w:tr>
      <w:tr>
        <w:trPr>
          <w:trHeight w:val="229"/>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39,708</w:t>
            </w:r>
          </w:p>
        </w:tc>
        <w:tc>
          <w:tcPr>
            <w:tcW w:w="0" w:type="dxa"/>
            <w:vAlign w:val="bottom"/>
          </w:tcPr>
          <w:p>
            <w:pPr>
              <w:spacing w:after="0"/>
              <w:rPr>
                <w:sz w:val="1"/>
                <w:szCs w:val="1"/>
                <w:color w:val="auto"/>
              </w:rPr>
            </w:pPr>
          </w:p>
        </w:tc>
      </w:tr>
      <w:tr>
        <w:trPr>
          <w:trHeight w:val="229"/>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340,877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340,877</w:t>
            </w:r>
          </w:p>
        </w:tc>
        <w:tc>
          <w:tcPr>
            <w:tcW w:w="0" w:type="dxa"/>
            <w:vAlign w:val="bottom"/>
          </w:tcPr>
          <w:p>
            <w:pPr>
              <w:spacing w:after="0"/>
              <w:rPr>
                <w:sz w:val="1"/>
                <w:szCs w:val="1"/>
                <w:color w:val="auto"/>
              </w:rPr>
            </w:pPr>
          </w:p>
        </w:tc>
      </w:tr>
      <w:tr>
        <w:trPr>
          <w:trHeight w:val="230"/>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101,565</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2,249,981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2,364,852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4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25,162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22,634</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Deferred revenue, net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85,796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118,311</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214,297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225,198</w:t>
            </w:r>
          </w:p>
        </w:tc>
        <w:tc>
          <w:tcPr>
            <w:tcW w:w="0" w:type="dxa"/>
            <w:vAlign w:val="bottom"/>
          </w:tcPr>
          <w:p>
            <w:pPr>
              <w:spacing w:after="0"/>
              <w:rPr>
                <w:sz w:val="1"/>
                <w:szCs w:val="1"/>
                <w:color w:val="auto"/>
              </w:rPr>
            </w:pPr>
          </w:p>
        </w:tc>
      </w:tr>
      <w:tr>
        <w:trPr>
          <w:trHeight w:val="230"/>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119,408</w:t>
            </w:r>
          </w:p>
        </w:tc>
        <w:tc>
          <w:tcPr>
            <w:tcW w:w="0" w:type="dxa"/>
            <w:vAlign w:val="bottom"/>
          </w:tcPr>
          <w:p>
            <w:pPr>
              <w:spacing w:after="0"/>
              <w:rPr>
                <w:sz w:val="1"/>
                <w:szCs w:val="1"/>
                <w:color w:val="auto"/>
              </w:rPr>
            </w:pPr>
          </w:p>
        </w:tc>
      </w:tr>
      <w:tr>
        <w:trPr>
          <w:trHeight w:val="229"/>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Convertible senior notes, net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330,208</w:t>
            </w:r>
          </w:p>
        </w:tc>
        <w:tc>
          <w:tcPr>
            <w:tcW w:w="0" w:type="dxa"/>
            <w:vAlign w:val="bottom"/>
          </w:tcPr>
          <w:p>
            <w:pPr>
              <w:spacing w:after="0"/>
              <w:rPr>
                <w:sz w:val="1"/>
                <w:szCs w:val="1"/>
                <w:color w:val="auto"/>
              </w:rPr>
            </w:pPr>
          </w:p>
        </w:tc>
      </w:tr>
      <w:tr>
        <w:trPr>
          <w:trHeight w:val="230"/>
        </w:trPr>
        <w:tc>
          <w:tcPr>
            <w:tcW w:w="7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708,084</w:t>
            </w:r>
          </w:p>
        </w:tc>
        <w:tc>
          <w:tcPr>
            <w:tcW w:w="0" w:type="dxa"/>
            <w:vAlign w:val="bottom"/>
          </w:tcPr>
          <w:p>
            <w:pPr>
              <w:spacing w:after="0"/>
              <w:rPr>
                <w:sz w:val="1"/>
                <w:szCs w:val="1"/>
                <w:color w:val="auto"/>
              </w:rPr>
            </w:pPr>
          </w:p>
        </w:tc>
      </w:tr>
      <w:tr>
        <w:trPr>
          <w:trHeight w:val="210"/>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1,588,143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1,499,050</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Retained earnings (accumulated deficit)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162,956</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1,656,768</w:t>
            </w:r>
          </w:p>
        </w:tc>
        <w:tc>
          <w:tcPr>
            <w:tcW w:w="0" w:type="dxa"/>
            <w:vAlign w:val="bottom"/>
          </w:tcPr>
          <w:p>
            <w:pPr>
              <w:spacing w:after="0"/>
              <w:rPr>
                <w:sz w:val="1"/>
                <w:szCs w:val="1"/>
                <w:color w:val="auto"/>
              </w:rPr>
            </w:pPr>
          </w:p>
        </w:tc>
      </w:tr>
      <w:tr>
        <w:trPr>
          <w:trHeight w:val="223"/>
        </w:trPr>
        <w:tc>
          <w:tcPr>
            <w:tcW w:w="744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2,249,981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2,364,852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70" w:right="9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2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560" w:type="dxa"/>
            <w:vAlign w:val="bottom"/>
            <w:gridSpan w:val="7"/>
          </w:tcPr>
          <w:p>
            <w:pPr>
              <w:jc w:val="center"/>
              <w:ind w:left="1390"/>
              <w:spacing w:after="0"/>
              <w:rPr>
                <w:sz w:val="20"/>
                <w:szCs w:val="20"/>
                <w:color w:val="auto"/>
              </w:rPr>
            </w:pPr>
            <w:r>
              <w:rPr>
                <w:rFonts w:ascii="Arial" w:cs="Arial" w:eastAsia="Arial" w:hAnsi="Arial"/>
                <w:sz w:val="18"/>
                <w:szCs w:val="18"/>
                <w:b w:val="1"/>
                <w:bCs w:val="1"/>
                <w:color w:val="auto"/>
              </w:rPr>
              <w:t>GUIDEWIRE SOFTWARE, INC. AND SUBSIDIARIES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80" w:type="dxa"/>
            <w:vAlign w:val="bottom"/>
            <w:gridSpan w:val="8"/>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60" w:type="dxa"/>
            <w:vAlign w:val="bottom"/>
            <w:gridSpan w:val="7"/>
          </w:tcPr>
          <w:p>
            <w:pPr>
              <w:jc w:val="center"/>
              <w:ind w:left="1390"/>
              <w:spacing w:after="0"/>
              <w:rPr>
                <w:sz w:val="20"/>
                <w:szCs w:val="20"/>
                <w:color w:val="auto"/>
              </w:rPr>
            </w:pPr>
            <w:r>
              <w:rPr>
                <w:rFonts w:ascii="Arial" w:cs="Arial" w:eastAsia="Arial" w:hAnsi="Arial"/>
                <w:sz w:val="18"/>
                <w:szCs w:val="18"/>
                <w:b w:val="1"/>
                <w:bCs w:val="1"/>
                <w:color w:val="auto"/>
                <w:w w:val="88"/>
              </w:rPr>
              <w:t>(unaudited, in thousands except shares and per share amounts)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20" w:type="dxa"/>
            <w:vAlign w:val="bottom"/>
            <w:gridSpan w:val="6"/>
          </w:tcPr>
          <w:p>
            <w:pPr>
              <w:ind w:left="80"/>
              <w:spacing w:after="0"/>
              <w:rPr>
                <w:sz w:val="20"/>
                <w:szCs w:val="20"/>
                <w:color w:val="auto"/>
              </w:rPr>
            </w:pPr>
            <w:r>
              <w:rPr>
                <w:rFonts w:ascii="Arial" w:cs="Arial" w:eastAsia="Arial" w:hAnsi="Arial"/>
                <w:sz w:val="18"/>
                <w:szCs w:val="18"/>
                <w:b w:val="1"/>
                <w:bCs w:val="1"/>
                <w:color w:val="auto"/>
                <w:w w:val="99"/>
              </w:rPr>
              <w:t>Three Months Ended April 30,</w:t>
            </w:r>
          </w:p>
        </w:tc>
        <w:tc>
          <w:tcPr>
            <w:tcW w:w="24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5"/>
              </w:rPr>
              <w:t>Nine Months Ended April 30,</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64,836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50,772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182,365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149,353</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193,987</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155,293</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498,633</w:t>
            </w:r>
          </w:p>
        </w:tc>
        <w:tc>
          <w:tcPr>
            <w:tcW w:w="0" w:type="dxa"/>
            <w:vAlign w:val="bottom"/>
          </w:tcPr>
          <w:p>
            <w:pPr>
              <w:spacing w:after="0"/>
              <w:rPr>
                <w:sz w:val="1"/>
                <w:szCs w:val="1"/>
                <w:color w:val="auto"/>
              </w:rPr>
            </w:pPr>
          </w:p>
        </w:tc>
      </w:tr>
      <w:tr>
        <w:trPr>
          <w:trHeight w:val="210"/>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8,027</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158,510</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250,204</w:t>
            </w:r>
          </w:p>
        </w:tc>
        <w:tc>
          <w:tcPr>
            <w:tcW w:w="0" w:type="dxa"/>
            <w:vAlign w:val="bottom"/>
          </w:tcPr>
          <w:p>
            <w:pPr>
              <w:spacing w:after="0"/>
              <w:rPr>
                <w:sz w:val="1"/>
                <w:szCs w:val="1"/>
                <w:color w:val="auto"/>
              </w:rPr>
            </w:pPr>
          </w:p>
        </w:tc>
      </w:tr>
      <w:tr>
        <w:trPr>
          <w:trHeight w:val="210"/>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65,686</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185,960</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gross profit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248,429</w:t>
            </w:r>
          </w:p>
        </w:tc>
        <w:tc>
          <w:tcPr>
            <w:tcW w:w="0" w:type="dxa"/>
            <w:vAlign w:val="bottom"/>
          </w:tcPr>
          <w:p>
            <w:pPr>
              <w:spacing w:after="0"/>
              <w:rPr>
                <w:sz w:val="1"/>
                <w:szCs w:val="1"/>
                <w:color w:val="auto"/>
              </w:rPr>
            </w:pPr>
          </w:p>
        </w:tc>
      </w:tr>
      <w:tr>
        <w:trPr>
          <w:trHeight w:val="210"/>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105,590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62,723</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316,656</w:t>
            </w:r>
          </w:p>
        </w:tc>
        <w:tc>
          <w:tcPr>
            <w:tcW w:w="0" w:type="dxa"/>
            <w:vAlign w:val="bottom"/>
          </w:tcPr>
          <w:p>
            <w:pPr>
              <w:spacing w:after="0"/>
              <w:rPr>
                <w:sz w:val="1"/>
                <w:szCs w:val="1"/>
                <w:color w:val="auto"/>
              </w:rPr>
            </w:pPr>
          </w:p>
        </w:tc>
      </w:tr>
      <w:tr>
        <w:trPr>
          <w:trHeight w:val="223"/>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20,666</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(12,789)</w:t>
            </w:r>
          </w:p>
        </w:tc>
        <w:tc>
          <w:tcPr>
            <w:tcW w:w="0" w:type="dxa"/>
            <w:vAlign w:val="bottom"/>
          </w:tcPr>
          <w:p>
            <w:pPr>
              <w:spacing w:after="0"/>
              <w:rPr>
                <w:sz w:val="1"/>
                <w:szCs w:val="1"/>
                <w:color w:val="auto"/>
              </w:rPr>
            </w:pPr>
          </w:p>
        </w:tc>
      </w:tr>
      <w:tr>
        <w:trPr>
          <w:trHeight w:val="223"/>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(73,746)</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5200" w:type="dxa"/>
            <w:vAlign w:val="bottom"/>
            <w:gridSpan w:val="2"/>
            <w:vMerge w:val="continue"/>
          </w:tcPr>
          <w:p>
            <w:pPr>
              <w:spacing w:after="0"/>
              <w:rPr>
                <w:sz w:val="17"/>
                <w:szCs w:val="17"/>
                <w:color w:val="auto"/>
              </w:rPr>
            </w:pPr>
          </w:p>
        </w:tc>
        <w:tc>
          <w:tcPr>
            <w:tcW w:w="2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in computing net income (loss) per share: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83,600,327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83,024,291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83,693,045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82,701,267</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83,600,327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83,024,291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83,693,045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82,701,267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270" w:right="9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9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280" w:type="dxa"/>
            <w:vAlign w:val="bottom"/>
            <w:gridSpan w:val="5"/>
          </w:tcPr>
          <w:p>
            <w:pPr>
              <w:jc w:val="center"/>
              <w:ind w:left="1670"/>
              <w:spacing w:after="0"/>
              <w:rPr>
                <w:sz w:val="20"/>
                <w:szCs w:val="20"/>
                <w:color w:val="auto"/>
              </w:rPr>
            </w:pPr>
            <w:r>
              <w:rPr>
                <w:rFonts w:ascii="Arial" w:cs="Arial" w:eastAsia="Arial" w:hAnsi="Arial"/>
                <w:sz w:val="18"/>
                <w:szCs w:val="18"/>
                <w:b w:val="1"/>
                <w:bCs w:val="1"/>
                <w:color w:val="auto"/>
              </w:rPr>
              <w:t>GUIDEWIRE SOFTWARE, INC. AND SUBSIDIARIES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500" w:type="dxa"/>
            <w:vAlign w:val="bottom"/>
            <w:gridSpan w:val="10"/>
          </w:tcPr>
          <w:p>
            <w:pPr>
              <w:jc w:val="center"/>
              <w:ind w:right="46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(unaudited, 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52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Three Months Ended April 30,</w:t>
            </w: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Nine Months Ended April 30,</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(65,973)</w:t>
            </w:r>
          </w:p>
        </w:tc>
        <w:tc>
          <w:tcPr>
            <w:tcW w:w="0" w:type="dxa"/>
            <w:vAlign w:val="bottom"/>
          </w:tcPr>
          <w:p>
            <w:pPr>
              <w:spacing w:after="0"/>
              <w:rPr>
                <w:sz w:val="1"/>
                <w:szCs w:val="1"/>
                <w:color w:val="auto"/>
              </w:rPr>
            </w:pPr>
          </w:p>
        </w:tc>
      </w:tr>
      <w:tr>
        <w:trPr>
          <w:trHeight w:val="230"/>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Tax benefit (expense) on unrealized gains (losses) on available-for-sale securities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59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Reclassification adjustment for realized gains (losses) included in net income</w:t>
            </w:r>
          </w:p>
        </w:tc>
        <w:tc>
          <w:tcPr>
            <w:tcW w:w="3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3"/>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(67,624)</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GUIDEWIRE SOFTWARE, INC. AND SUBSIDIARIES</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7"/>
          <w:szCs w:val="17"/>
          <w:b w:val="1"/>
          <w:bCs w:val="1"/>
          <w:color w:val="auto"/>
        </w:rPr>
        <w:t>unaudited, in thousands except share amounts</w:t>
      </w:r>
      <w:r>
        <w:rPr>
          <w:rFonts w:ascii="Arial" w:cs="Arial" w:eastAsia="Arial" w:hAnsi="Arial"/>
          <w:sz w:val="16"/>
          <w:szCs w:val="16"/>
          <w:b w:val="1"/>
          <w:bCs w:val="1"/>
          <w:color w:val="auto"/>
        </w:rPr>
        <w: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4"/>
                <w:szCs w:val="14"/>
                <w:color w:val="auto"/>
              </w:rPr>
            </w:pPr>
          </w:p>
        </w:tc>
        <w:tc>
          <w:tcPr>
            <w:tcW w:w="108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94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other</w:t>
            </w: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8"/>
                <w:szCs w:val="8"/>
                <w:color w:val="auto"/>
              </w:rPr>
            </w:pPr>
          </w:p>
        </w:tc>
        <w:tc>
          <w:tcPr>
            <w:tcW w:w="19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paid-in</w:t>
            </w:r>
          </w:p>
        </w:tc>
        <w:tc>
          <w:tcPr>
            <w:tcW w:w="1620" w:type="dxa"/>
            <w:vAlign w:val="bottom"/>
            <w:gridSpan w:val="3"/>
          </w:tcPr>
          <w:p>
            <w:pPr>
              <w:jc w:val="center"/>
              <w:ind w:right="140"/>
              <w:spacing w:after="0" w:line="102" w:lineRule="exact"/>
              <w:rPr>
                <w:sz w:val="20"/>
                <w:szCs w:val="20"/>
                <w:color w:val="auto"/>
              </w:rPr>
            </w:pPr>
            <w:r>
              <w:rPr>
                <w:rFonts w:ascii="Arial" w:cs="Arial" w:eastAsia="Arial" w:hAnsi="Arial"/>
                <w:sz w:val="11"/>
                <w:szCs w:val="11"/>
                <w:b w:val="1"/>
                <w:bCs w:val="1"/>
                <w:color w:val="auto"/>
              </w:rPr>
              <w:t>comprehensive income</w:t>
            </w:r>
          </w:p>
        </w:tc>
        <w:tc>
          <w:tcPr>
            <w:tcW w:w="120" w:type="dxa"/>
            <w:vAlign w:val="bottom"/>
          </w:tcPr>
          <w:p>
            <w:pPr>
              <w:spacing w:after="0"/>
              <w:rPr>
                <w:sz w:val="8"/>
                <w:szCs w:val="8"/>
                <w:color w:val="auto"/>
              </w:rPr>
            </w:pPr>
          </w:p>
        </w:tc>
        <w:tc>
          <w:tcPr>
            <w:tcW w:w="11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080" w:type="dxa"/>
            <w:vAlign w:val="bottom"/>
          </w:tcPr>
          <w:p>
            <w:pPr>
              <w:jc w:val="center"/>
              <w:ind w:right="69"/>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capital</w:t>
            </w:r>
          </w:p>
        </w:tc>
        <w:tc>
          <w:tcPr>
            <w:tcW w:w="22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7"/>
                <w:szCs w:val="17"/>
                <w:color w:val="auto"/>
              </w:rPr>
            </w:pPr>
          </w:p>
        </w:tc>
        <w:tc>
          <w:tcPr>
            <w:tcW w:w="108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4"/>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83,461,925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1,499,050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(5,246)</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162,956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1,656,768</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(20,190)</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Issuance of common stock upon exercise of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options</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upon vesting of Restricted</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339,759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Stock Units (“RSUs”)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980" w:type="dxa"/>
            <w:vAlign w:val="bottom"/>
          </w:tcPr>
          <w:p>
            <w:pPr>
              <w:jc w:val="right"/>
              <w:spacing w:after="0"/>
              <w:rPr>
                <w:sz w:val="20"/>
                <w:szCs w:val="20"/>
                <w:color w:val="auto"/>
              </w:rPr>
            </w:pPr>
            <w:r>
              <w:rPr>
                <w:rFonts w:ascii="Arial" w:cs="Arial" w:eastAsia="Arial" w:hAnsi="Arial"/>
                <w:sz w:val="14"/>
                <w:szCs w:val="14"/>
                <w:color w:val="auto"/>
              </w:rPr>
              <w:t>(48,997)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Unrealized gain (loss) on available-for-sale securities,</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(1,480)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net of tax</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Reclassification adjustment for realized gain (loss) on</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available-for-sale securities, included in net income</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w:t>
            </w: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October 31,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83,791,856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1,529,160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(7,073)</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137,766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1,659,861</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upon exercise of stock</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9,415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options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30,209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30,209</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(38,909)</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2,726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Unrealized gain (loss) on available-for-sale securities,</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of tax</w:t>
            </w: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Reclassification adjustment for realized gain (loss) on</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available-for-sale securities, included in net income</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(loss)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83,775,163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1,559,473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(5,023)</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90,205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1,644,663</w:t>
            </w:r>
          </w:p>
        </w:tc>
        <w:tc>
          <w:tcPr>
            <w:tcW w:w="0" w:type="dxa"/>
            <w:vAlign w:val="bottom"/>
          </w:tcPr>
          <w:p>
            <w:pPr>
              <w:spacing w:after="0"/>
              <w:rPr>
                <w:sz w:val="1"/>
                <w:szCs w:val="1"/>
                <w:color w:val="auto"/>
              </w:rPr>
            </w:pPr>
          </w:p>
        </w:tc>
      </w:tr>
      <w:tr>
        <w:trPr>
          <w:trHeight w:val="179"/>
        </w:trPr>
        <w:tc>
          <w:tcPr>
            <w:tcW w:w="36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(36,633)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(36,633)</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Issuance of common stock upon exercise of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options</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980" w:type="dxa"/>
            <w:vAlign w:val="bottom"/>
          </w:tcPr>
          <w:p>
            <w:pPr>
              <w:jc w:val="right"/>
              <w:spacing w:after="0"/>
              <w:rPr>
                <w:sz w:val="20"/>
                <w:szCs w:val="20"/>
                <w:color w:val="auto"/>
              </w:rPr>
            </w:pPr>
            <w:r>
              <w:rPr>
                <w:rFonts w:ascii="Arial" w:cs="Arial" w:eastAsia="Arial" w:hAnsi="Arial"/>
                <w:sz w:val="14"/>
                <w:szCs w:val="14"/>
                <w:color w:val="auto"/>
              </w:rPr>
              <w:t>266,927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28,568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28,568</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980" w:type="dxa"/>
            <w:vAlign w:val="bottom"/>
          </w:tcPr>
          <w:p>
            <w:pPr>
              <w:jc w:val="right"/>
              <w:spacing w:after="0"/>
              <w:rPr>
                <w:sz w:val="20"/>
                <w:szCs w:val="20"/>
                <w:color w:val="auto"/>
              </w:rPr>
            </w:pPr>
            <w:r>
              <w:rPr>
                <w:rFonts w:ascii="Arial" w:cs="Arial" w:eastAsia="Arial" w:hAnsi="Arial"/>
                <w:sz w:val="14"/>
                <w:szCs w:val="14"/>
                <w:color w:val="auto"/>
              </w:rPr>
              <w:t>(764,782)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(79,898)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(79,898)</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Unrealized gain (loss) on available-for-sale securities,</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(1,057)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net of tax</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Reclassification adjustment for realized gain (loss) on</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available-for-sale securities, included in net income</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6"/>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w:t>
            </w: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Balance as of April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83,280,955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1,588,143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(5,341)</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(26,326)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1,556,484</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87" w:right="619" w:bottom="1440" w:gutter="0" w:footer="0" w:header="0"/>
        </w:sectPr>
      </w:pPr>
    </w:p>
    <w:bookmarkStart w:id="9" w:name="page10"/>
    <w:bookmarkEnd w:id="9"/>
    <w:p>
      <w:pPr>
        <w:ind w:left="1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4"/>
                <w:szCs w:val="14"/>
                <w:color w:val="auto"/>
              </w:rPr>
            </w:pPr>
          </w:p>
        </w:tc>
        <w:tc>
          <w:tcPr>
            <w:tcW w:w="110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92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other</w:t>
            </w: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8"/>
                <w:szCs w:val="8"/>
                <w:color w:val="auto"/>
              </w:rPr>
            </w:pPr>
          </w:p>
        </w:tc>
        <w:tc>
          <w:tcPr>
            <w:tcW w:w="19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paid-in</w:t>
            </w:r>
          </w:p>
        </w:tc>
        <w:tc>
          <w:tcPr>
            <w:tcW w:w="160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 income</w:t>
            </w:r>
          </w:p>
        </w:tc>
        <w:tc>
          <w:tcPr>
            <w:tcW w:w="14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100" w:type="dxa"/>
            <w:vAlign w:val="bottom"/>
          </w:tcPr>
          <w:p>
            <w:pPr>
              <w:jc w:val="center"/>
              <w:ind w:right="89"/>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(loss)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7"/>
                <w:szCs w:val="17"/>
                <w:color w:val="auto"/>
              </w:rPr>
            </w:pPr>
          </w:p>
        </w:tc>
        <w:tc>
          <w:tcPr>
            <w:tcW w:w="110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4"/>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82,140,883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1,391,904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190,047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1,574,201</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Net income ( loss)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(14,991)</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Issuance of common stock upon exercise of stock</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options</w:t>
            </w: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960" w:type="dxa"/>
            <w:vAlign w:val="bottom"/>
          </w:tcPr>
          <w:p>
            <w:pPr>
              <w:jc w:val="right"/>
              <w:spacing w:after="0"/>
              <w:rPr>
                <w:sz w:val="20"/>
                <w:szCs w:val="20"/>
                <w:color w:val="auto"/>
              </w:rPr>
            </w:pPr>
            <w:r>
              <w:rPr>
                <w:rFonts w:ascii="Arial" w:cs="Arial" w:eastAsia="Arial" w:hAnsi="Arial"/>
                <w:sz w:val="14"/>
                <w:szCs w:val="14"/>
                <w:color w:val="auto"/>
              </w:rPr>
              <w:t>411,825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24,765</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Unrealized gain (loss) on available-for-sale securities,</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of tax</w:t>
            </w: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Reclassification adjustment for realized gain (loss) on</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available-for-sale securities, included in net income</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(loss)</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Adoption of Accounting Standards Update ("ASU")</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2018-02</w:t>
            </w: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October 31,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82,574,406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1,417,037</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(6,683)</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175,163</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1,585,525</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(19,944)</w:t>
            </w: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upon exercise of stock</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25,155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options</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272,821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26,688</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Unrealized gain (loss) on available-for-sale securities,</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net of tax</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Reclassification adjustment for realized gain (loss) on</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available-for-sale securities, included in net income</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w:t>
            </w: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January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82,872,382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1,444,597</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(7,259)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155,219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1,592,565</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(31,038)</w:t>
            </w: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upon exercise of stock</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41,475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options</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24,905</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35"/>
        </w:trPr>
        <w:tc>
          <w:tcPr>
            <w:tcW w:w="3660" w:type="dxa"/>
            <w:vAlign w:val="bottom"/>
          </w:tcPr>
          <w:p>
            <w:pPr>
              <w:ind w:left="220"/>
              <w:spacing w:after="0" w:line="135" w:lineRule="exact"/>
              <w:rPr>
                <w:sz w:val="20"/>
                <w:szCs w:val="20"/>
                <w:color w:val="auto"/>
              </w:rPr>
            </w:pPr>
            <w:r>
              <w:rPr>
                <w:rFonts w:ascii="Arial" w:cs="Arial" w:eastAsia="Arial" w:hAnsi="Arial"/>
                <w:sz w:val="14"/>
                <w:szCs w:val="14"/>
                <w:color w:val="auto"/>
              </w:rPr>
              <w:t>Unrealized gain (loss) on available-for-sale securities,</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net of tax</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Reclassification adjustment for realized gain (loss) on</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available-for-sale securities, included in net income</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w:t>
            </w: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Balance as of April 30,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83,167,042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1,471,340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(9,516)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124,181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1,586,013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287" w:right="479" w:bottom="1440" w:gutter="0" w:footer="0" w:header="0"/>
        </w:sectPr>
      </w:pPr>
    </w:p>
    <w:bookmarkStart w:id="10" w:name="page11"/>
    <w:bookmarkEnd w:id="10"/>
    <w:p>
      <w:pPr>
        <w:ind w:left="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GUIDEWIRE SOFTWARE, INC. AND SUBSIDIARIES CONDENSED CONSOLIDATED STATEMENTS OF CASH FLOWS (unaudited,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(65,475)</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(65,973)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29,028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32,255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9,598</w:t>
            </w:r>
          </w:p>
        </w:tc>
        <w:tc>
          <w:tcPr>
            <w:tcW w:w="0" w:type="dxa"/>
            <w:vAlign w:val="bottom"/>
          </w:tcPr>
          <w:p>
            <w:pPr>
              <w:spacing w:after="0"/>
              <w:rPr>
                <w:sz w:val="1"/>
                <w:szCs w:val="1"/>
                <w:color w:val="auto"/>
              </w:rPr>
            </w:pP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Amortization of contract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5,610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76,075</w:t>
            </w:r>
          </w:p>
        </w:tc>
        <w:tc>
          <w:tcPr>
            <w:tcW w:w="0" w:type="dxa"/>
            <w:vAlign w:val="bottom"/>
          </w:tcPr>
          <w:p>
            <w:pPr>
              <w:spacing w:after="0"/>
              <w:rPr>
                <w:sz w:val="1"/>
                <w:szCs w:val="1"/>
                <w:color w:val="auto"/>
              </w:rPr>
            </w:pP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Changes to allowance for credit losses and revenue reserves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(11,046)</w:t>
            </w:r>
          </w:p>
        </w:tc>
        <w:tc>
          <w:tcPr>
            <w:tcW w:w="0" w:type="dxa"/>
            <w:vAlign w:val="bottom"/>
          </w:tcPr>
          <w:p>
            <w:pPr>
              <w:spacing w:after="0"/>
              <w:rPr>
                <w:sz w:val="1"/>
                <w:szCs w:val="1"/>
                <w:color w:val="auto"/>
              </w:rPr>
            </w:pP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Amortization of premium (accretion of discount) on available-for-sale securities,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fair value of strategic investments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10,672</w:t>
            </w:r>
          </w:p>
        </w:tc>
        <w:tc>
          <w:tcPr>
            <w:tcW w:w="0" w:type="dxa"/>
            <w:vAlign w:val="bottom"/>
          </w:tcPr>
          <w:p>
            <w:pPr>
              <w:spacing w:after="0"/>
              <w:rPr>
                <w:sz w:val="1"/>
                <w:szCs w:val="1"/>
                <w:color w:val="auto"/>
              </w:rPr>
            </w:pP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Other non-cash items affecting net income (loss)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43,375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58,180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Unbilled accounts receivable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(44,740)</w:t>
            </w:r>
          </w:p>
        </w:tc>
        <w:tc>
          <w:tcPr>
            <w:tcW w:w="0" w:type="dxa"/>
            <w:vAlign w:val="bottom"/>
          </w:tcPr>
          <w:p>
            <w:pPr>
              <w:spacing w:after="0"/>
              <w:rPr>
                <w:sz w:val="1"/>
                <w:szCs w:val="1"/>
                <w:color w:val="auto"/>
              </w:rPr>
            </w:pPr>
          </w:p>
        </w:tc>
      </w:tr>
      <w:tr>
        <w:trPr>
          <w:trHeight w:val="213"/>
        </w:trPr>
        <w:tc>
          <w:tcPr>
            <w:tcW w:w="764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(4,587)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(10,147)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w:t>
            </w:r>
          </w:p>
        </w:tc>
        <w:tc>
          <w:tcPr>
            <w:tcW w:w="0" w:type="dxa"/>
            <w:vAlign w:val="bottom"/>
          </w:tcPr>
          <w:p>
            <w:pPr>
              <w:spacing w:after="0"/>
              <w:rPr>
                <w:sz w:val="1"/>
                <w:szCs w:val="1"/>
                <w:color w:val="auto"/>
              </w:rPr>
            </w:pPr>
          </w:p>
        </w:tc>
      </w:tr>
      <w:tr>
        <w:trPr>
          <w:trHeight w:val="213"/>
        </w:trPr>
        <w:tc>
          <w:tcPr>
            <w:tcW w:w="764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employee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(25,286)</w:t>
            </w:r>
          </w:p>
        </w:tc>
        <w:tc>
          <w:tcPr>
            <w:tcW w:w="0" w:type="dxa"/>
            <w:vAlign w:val="bottom"/>
          </w:tcPr>
          <w:p>
            <w:pPr>
              <w:spacing w:after="0"/>
              <w:rPr>
                <w:sz w:val="1"/>
                <w:szCs w:val="1"/>
                <w:color w:val="auto"/>
              </w:rPr>
            </w:pPr>
          </w:p>
        </w:tc>
      </w:tr>
      <w:tr>
        <w:trPr>
          <w:trHeight w:val="213"/>
        </w:trPr>
        <w:tc>
          <w:tcPr>
            <w:tcW w:w="764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(38,081)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(25,735)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5,907</w:t>
            </w:r>
          </w:p>
        </w:tc>
        <w:tc>
          <w:tcPr>
            <w:tcW w:w="0" w:type="dxa"/>
            <w:vAlign w:val="bottom"/>
          </w:tcPr>
          <w:p>
            <w:pPr>
              <w:spacing w:after="0"/>
              <w:rPr>
                <w:sz w:val="1"/>
                <w:szCs w:val="1"/>
                <w:color w:val="auto"/>
              </w:rPr>
            </w:pPr>
          </w:p>
        </w:tc>
      </w:tr>
      <w:tr>
        <w:trPr>
          <w:trHeight w:val="193"/>
        </w:trPr>
        <w:tc>
          <w:tcPr>
            <w:tcW w:w="76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available-for-sale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(849,312)</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Sales of available-for-sale securities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127,331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93,418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available-for-sale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811,541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(18,966)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Capitalized cloud software development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Acquisition of strategic investments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33,408</w:t>
            </w:r>
          </w:p>
        </w:tc>
        <w:tc>
          <w:tcPr>
            <w:tcW w:w="0" w:type="dxa"/>
            <w:vAlign w:val="bottom"/>
          </w:tcPr>
          <w:p>
            <w:pPr>
              <w:spacing w:after="0"/>
              <w:rPr>
                <w:sz w:val="1"/>
                <w:szCs w:val="1"/>
                <w:color w:val="auto"/>
              </w:rPr>
            </w:pPr>
          </w:p>
        </w:tc>
      </w:tr>
      <w:tr>
        <w:trPr>
          <w:trHeight w:val="193"/>
        </w:trPr>
        <w:tc>
          <w:tcPr>
            <w:tcW w:w="76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upon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Repurchase and retirement of common stock</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(122,577)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(120,655)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(82,521)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EQUIVALENTS—Beginning of period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366,969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254,101</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284,448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293,815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Cash paid for income taxes, net of tax refunds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3,492</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Accruals for purchase of property and equipment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Accruals for capitalized cloud software development costs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616</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Accrual for shares repurchased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287" w:right="6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179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287" w:right="1440" w:bottom="1440" w:gutter="0" w:footer="0" w:header="0"/>
        </w:sectPr>
      </w:pPr>
    </w:p>
    <w:bookmarkStart w:id="12" w:name="page13"/>
    <w:bookmarkEnd w:id="1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 and Estimates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Company</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applications. The Company's technology platform supports core insurance operations, including underwriting and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condensed consolidated financial statements and accompanying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generally accepted accounting principles in the United States of America (“GAAP”) have been condensed or omitted under the rules and regulations of the U.S. Securities and Exchange Commission (“SEC”).</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2020. There have been no changes in the Company’s significant accounting policies from those that were disclosed in the Company’s consolidated financial statements included in the Company’s Annual Report on Form 10-K.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with the Annual Report on Form 10-K for fiscal year 2020, the Company changed the presentation in the consolidated statements of operations for revenue and cost of revenue to include subtotals for "subscription and support," "license," and "services". The Company's previous presentation included subtotals for "license and subscription," "maintenance" (now referred to as "support"), and "services". Accordingly, prior period amounts have been reclassified to conform to the current period presentation in the Company's condensed consolidated financial statements. Additionally, certain prior period amounts within operating activities in the condensed consolidated statements of cash flows have been reclassified to conform to the current period presentation.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condensed consolidated balance sheets. Transaction gains and losses that arise from exchange rate fluctuations on transactions denominated in a currency other than the functional currency of the recording entity are included in other income (expense) in the condensed consolidated statements of operations.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3" w:name="page14"/>
    <w:bookmarkEnd w:id="1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and cash equivalents are comprised of cash and highly liquid investments with remaining maturities of 90 days or less at the date of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primarily consist of commercial paper and money market funds.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gains and losses, net of taxes, generally included in accumulated other comprehensive income (loss). Unrealized losses related to the credit worthiness of an investment, if any, are recorded in other income (expense), net on the condensed consolidated statements of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The estimated useful lives of property and equipment are as follows:</w:t>
            </w:r>
          </w:p>
        </w:tc>
        <w:tc>
          <w:tcPr>
            <w:tcW w:w="49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4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 years</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4900" w:type="dxa"/>
            <w:vAlign w:val="bottom"/>
          </w:tcPr>
          <w:p>
            <w:pPr>
              <w:ind w:left="580"/>
              <w:spacing w:after="0"/>
              <w:rPr>
                <w:sz w:val="20"/>
                <w:szCs w:val="20"/>
                <w:color w:val="auto"/>
              </w:rPr>
            </w:pPr>
            <w:r>
              <w:rPr>
                <w:rFonts w:ascii="Arial" w:cs="Arial" w:eastAsia="Arial" w:hAnsi="Arial"/>
                <w:sz w:val="18"/>
                <w:szCs w:val="18"/>
                <w:color w:val="auto"/>
              </w:rPr>
              <w:t>3 years</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machinery</w:t>
            </w:r>
          </w:p>
        </w:tc>
        <w:tc>
          <w:tcPr>
            <w:tcW w:w="4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 to 5 years</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900" w:type="dxa"/>
            <w:vAlign w:val="bottom"/>
          </w:tcPr>
          <w:p>
            <w:pPr>
              <w:ind w:left="580"/>
              <w:spacing w:after="0"/>
              <w:rPr>
                <w:sz w:val="20"/>
                <w:szCs w:val="20"/>
                <w:color w:val="auto"/>
              </w:rPr>
            </w:pPr>
            <w:r>
              <w:rPr>
                <w:rFonts w:ascii="Arial" w:cs="Arial" w:eastAsia="Arial" w:hAnsi="Arial"/>
                <w:sz w:val="18"/>
                <w:szCs w:val="18"/>
                <w:color w:val="auto"/>
              </w:rPr>
              <w:t>5 years</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Shorter of 10 years or remaining lease term</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condensed consolidated statements of operations as incurred.</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qualifying costs incurred for computer software developed for internal use, which includes software used to deliver subscription services exclusively through the cloud,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capitalized costs are amortized to cost of revenue over the estimated useful lives of the related assets, generally estimated to be three to five years. Costs incurred prior to meeting these capitalization criteria and costs incurred for training and maintenance are expensed as incurred and recorded in research and development expense in the condensed consolidated statements of operations. Capitalized software development costs are recorded in property and equipment in the condensed consolidated balance sheets.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August 1, 2019, the Company adopted the Financial Accounting Standards Board (“FASB”) Accounting Standards Codification Topic 842: Leases (“ASC 842") using the modified retrospective transition approach by applying the new standard to all leases existing at the date of initial application.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Company's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20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leases are included in operating lease assets, other current liabilities, and lease liabilities on the condensed consolidated balance sheets.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 Intangible Assets, and Goodwill</w:t>
      </w:r>
    </w:p>
    <w:p>
      <w:pPr>
        <w:spacing w:after="0" w:line="1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w:t>
      </w:r>
    </w:p>
    <w:p>
      <w:pPr>
        <w:spacing w:after="0" w:line="2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One customer accounted for 10% or more of the Company's revenue in both the three months ended April 30, 2021 and 2020. No customer accounted for 10% or more of the Company’s revenue for the nine months ended April 30, 2021 or 2020. No customer accounted for 10% or more of the Company's accounts receivable as of April 30, 2021 or July 31, 2020.</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1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condensed consolidated statements of operations.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 which the Company adopted on August 1, 2018.</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core principle of ASC 606 is to recognize revenue upon the transfer of services or products to customers in an amount that reflects the consideration the Company expects to be entitled to in exchange for those services or products. The Company applies the following framework to recognize revenue: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Identification of the contract, or contracts, with the customer</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considers the terms and conditions of written contracts and its customary business practices in identifying its contracts under ASC 606.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revenue recognized may be adjusted.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Identification of the performance obligation in the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Performance obligations promised in a contract are identified based on the services or products that will be transferred to the customer that are both:</w:t>
      </w:r>
    </w:p>
    <w:p>
      <w:pPr>
        <w:spacing w:after="0" w:line="194" w:lineRule="exact"/>
        <w:rPr>
          <w:sz w:val="20"/>
          <w:szCs w:val="20"/>
          <w:color w:val="auto"/>
        </w:rPr>
      </w:pPr>
    </w:p>
    <w:p>
      <w:pPr>
        <w:ind w:left="660" w:hanging="328"/>
        <w:spacing w:after="0" w:line="277"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distinct in the context of the contract, whereby the transfer of the service or product is separately identifiable from other promises in the contract.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 from the following sources, which generally represent the performance obligations of the Company:</w:t>
      </w:r>
    </w:p>
    <w:p>
      <w:pPr>
        <w:spacing w:after="0" w:line="17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Subscription services related to the Company's Software-as-a-Service ("SaaS") offerings, including hosting;</w:t>
      </w:r>
    </w:p>
    <w:p>
      <w:pPr>
        <w:spacing w:after="0" w:line="171" w:lineRule="exact"/>
        <w:rPr>
          <w:rFonts w:ascii="Arial" w:cs="Arial" w:eastAsia="Arial" w:hAnsi="Arial"/>
          <w:sz w:val="18"/>
          <w:szCs w:val="18"/>
          <w:color w:val="auto"/>
        </w:rPr>
      </w:pPr>
    </w:p>
    <w:p>
      <w:pPr>
        <w:ind w:left="660" w:hanging="328"/>
        <w:spacing w:after="0" w:line="277"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activities that consist of email and phone support, bug fixes, and unspecified software updates and upgrades released when, and if, available during the support term;</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Self-managed software licenses related to term or perpetual agreements;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Services related to the implementation and configuration of the Company’s services and products, reimbursable travel, and training.</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Subscriptions are typically sold with a three to five 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Determination of the transaction price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10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Allocation of the transaction price to the performance obligations in the contract</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support, implementation services or training services. Additionally, as customers enter into a subscription agreement to migrate from an existing term license agreement, customers may be under contract for self-managed licenses and support, in addition to subscription services, for a period of time, which may require an allocation of the transaction price to each performance obligation.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Recognition of revenue when, or as, the Company satisfies a performance obligation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 satisfied at a point in time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 satisfied over a period of time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Subscriptions, support activities, and professional service arrangements comprise the majority of distinct performance obligations that are satisfied over a period of time.</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from subscription arrangements is typically billed in advance on an annual basis over the contract period.</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professional service arrangements is recognized over the service period as the underlying services are performed.</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Balance Sheet Presentation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Contracts with customers are reflected in the condensed consolidated balance sheets as follows:</w:t>
      </w:r>
    </w:p>
    <w:p>
      <w:pPr>
        <w:spacing w:after="0" w:line="225"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net represents amounts billed to customers in accordance with contract terms for which payment has not yet been received. It is presented net of allowances as part of current assets in the condensed consolidated balance sheets.</w:t>
      </w:r>
    </w:p>
    <w:p>
      <w:pPr>
        <w:spacing w:after="0" w:line="170" w:lineRule="exact"/>
        <w:rPr>
          <w:rFonts w:ascii="Arial" w:cs="Arial" w:eastAsia="Arial" w:hAnsi="Arial"/>
          <w:sz w:val="18"/>
          <w:szCs w:val="18"/>
          <w:color w:val="auto"/>
        </w:rPr>
      </w:pPr>
    </w:p>
    <w:p>
      <w:pPr>
        <w:jc w:val="both"/>
        <w:ind w:left="660" w:hanging="328"/>
        <w:spacing w:after="0" w:line="29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condensed consolidated balance sheets and the anticipated due date of the underlying receivables. Unbilled accounts receivable is evaluated for credit losses based upon the expected collectability of future accounts receivable, customer payment history, global economic conditions, and ongoing credit evaluations of customers. Unbilled accounts receivable is presented net of allowance for credit losses, if applicable, in the condensed consolidated balance sheets. This balance represents contract assets.</w:t>
      </w:r>
    </w:p>
    <w:p>
      <w:pPr>
        <w:spacing w:after="0" w:line="16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costs include customer acquisition costs, which consist primarily of sales commissions paid to sales personnel and their related payroll taxes and referral fees paid to third-parties, and costs to fulfill a contract, which consist primarily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royalties payable to third-party software providers that support both the Company’s software offerings and support services. The short-term portion is presented as prepaid and other current assets. The long-term portion is presented as other assets.</w:t>
      </w:r>
    </w:p>
    <w:p>
      <w:pPr>
        <w:spacing w:after="0" w:line="170"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 net represents amounts that have been invoiced and for which the Company has the right to bill, but that have not been recognized as revenue because the related services or products have not been transferred to the customer. Deferred revenue that will be realized during the 12-month period following the date of the condensed consolidated balance sheets is recorded as current. The remaining deferred revenue is recorded as non-current. This balance represents contract liabilities.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w:t>
      </w:r>
    </w:p>
    <w:p>
      <w:pPr>
        <w:spacing w:after="0" w:line="214"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costs consists of two components, customer acquisition costs and costs to fulfill a contract.</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3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condensed consolidated statement of operations.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Warranties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generally provides a warranty for its software products and services to its customers for periods ranging from three to twelve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 or services. Warranty expense has been insignificant to date.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Advertising costs are expensed as incurred and amounts incurred were not material during the three and nine months ended April 30, 2021 and 2020.</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To date, the Company has granted or assumed stock options, restricted stock awards (“RSAs”), time-based restricted stock units (“RSUs”), performance-based restricted stock units (“PSUs”), and restricted stock units that may be earned subject to the Company’s total shareholder return ranking relative</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9" w:name="page20"/>
    <w:bookmarkEnd w:id="1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software companies in the S&amp;P Software and Services Select Industry Index (“S&amp;P Index”) over a specified performance period or periods and, in select cases, are subject to certain performance conditions (“TSR PSUs”). RSAs, RSUs, PSUs, and TSR PSUs are collectively referred to as “Stock Awards.”</w:t>
      </w:r>
    </w:p>
    <w:p>
      <w:pPr>
        <w:spacing w:after="0" w:line="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of the Company’s RSAs, RSUs, and PSUs is equal to the market value of the Company’s common stock on the date of grant. These awards are subject to time-based vesting, which generally occurs over a period of four years. The Company recognizes compensation expense for awards that contain only service conditions on a straight-line basis over the requisite service period, which is generally the vesting period of the respective awards. The Company recognizes the compensation expense for awards that contain either performance conditions, market conditions, or both using the graded vesting method and a portion of the expense may fluctuate depending on changing estimates of the achievement of the performance conditions.</w:t>
      </w:r>
    </w:p>
    <w:p>
      <w:pPr>
        <w:spacing w:after="0" w:line="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the Company’s stock options and TSR PSUs are estimated at the grant date using the Black-Scholes model and Monte Carlo simulation method, respectively. The assumptions utilized under these methods require judgments and estimates. Changes in these inputs and assumptions could affect the measurement of the estimated fair value of the related compensation expense of these stock options and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changing estimates of the achievement of the performance conditions. All TSR PSUs vest at the end of a three-year period.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are accounted for under the asset and liability method. Under this method, the Company determines deferred tax assets and liabilities based on the differences between the financial statement carrying amounts and the tax basis of existing assets and liabilities,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3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records interest and penalties related to unrecognized tax benefits as income tax expense in its condensed consolidated statement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Intangibles, Goodwill and Other (Subtopic 350-40): Customer’s Accounting for Implementation Costs Incurred in a Cloud Computing Arrangement that is a Service Contract</w:t>
      </w:r>
    </w:p>
    <w:p>
      <w:pPr>
        <w:spacing w:after="0" w:line="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August 2018, the FASB issued ASU No. 2018-15, Intangibles, Goodwill and Other (Subtopic 350-40): Customer’s Accounting for Implementation Costs Incurred in a Cloud Computing Arrangement that is a Service Contract, which requires implementation costs incurred in cloud computing arrangements to be deferred and recognized over the term of the arrangement, if those costs would be capitalized in a software licensing arrangement under the internal-use software guidance in ASC 350-40. On August 1, 2020 the Company adopted this ASU prospectively. The adoption of this standard did not have a material impact on the condensed consolidated financial statements and related disclosures.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 Credit Losses (Topic 326): Measurement of Credit Losses on Financial Instruments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June 2016, the FASB issued ASU No. 2016-13 (ASU 2016-13), Financial Instruments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model which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On August 1, 2020 the Company adopted this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using the modified retrospective method. The adoption of this standard did not have a material impact on the condensed consolidated financial statements and related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1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Debt — Debt with Conversion and Other Options (Subtopic 470-20) and Derivatives and Hedging — Contracts in Entity’s Own Equity (Subtopic 815-40): Accounting for Convertible Instruments and Contracts in an Entity’s Own Equity</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August 2020, the FASB issued ASU No. 2020-06, “Debt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Debt with Conversion and Other Options (Subtopic 470-20) and Derivatives and Hedging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new standard will be effective for fiscal years beginning after December 15, 2021, including interim periods within those fiscal years. Early adoption is permitted, but no earlier than fiscal years beginning after December 15, 2020. The Company is currently assessing the impact of adopting this standard on the consolidated financial statements, however, it believes the requirement to use the if-converted method instead of the treasury stock method of accounting for the shares issuable upon conversion of the Convertible Senior Notes, could adversely affect its diluted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recent accounting pronouncements that will be applicable to the Company are not expected to have a material impact on its present or future financial statements.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 Revenue</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license or service type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April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 April 30,</w:t>
            </w:r>
          </w:p>
        </w:tc>
      </w:tr>
      <w:tr>
        <w:trPr>
          <w:trHeight w:val="223"/>
        </w:trPr>
        <w:tc>
          <w:tcPr>
            <w:tcW w:w="3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0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328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44,553</w:t>
            </w:r>
          </w:p>
        </w:tc>
        <w:tc>
          <w:tcPr>
            <w:tcW w:w="80" w:type="dxa"/>
            <w:vAlign w:val="bottom"/>
          </w:tcPr>
          <w:p>
            <w:pPr>
              <w:spacing w:after="0"/>
              <w:rPr>
                <w:sz w:val="19"/>
                <w:szCs w:val="19"/>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30,078</w:t>
            </w: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120,061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86,572</w:t>
            </w:r>
          </w:p>
        </w:tc>
      </w:tr>
      <w:tr>
        <w:trPr>
          <w:trHeight w:val="230"/>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Support</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License</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license</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191,448</w:t>
            </w:r>
          </w:p>
        </w:tc>
      </w:tr>
      <w:tr>
        <w:trPr>
          <w:trHeight w:val="230"/>
        </w:trPr>
        <w:tc>
          <w:tcPr>
            <w:tcW w:w="3280" w:type="dxa"/>
            <w:vAlign w:val="bottom"/>
          </w:tcPr>
          <w:p>
            <w:pPr>
              <w:ind w:left="360"/>
              <w:spacing w:after="0"/>
              <w:rPr>
                <w:sz w:val="20"/>
                <w:szCs w:val="20"/>
                <w:color w:val="auto"/>
              </w:rPr>
            </w:pPr>
            <w:r>
              <w:rPr>
                <w:rFonts w:ascii="Arial" w:cs="Arial" w:eastAsia="Arial" w:hAnsi="Arial"/>
                <w:sz w:val="18"/>
                <w:szCs w:val="18"/>
                <w:color w:val="auto"/>
              </w:rPr>
              <w:t>Perpetual license</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2,539</w:t>
            </w: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48,195</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137,335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155,293</w:t>
            </w:r>
          </w:p>
        </w:tc>
      </w:tr>
      <w:tr>
        <w:trPr>
          <w:trHeight w:val="223"/>
        </w:trPr>
        <w:tc>
          <w:tcPr>
            <w:tcW w:w="32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2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163,968</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168,165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513,832</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498,633</w:t>
            </w:r>
          </w:p>
        </w:tc>
      </w:tr>
      <w:tr>
        <w:trPr>
          <w:trHeight w:val="20"/>
        </w:trPr>
        <w:tc>
          <w:tcPr>
            <w:tcW w:w="3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340" w:type="dxa"/>
            <w:vAlign w:val="bottom"/>
          </w:tcPr>
          <w:p>
            <w:pPr>
              <w:spacing w:after="0"/>
              <w:rPr>
                <w:sz w:val="24"/>
                <w:szCs w:val="24"/>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w w:val="97"/>
              </w:rPr>
              <w:t>Revenue by revenue type and by geography is as follows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2"/>
              </w:rPr>
              <w:t>Three Months Ended April 30, 2021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89"/>
              </w:rPr>
              <w:t>Subscription</w:t>
            </w:r>
          </w:p>
        </w:tc>
        <w:tc>
          <w:tcPr>
            <w:tcW w:w="260" w:type="dxa"/>
            <w:vAlign w:val="bottom"/>
          </w:tcPr>
          <w:p>
            <w:pPr>
              <w:spacing w:after="0"/>
              <w:rPr>
                <w:sz w:val="15"/>
                <w:szCs w:val="15"/>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License</w:t>
            </w:r>
          </w:p>
        </w:tc>
        <w:tc>
          <w:tcPr>
            <w:tcW w:w="260" w:type="dxa"/>
            <w:vAlign w:val="bottom"/>
          </w:tcPr>
          <w:p>
            <w:pPr>
              <w:spacing w:after="0"/>
              <w:rPr>
                <w:sz w:val="15"/>
                <w:szCs w:val="15"/>
                <w:color w:val="auto"/>
              </w:rPr>
            </w:pPr>
          </w:p>
        </w:tc>
        <w:tc>
          <w:tcPr>
            <w:tcW w:w="1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Services</w:t>
            </w:r>
          </w:p>
        </w:tc>
        <w:tc>
          <w:tcPr>
            <w:tcW w:w="300" w:type="dxa"/>
            <w:vAlign w:val="bottom"/>
          </w:tcPr>
          <w:p>
            <w:pPr>
              <w:spacing w:after="0"/>
              <w:rPr>
                <w:sz w:val="15"/>
                <w:szCs w:val="15"/>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00" w:type="dxa"/>
            <w:vAlign w:val="bottom"/>
            <w:gridSpan w:val="3"/>
            <w:vMerge w:val="restart"/>
          </w:tcPr>
          <w:p>
            <w:pPr>
              <w:ind w:left="20"/>
              <w:spacing w:after="0"/>
              <w:rPr>
                <w:sz w:val="20"/>
                <w:szCs w:val="20"/>
                <w:color w:val="auto"/>
              </w:rPr>
            </w:pPr>
            <w:r>
              <w:rPr>
                <w:rFonts w:ascii="Arial" w:cs="Arial" w:eastAsia="Arial" w:hAnsi="Arial"/>
                <w:sz w:val="18"/>
                <w:szCs w:val="18"/>
                <w:color w:val="auto"/>
              </w:rPr>
              <w:t>Geography:</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and support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109,955</w:t>
            </w:r>
          </w:p>
        </w:tc>
        <w:tc>
          <w:tcPr>
            <w:tcW w:w="0" w:type="dxa"/>
            <w:vAlign w:val="bottom"/>
          </w:tcPr>
          <w:p>
            <w:pPr>
              <w:spacing w:after="0"/>
              <w:rPr>
                <w:sz w:val="1"/>
                <w:szCs w:val="1"/>
                <w:color w:val="auto"/>
              </w:rPr>
            </w:pPr>
          </w:p>
        </w:tc>
      </w:tr>
      <w:tr>
        <w:trPr>
          <w:trHeight w:val="229"/>
        </w:trPr>
        <w:tc>
          <w:tcPr>
            <w:tcW w:w="6000" w:type="dxa"/>
            <w:vAlign w:val="bottom"/>
            <w:gridSpan w:val="3"/>
          </w:tcPr>
          <w:p>
            <w:pPr>
              <w:ind w:left="140"/>
              <w:spacing w:after="0"/>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9,525</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2,818</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16,679</w:t>
            </w:r>
          </w:p>
        </w:tc>
        <w:tc>
          <w:tcPr>
            <w:tcW w:w="0" w:type="dxa"/>
            <w:vAlign w:val="bottom"/>
          </w:tcPr>
          <w:p>
            <w:pPr>
              <w:spacing w:after="0"/>
              <w:rPr>
                <w:sz w:val="1"/>
                <w:szCs w:val="1"/>
                <w:color w:val="auto"/>
              </w:rPr>
            </w:pPr>
          </w:p>
        </w:tc>
      </w:tr>
      <w:tr>
        <w:trPr>
          <w:trHeight w:val="229"/>
        </w:trPr>
        <w:tc>
          <w:tcPr>
            <w:tcW w:w="6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Total Americas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53,324</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38,950</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36,806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129,080</w:t>
            </w:r>
          </w:p>
        </w:tc>
        <w:tc>
          <w:tcPr>
            <w:tcW w:w="0" w:type="dxa"/>
            <w:vAlign w:val="bottom"/>
          </w:tcPr>
          <w:p>
            <w:pPr>
              <w:spacing w:after="0"/>
              <w:rPr>
                <w:sz w:val="1"/>
                <w:szCs w:val="1"/>
                <w:color w:val="auto"/>
              </w:rPr>
            </w:pPr>
          </w:p>
        </w:tc>
      </w:tr>
      <w:tr>
        <w:trPr>
          <w:trHeight w:val="229"/>
        </w:trPr>
        <w:tc>
          <w:tcPr>
            <w:tcW w:w="6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EMEA</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EMEA</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APAC</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163,968</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gridSpan w:val="6"/>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Three Months Ended April 30, 2020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90"/>
              <w:spacing w:after="0" w:line="176" w:lineRule="exact"/>
              <w:rPr>
                <w:sz w:val="20"/>
                <w:szCs w:val="20"/>
                <w:color w:val="auto"/>
              </w:rPr>
            </w:pPr>
            <w:r>
              <w:rPr>
                <w:rFonts w:ascii="Arial" w:cs="Arial" w:eastAsia="Arial" w:hAnsi="Arial"/>
                <w:sz w:val="18"/>
                <w:szCs w:val="18"/>
                <w:b w:val="1"/>
                <w:bCs w:val="1"/>
                <w:color w:val="auto"/>
                <w:w w:val="92"/>
              </w:rPr>
              <w:t>Subscription</w:t>
            </w:r>
          </w:p>
        </w:tc>
        <w:tc>
          <w:tcPr>
            <w:tcW w:w="260" w:type="dxa"/>
            <w:vAlign w:val="bottom"/>
          </w:tcPr>
          <w:p>
            <w:pPr>
              <w:spacing w:after="0"/>
              <w:rPr>
                <w:sz w:val="15"/>
                <w:szCs w:val="15"/>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8"/>
              </w:rPr>
              <w:t>License</w:t>
            </w:r>
          </w:p>
        </w:tc>
        <w:tc>
          <w:tcPr>
            <w:tcW w:w="260" w:type="dxa"/>
            <w:vAlign w:val="bottom"/>
          </w:tcPr>
          <w:p>
            <w:pPr>
              <w:spacing w:after="0"/>
              <w:rPr>
                <w:sz w:val="15"/>
                <w:szCs w:val="15"/>
                <w:color w:val="auto"/>
              </w:rPr>
            </w:pPr>
          </w:p>
        </w:tc>
        <w:tc>
          <w:tcPr>
            <w:tcW w:w="10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4"/>
              </w:rPr>
              <w:t>Services</w:t>
            </w:r>
          </w:p>
        </w:tc>
        <w:tc>
          <w:tcPr>
            <w:tcW w:w="30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000" w:type="dxa"/>
            <w:vAlign w:val="bottom"/>
            <w:gridSpan w:val="3"/>
            <w:vMerge w:val="restart"/>
          </w:tcPr>
          <w:p>
            <w:pPr>
              <w:ind w:left="20"/>
              <w:spacing w:after="0"/>
              <w:rPr>
                <w:sz w:val="20"/>
                <w:szCs w:val="20"/>
                <w:color w:val="auto"/>
              </w:rPr>
            </w:pPr>
            <w:r>
              <w:rPr>
                <w:rFonts w:ascii="Arial" w:cs="Arial" w:eastAsia="Arial" w:hAnsi="Arial"/>
                <w:sz w:val="18"/>
                <w:szCs w:val="18"/>
                <w:color w:val="auto"/>
              </w:rPr>
              <w:t>Geography:</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6"/>
              </w:rPr>
              <w:t>and support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33,528</w:t>
            </w:r>
          </w:p>
        </w:tc>
        <w:tc>
          <w:tcPr>
            <w:tcW w:w="2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107,194</w:t>
            </w:r>
          </w:p>
        </w:tc>
        <w:tc>
          <w:tcPr>
            <w:tcW w:w="0" w:type="dxa"/>
            <w:vAlign w:val="bottom"/>
          </w:tcPr>
          <w:p>
            <w:pPr>
              <w:spacing w:after="0"/>
              <w:rPr>
                <w:sz w:val="1"/>
                <w:szCs w:val="1"/>
                <w:color w:val="auto"/>
              </w:rPr>
            </w:pPr>
          </w:p>
        </w:tc>
      </w:tr>
      <w:tr>
        <w:trPr>
          <w:trHeight w:val="230"/>
        </w:trPr>
        <w:tc>
          <w:tcPr>
            <w:tcW w:w="6000" w:type="dxa"/>
            <w:vAlign w:val="bottom"/>
            <w:gridSpan w:val="3"/>
          </w:tcPr>
          <w:p>
            <w:pPr>
              <w:ind w:left="140"/>
              <w:spacing w:after="0"/>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4,474</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16,559</w:t>
            </w:r>
          </w:p>
        </w:tc>
        <w:tc>
          <w:tcPr>
            <w:tcW w:w="0" w:type="dxa"/>
            <w:vAlign w:val="bottom"/>
          </w:tcPr>
          <w:p>
            <w:pPr>
              <w:spacing w:after="0"/>
              <w:rPr>
                <w:sz w:val="1"/>
                <w:szCs w:val="1"/>
                <w:color w:val="auto"/>
              </w:rPr>
            </w:pPr>
          </w:p>
        </w:tc>
      </w:tr>
      <w:tr>
        <w:trPr>
          <w:trHeight w:val="229"/>
        </w:trPr>
        <w:tc>
          <w:tcPr>
            <w:tcW w:w="6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Total Americas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39,861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44,519</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42,139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126,519</w:t>
            </w:r>
          </w:p>
        </w:tc>
        <w:tc>
          <w:tcPr>
            <w:tcW w:w="0" w:type="dxa"/>
            <w:vAlign w:val="bottom"/>
          </w:tcPr>
          <w:p>
            <w:pPr>
              <w:spacing w:after="0"/>
              <w:rPr>
                <w:sz w:val="1"/>
                <w:szCs w:val="1"/>
                <w:color w:val="auto"/>
              </w:rPr>
            </w:pPr>
          </w:p>
        </w:tc>
      </w:tr>
      <w:tr>
        <w:trPr>
          <w:trHeight w:val="230"/>
        </w:trPr>
        <w:tc>
          <w:tcPr>
            <w:tcW w:w="6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EMEA</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22,179</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EMEA</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29,399</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APAC</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63,104</w:t>
            </w:r>
          </w:p>
        </w:tc>
        <w:tc>
          <w:tcPr>
            <w:tcW w:w="26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168,165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2"/>
              </w:rPr>
              <w:t>Nine Months Ended April 30, 2021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0"/>
              <w:spacing w:after="0" w:line="176" w:lineRule="exact"/>
              <w:rPr>
                <w:sz w:val="20"/>
                <w:szCs w:val="20"/>
                <w:color w:val="auto"/>
              </w:rPr>
            </w:pPr>
            <w:r>
              <w:rPr>
                <w:rFonts w:ascii="Arial" w:cs="Arial" w:eastAsia="Arial" w:hAnsi="Arial"/>
                <w:sz w:val="18"/>
                <w:szCs w:val="18"/>
                <w:b w:val="1"/>
                <w:bCs w:val="1"/>
                <w:color w:val="auto"/>
                <w:w w:val="89"/>
              </w:rPr>
              <w:t>Subscription</w:t>
            </w:r>
          </w:p>
        </w:tc>
        <w:tc>
          <w:tcPr>
            <w:tcW w:w="280" w:type="dxa"/>
            <w:vAlign w:val="bottom"/>
          </w:tcPr>
          <w:p>
            <w:pPr>
              <w:spacing w:after="0"/>
              <w:rPr>
                <w:sz w:val="15"/>
                <w:szCs w:val="15"/>
                <w:color w:val="auto"/>
              </w:rPr>
            </w:pP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License</w:t>
            </w:r>
          </w:p>
        </w:tc>
        <w:tc>
          <w:tcPr>
            <w:tcW w:w="240" w:type="dxa"/>
            <w:vAlign w:val="bottom"/>
          </w:tcPr>
          <w:p>
            <w:pPr>
              <w:spacing w:after="0"/>
              <w:rPr>
                <w:sz w:val="15"/>
                <w:szCs w:val="15"/>
                <w:color w:val="auto"/>
              </w:rPr>
            </w:pPr>
          </w:p>
        </w:tc>
        <w:tc>
          <w:tcPr>
            <w:tcW w:w="1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Services</w:t>
            </w:r>
          </w:p>
        </w:tc>
        <w:tc>
          <w:tcPr>
            <w:tcW w:w="32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54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2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and support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329,903</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Canada</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24,529</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22,177</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54,832</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 Americas</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149,431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139,147</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104,614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393,192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EMEA</w:t>
            </w:r>
          </w:p>
        </w:tc>
        <w:tc>
          <w:tcPr>
            <w:tcW w:w="2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16,148</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52,630</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EMEA</w:t>
            </w:r>
          </w:p>
        </w:tc>
        <w:tc>
          <w:tcPr>
            <w:tcW w:w="2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76,837</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APAC</w:t>
            </w:r>
          </w:p>
        </w:tc>
        <w:tc>
          <w:tcPr>
            <w:tcW w:w="2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23,093</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43,803</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w:t>
            </w:r>
          </w:p>
        </w:tc>
        <w:tc>
          <w:tcPr>
            <w:tcW w:w="2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182,365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194,132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137,335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513,832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5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2"/>
              </w:rPr>
              <w:t>Nine Months Ended April 30, 2020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0"/>
              <w:spacing w:after="0" w:line="176" w:lineRule="exact"/>
              <w:rPr>
                <w:sz w:val="20"/>
                <w:szCs w:val="20"/>
                <w:color w:val="auto"/>
              </w:rPr>
            </w:pPr>
            <w:r>
              <w:rPr>
                <w:rFonts w:ascii="Arial" w:cs="Arial" w:eastAsia="Arial" w:hAnsi="Arial"/>
                <w:sz w:val="18"/>
                <w:szCs w:val="18"/>
                <w:b w:val="1"/>
                <w:bCs w:val="1"/>
                <w:color w:val="auto"/>
                <w:w w:val="89"/>
              </w:rPr>
              <w:t>Subscription</w:t>
            </w:r>
          </w:p>
        </w:tc>
        <w:tc>
          <w:tcPr>
            <w:tcW w:w="280" w:type="dxa"/>
            <w:vAlign w:val="bottom"/>
          </w:tcPr>
          <w:p>
            <w:pPr>
              <w:spacing w:after="0"/>
              <w:rPr>
                <w:sz w:val="15"/>
                <w:szCs w:val="15"/>
                <w:color w:val="auto"/>
              </w:rPr>
            </w:pP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License</w:t>
            </w:r>
          </w:p>
        </w:tc>
        <w:tc>
          <w:tcPr>
            <w:tcW w:w="240" w:type="dxa"/>
            <w:vAlign w:val="bottom"/>
          </w:tcPr>
          <w:p>
            <w:pPr>
              <w:spacing w:after="0"/>
              <w:rPr>
                <w:sz w:val="15"/>
                <w:szCs w:val="15"/>
                <w:color w:val="auto"/>
              </w:rPr>
            </w:pPr>
          </w:p>
        </w:tc>
        <w:tc>
          <w:tcPr>
            <w:tcW w:w="1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Services</w:t>
            </w:r>
          </w:p>
        </w:tc>
        <w:tc>
          <w:tcPr>
            <w:tcW w:w="32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and support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312,032</w:t>
            </w:r>
          </w:p>
        </w:tc>
        <w:tc>
          <w:tcPr>
            <w:tcW w:w="0" w:type="dxa"/>
            <w:vAlign w:val="bottom"/>
          </w:tcPr>
          <w:p>
            <w:pPr>
              <w:spacing w:after="0"/>
              <w:rPr>
                <w:sz w:val="1"/>
                <w:szCs w:val="1"/>
                <w:color w:val="auto"/>
              </w:rPr>
            </w:pPr>
          </w:p>
        </w:tc>
      </w:tr>
      <w:tr>
        <w:trPr>
          <w:trHeight w:val="229"/>
        </w:trPr>
        <w:tc>
          <w:tcPr>
            <w:tcW w:w="6000" w:type="dxa"/>
            <w:vAlign w:val="bottom"/>
          </w:tcPr>
          <w:p>
            <w:pPr>
              <w:ind w:left="14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13,530</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27,830</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45,560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color w:val="auto"/>
              </w:rPr>
              <w:t>Total Americas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118,460</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129,614</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121,538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369,612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20,056</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29,583</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48,067</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EMEA</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35,327</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77,650</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APAC</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51,371</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149,353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193,987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155,293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498,633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country or region, other than those presented above, accounted for more than 10% of revenue during the three and nine months ended April 30, 2021 and 2020.</w:t>
      </w: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Contract - Related Balance Sheet Amounts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Amounts related to customer contract-related arrangements are included in the condensed consolidated balance sheets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April 30, 2021</w:t>
            </w:r>
          </w:p>
        </w:tc>
        <w:tc>
          <w:tcPr>
            <w:tcW w:w="280" w:type="dxa"/>
            <w:vAlign w:val="bottom"/>
          </w:tcPr>
          <w:p>
            <w:pPr>
              <w:spacing w:after="0"/>
              <w:rPr>
                <w:sz w:val="20"/>
                <w:szCs w:val="20"/>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accounts receivable, net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132,115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84,228</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Contract costs, net</w:t>
            </w:r>
          </w:p>
        </w:tc>
        <w:tc>
          <w:tcPr>
            <w:tcW w:w="1940" w:type="dxa"/>
            <w:vAlign w:val="bottom"/>
          </w:tcPr>
          <w:p>
            <w:pPr>
              <w:jc w:val="right"/>
              <w:spacing w:after="0"/>
              <w:rPr>
                <w:sz w:val="20"/>
                <w:szCs w:val="20"/>
                <w:color w:val="auto"/>
              </w:rPr>
            </w:pPr>
            <w:r>
              <w:rPr>
                <w:rFonts w:ascii="Arial" w:cs="Arial" w:eastAsia="Arial" w:hAnsi="Arial"/>
                <w:sz w:val="18"/>
                <w:szCs w:val="18"/>
                <w:color w:val="auto"/>
              </w:rPr>
              <w:t>35,220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34,809</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132,996</w:t>
            </w:r>
          </w:p>
        </w:tc>
      </w:tr>
    </w:tbl>
    <w:p>
      <w:pPr>
        <w:spacing w:after="0" w:line="200" w:lineRule="exact"/>
        <w:rPr>
          <w:sz w:val="20"/>
          <w:szCs w:val="20"/>
          <w:color w:val="auto"/>
        </w:rPr>
      </w:pPr>
    </w:p>
    <w:p>
      <w:pPr>
        <w:spacing w:after="0" w:line="272" w:lineRule="exact"/>
        <w:rPr>
          <w:sz w:val="20"/>
          <w:szCs w:val="20"/>
          <w:color w:val="auto"/>
        </w:rPr>
      </w:pPr>
    </w:p>
    <w:p>
      <w:pPr>
        <w:ind w:left="340" w:right="1840"/>
        <w:spacing w:after="0" w:line="422" w:lineRule="auto"/>
        <w:rPr>
          <w:sz w:val="20"/>
          <w:szCs w:val="20"/>
          <w:color w:val="auto"/>
        </w:rPr>
      </w:pPr>
      <w:r>
        <w:rPr>
          <w:rFonts w:ascii="Arial" w:cs="Arial" w:eastAsia="Arial" w:hAnsi="Arial"/>
          <w:sz w:val="18"/>
          <w:szCs w:val="18"/>
          <w:color w:val="auto"/>
        </w:rPr>
        <w:t xml:space="preserve">As of April 30, 2021 and July 31, 2020, there was no allowance for credit losses associated with unbilled accounts receivable. </w:t>
      </w:r>
      <w:r>
        <w:rPr>
          <w:rFonts w:ascii="Arial" w:cs="Arial" w:eastAsia="Arial" w:hAnsi="Arial"/>
          <w:sz w:val="18"/>
          <w:szCs w:val="18"/>
          <w:i w:val="1"/>
          <w:iCs w:val="1"/>
          <w:color w:val="auto"/>
        </w:rPr>
        <w:t>Contract costs</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current portion of contract costs in the amount of $11.1 million and $9.6 million is included in prepaid and other current assets in the Company’s condensed consolidated balance sheets as of April 30, 2021 and July 31, 2020, respectively. The non-current portion of contract costs in the amount of $24.1 million and $25.2 million is included in other assets in the Company’s condensed consolidated balance sheets as of April 30, 2021 and July 31, 2020, respectively. The Company amortized $3.1 million and $2.2 million of contract costs during the three months ended April 30, 2021 and 2020, respectively, and $8.5 million and $5.6 million during the nine months ended April 30, 2021 and April 30, 2020, respectively.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revenue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nine months ended April 30, 2021, the Company recognized revenue of approximately $23.5 million and $106.1 million, respectively, from the Company’s deferred revenue balance reported as of July 31, 2020.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amount of consideration allocated to performance obligations either not satisfied or partially satisfied was approximately $596 million as of April 30, 2021. Subscription services are typically satisfied over three to five years, support services are generally satisfied within one year, and professional services are typically satisfied within one year. Professional services under time and material contracts are not included in the performance obligations calculation as these arrangements can be cancelled at any time.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investments within cash equivalents and investments consist of the following (in thousands):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4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April 30, 2021</w:t>
            </w: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Amortized Cost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Unrealized Gains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3"/>
              </w:rPr>
              <w:t>Unrealized Losses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140"/>
              <w:spacing w:after="0" w:line="169" w:lineRule="exact"/>
              <w:rPr>
                <w:sz w:val="20"/>
                <w:szCs w:val="20"/>
                <w:color w:val="auto"/>
              </w:rPr>
            </w:pPr>
            <w:r>
              <w:rPr>
                <w:rFonts w:ascii="Arial" w:cs="Arial" w:eastAsia="Arial" w:hAnsi="Arial"/>
                <w:sz w:val="18"/>
                <w:szCs w:val="18"/>
                <w:b w:val="1"/>
                <w:bCs w:val="1"/>
                <w:color w:val="auto"/>
                <w:w w:val="91"/>
              </w:rPr>
              <w:t>Estimated Fair</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Commercial paper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289,226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U.S. Government bonds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120,493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Foreign government bonds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Certificates of deposit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97,055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97,055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Strategic convertible debt investment*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1,175,605</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1,176,588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2"/>
                <w:szCs w:val="12"/>
                <w:color w:val="auto"/>
              </w:rPr>
              <w:t>*At original cost</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July 31, 2020</w:t>
            </w: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Amortized Cost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Unrealized Gains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1"/>
              </w:rPr>
              <w:t>Unrealized Losses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1"/>
              </w:rPr>
              <w:t>Estimated Fair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242,153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Commercial paper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222,578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U.S. Government bonds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68,332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Certificates of deposit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56,296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Strategic convertible debt investment*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1,354,632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*At original cost</w:t>
      </w:r>
    </w:p>
    <w:p>
      <w:pPr>
        <w:spacing w:after="0" w:line="38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does not consider any portion of the unrealized losses at April 30, 2021 to be credit losses. The Company has recorded the securities at fair value in its condensed consolidated balance sheets, with unrealized gains and losses reported as a component of accumulated other comprehensive income (loss). The amount of realized gains and losses reclassified into earnings are based on the specific identification of the securities sold. The realized gains and losses from sales of securities are presented in the condensed consolidated statements of comprehensive income (loss).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contractual maturities of the Company’s available-for-sale investments measured at fair value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April 30, 2021</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Less Than 12 Months</w:t>
            </w: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12 Months or Greater</w:t>
            </w:r>
          </w:p>
        </w:tc>
        <w:tc>
          <w:tcPr>
            <w:tcW w:w="440" w:type="dxa"/>
            <w:vAlign w:val="bottom"/>
          </w:tcPr>
          <w:p>
            <w:pPr>
              <w:spacing w:after="0"/>
              <w:rPr>
                <w:sz w:val="19"/>
                <w:szCs w:val="19"/>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rPr>
              <w:t>Total</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132,787</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289,226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289,226</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366,221</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118,252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120,594</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40,917</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23,231</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97,055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97,055</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Strategic convertible debt investment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47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1,176,588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applies the three-level valuation hierarchy when measuring the fair value of certain assets and liabilities: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04"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Level 3—Unobservable inputs that are supported by little or no market activity, which require the Company to develop its own assumptions.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Available-for-sale investments</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summarize the Company’s available-for-sale investments measured at fair value, by level within the fair value hierarchy (in thousands):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2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803"/>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rPr>
              <w:t>April 30, 2021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9"/>
                <w:szCs w:val="19"/>
                <w:color w:val="auto"/>
              </w:rPr>
            </w:pPr>
          </w:p>
        </w:tc>
      </w:tr>
      <w:tr>
        <w:trPr>
          <w:trHeight w:val="209"/>
        </w:trPr>
        <w:tc>
          <w:tcPr>
            <w:tcW w:w="4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68,338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68,338</w:t>
            </w:r>
          </w:p>
        </w:tc>
        <w:tc>
          <w:tcPr>
            <w:tcW w:w="560" w:type="dxa"/>
            <w:vAlign w:val="bottom"/>
          </w:tcPr>
          <w:p>
            <w:pPr>
              <w:spacing w:after="0"/>
              <w:rPr>
                <w:sz w:val="19"/>
                <w:szCs w:val="19"/>
                <w:color w:val="auto"/>
              </w:rPr>
            </w:pPr>
          </w:p>
        </w:tc>
      </w:tr>
      <w:tr>
        <w:trPr>
          <w:trHeight w:val="230"/>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560" w:type="dxa"/>
            <w:vAlign w:val="bottom"/>
          </w:tcPr>
          <w:p>
            <w:pPr>
              <w:spacing w:after="0"/>
              <w:rPr>
                <w:sz w:val="19"/>
                <w:szCs w:val="19"/>
                <w:color w:val="auto"/>
              </w:rPr>
            </w:pPr>
          </w:p>
        </w:tc>
      </w:tr>
      <w:tr>
        <w:trPr>
          <w:trHeight w:val="223"/>
        </w:trPr>
        <w:tc>
          <w:tcPr>
            <w:tcW w:w="45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cash equivalents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103,872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68,338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172,210</w:t>
            </w:r>
          </w:p>
        </w:tc>
        <w:tc>
          <w:tcPr>
            <w:tcW w:w="560" w:type="dxa"/>
            <w:vAlign w:val="bottom"/>
          </w:tcPr>
          <w:p>
            <w:pPr>
              <w:spacing w:after="0"/>
              <w:rPr>
                <w:sz w:val="19"/>
                <w:szCs w:val="19"/>
                <w:color w:val="auto"/>
              </w:rPr>
            </w:pPr>
          </w:p>
        </w:tc>
      </w:tr>
      <w:tr>
        <w:trPr>
          <w:trHeight w:val="230"/>
        </w:trPr>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113,940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113,940</w:t>
            </w:r>
          </w:p>
        </w:tc>
        <w:tc>
          <w:tcPr>
            <w:tcW w:w="560" w:type="dxa"/>
            <w:vAlign w:val="bottom"/>
          </w:tcPr>
          <w:p>
            <w:pPr>
              <w:spacing w:after="0"/>
              <w:rPr>
                <w:sz w:val="19"/>
                <w:szCs w:val="19"/>
                <w:color w:val="auto"/>
              </w:rPr>
            </w:pP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220,888</w:t>
            </w:r>
          </w:p>
        </w:tc>
        <w:tc>
          <w:tcPr>
            <w:tcW w:w="560" w:type="dxa"/>
            <w:vAlign w:val="bottom"/>
          </w:tcPr>
          <w:p>
            <w:pPr>
              <w:spacing w:after="0"/>
              <w:rPr>
                <w:sz w:val="19"/>
                <w:szCs w:val="19"/>
                <w:color w:val="auto"/>
              </w:rPr>
            </w:pPr>
          </w:p>
        </w:tc>
      </w:tr>
      <w:tr>
        <w:trPr>
          <w:trHeight w:val="230"/>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225,561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225,561</w:t>
            </w:r>
          </w:p>
        </w:tc>
        <w:tc>
          <w:tcPr>
            <w:tcW w:w="560" w:type="dxa"/>
            <w:vAlign w:val="bottom"/>
          </w:tcPr>
          <w:p>
            <w:pPr>
              <w:spacing w:after="0"/>
              <w:rPr>
                <w:sz w:val="19"/>
                <w:szCs w:val="19"/>
                <w:color w:val="auto"/>
              </w:rPr>
            </w:pP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118,252</w:t>
            </w:r>
          </w:p>
        </w:tc>
        <w:tc>
          <w:tcPr>
            <w:tcW w:w="560" w:type="dxa"/>
            <w:vAlign w:val="bottom"/>
          </w:tcPr>
          <w:p>
            <w:pPr>
              <w:spacing w:after="0"/>
              <w:rPr>
                <w:sz w:val="19"/>
                <w:szCs w:val="19"/>
                <w:color w:val="auto"/>
              </w:rPr>
            </w:pPr>
          </w:p>
        </w:tc>
      </w:tr>
      <w:tr>
        <w:trPr>
          <w:trHeight w:val="230"/>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10,195</w:t>
            </w:r>
          </w:p>
        </w:tc>
        <w:tc>
          <w:tcPr>
            <w:tcW w:w="560" w:type="dxa"/>
            <w:vAlign w:val="bottom"/>
          </w:tcPr>
          <w:p>
            <w:pPr>
              <w:spacing w:after="0"/>
              <w:rPr>
                <w:sz w:val="19"/>
                <w:szCs w:val="19"/>
                <w:color w:val="auto"/>
              </w:rPr>
            </w:pP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Foreign government bonds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560" w:type="dxa"/>
            <w:vAlign w:val="bottom"/>
          </w:tcPr>
          <w:p>
            <w:pPr>
              <w:spacing w:after="0"/>
              <w:rPr>
                <w:sz w:val="19"/>
                <w:szCs w:val="19"/>
                <w:color w:val="auto"/>
              </w:rPr>
            </w:pPr>
          </w:p>
        </w:tc>
      </w:tr>
      <w:tr>
        <w:trPr>
          <w:trHeight w:val="22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w:t>
            </w:r>
          </w:p>
        </w:tc>
        <w:tc>
          <w:tcPr>
            <w:tcW w:w="560" w:type="dxa"/>
            <w:vAlign w:val="bottom"/>
          </w:tcPr>
          <w:p>
            <w:pPr>
              <w:spacing w:after="0"/>
              <w:rPr>
                <w:sz w:val="19"/>
                <w:szCs w:val="19"/>
                <w:color w:val="auto"/>
              </w:rPr>
            </w:pPr>
          </w:p>
        </w:tc>
      </w:tr>
      <w:tr>
        <w:trPr>
          <w:trHeight w:val="230"/>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97,055</w:t>
            </w:r>
          </w:p>
        </w:tc>
        <w:tc>
          <w:tcPr>
            <w:tcW w:w="560" w:type="dxa"/>
            <w:vAlign w:val="bottom"/>
          </w:tcPr>
          <w:p>
            <w:pPr>
              <w:spacing w:after="0"/>
              <w:rPr>
                <w:sz w:val="19"/>
                <w:szCs w:val="19"/>
                <w:color w:val="auto"/>
              </w:rPr>
            </w:pPr>
          </w:p>
        </w:tc>
      </w:tr>
      <w:tr>
        <w:trPr>
          <w:trHeight w:val="223"/>
        </w:trPr>
        <w:tc>
          <w:tcPr>
            <w:tcW w:w="45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short-term investments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803,885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803,885</w:t>
            </w:r>
          </w:p>
        </w:tc>
        <w:tc>
          <w:tcPr>
            <w:tcW w:w="560" w:type="dxa"/>
            <w:vAlign w:val="bottom"/>
          </w:tcPr>
          <w:p>
            <w:pPr>
              <w:spacing w:after="0"/>
              <w:rPr>
                <w:sz w:val="19"/>
                <w:szCs w:val="19"/>
                <w:color w:val="auto"/>
              </w:rPr>
            </w:pPr>
          </w:p>
        </w:tc>
      </w:tr>
      <w:tr>
        <w:trPr>
          <w:trHeight w:val="230"/>
        </w:trPr>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18,847</w:t>
            </w:r>
          </w:p>
        </w:tc>
        <w:tc>
          <w:tcPr>
            <w:tcW w:w="560" w:type="dxa"/>
            <w:vAlign w:val="bottom"/>
          </w:tcPr>
          <w:p>
            <w:pPr>
              <w:spacing w:after="0"/>
              <w:rPr>
                <w:sz w:val="19"/>
                <w:szCs w:val="19"/>
                <w:color w:val="auto"/>
              </w:rPr>
            </w:pP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140,660</w:t>
            </w:r>
          </w:p>
        </w:tc>
        <w:tc>
          <w:tcPr>
            <w:tcW w:w="560" w:type="dxa"/>
            <w:vAlign w:val="bottom"/>
          </w:tcPr>
          <w:p>
            <w:pPr>
              <w:spacing w:after="0"/>
              <w:rPr>
                <w:sz w:val="19"/>
                <w:szCs w:val="19"/>
                <w:color w:val="auto"/>
              </w:rPr>
            </w:pPr>
          </w:p>
        </w:tc>
      </w:tr>
      <w:tr>
        <w:trPr>
          <w:trHeight w:val="230"/>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U.S. Government bonds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2,342</w:t>
            </w:r>
          </w:p>
        </w:tc>
        <w:tc>
          <w:tcPr>
            <w:tcW w:w="560" w:type="dxa"/>
            <w:vAlign w:val="bottom"/>
          </w:tcPr>
          <w:p>
            <w:pPr>
              <w:spacing w:after="0"/>
              <w:rPr>
                <w:sz w:val="19"/>
                <w:szCs w:val="19"/>
                <w:color w:val="auto"/>
              </w:rPr>
            </w:pP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30,722</w:t>
            </w:r>
          </w:p>
        </w:tc>
        <w:tc>
          <w:tcPr>
            <w:tcW w:w="560" w:type="dxa"/>
            <w:vAlign w:val="bottom"/>
          </w:tcPr>
          <w:p>
            <w:pPr>
              <w:spacing w:after="0"/>
              <w:rPr>
                <w:sz w:val="19"/>
                <w:szCs w:val="19"/>
                <w:color w:val="auto"/>
              </w:rPr>
            </w:pPr>
          </w:p>
        </w:tc>
      </w:tr>
      <w:tr>
        <w:trPr>
          <w:trHeight w:val="230"/>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Foreign government bonds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6,717</w:t>
            </w:r>
          </w:p>
        </w:tc>
        <w:tc>
          <w:tcPr>
            <w:tcW w:w="560" w:type="dxa"/>
            <w:vAlign w:val="bottom"/>
          </w:tcPr>
          <w:p>
            <w:pPr>
              <w:spacing w:after="0"/>
              <w:rPr>
                <w:sz w:val="19"/>
                <w:szCs w:val="19"/>
                <w:color w:val="auto"/>
              </w:rPr>
            </w:pP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60" w:type="dxa"/>
            <w:vAlign w:val="bottom"/>
          </w:tcPr>
          <w:p>
            <w:pPr>
              <w:spacing w:after="0"/>
              <w:rPr>
                <w:sz w:val="19"/>
                <w:szCs w:val="19"/>
                <w:color w:val="auto"/>
              </w:rPr>
            </w:pPr>
          </w:p>
        </w:tc>
      </w:tr>
      <w:tr>
        <w:trPr>
          <w:trHeight w:val="230"/>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Strategic convertible debt investment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r>
      <w:tr>
        <w:trPr>
          <w:trHeight w:val="223"/>
        </w:trPr>
        <w:tc>
          <w:tcPr>
            <w:tcW w:w="45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Total long-term investments</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199,493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200,493</w:t>
            </w:r>
          </w:p>
        </w:tc>
        <w:tc>
          <w:tcPr>
            <w:tcW w:w="56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1,071,716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1,176,588</w:t>
            </w:r>
          </w:p>
        </w:tc>
        <w:tc>
          <w:tcPr>
            <w:tcW w:w="560" w:type="dxa"/>
            <w:vAlign w:val="bottom"/>
          </w:tcPr>
          <w:p>
            <w:pPr>
              <w:spacing w:after="0"/>
              <w:rPr>
                <w:sz w:val="19"/>
                <w:szCs w:val="19"/>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993"/>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2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03"/>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July 31, 2020</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09"/>
        </w:trPr>
        <w:tc>
          <w:tcPr>
            <w:tcW w:w="4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60,584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60,584</w:t>
            </w:r>
          </w:p>
        </w:tc>
      </w:tr>
      <w:tr>
        <w:trPr>
          <w:trHeight w:val="230"/>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231,063</w:t>
            </w:r>
          </w:p>
        </w:tc>
      </w:tr>
      <w:tr>
        <w:trPr>
          <w:trHeight w:val="223"/>
        </w:trPr>
        <w:tc>
          <w:tcPr>
            <w:tcW w:w="45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cash equivalents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231,063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60,584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291,647</w:t>
            </w:r>
          </w:p>
        </w:tc>
      </w:tr>
      <w:tr>
        <w:trPr>
          <w:trHeight w:val="230"/>
        </w:trPr>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110,089</w:t>
            </w: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161,994</w:t>
            </w:r>
          </w:p>
        </w:tc>
      </w:tr>
      <w:tr>
        <w:trPr>
          <w:trHeight w:val="230"/>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358,175</w:t>
            </w: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63,773</w:t>
            </w:r>
          </w:p>
        </w:tc>
      </w:tr>
      <w:tr>
        <w:trPr>
          <w:trHeight w:val="230"/>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25,448</w:t>
            </w: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r>
      <w:tr>
        <w:trPr>
          <w:trHeight w:val="223"/>
        </w:trPr>
        <w:tc>
          <w:tcPr>
            <w:tcW w:w="45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short-term investments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766,527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766,527</w:t>
            </w:r>
          </w:p>
        </w:tc>
      </w:tr>
      <w:tr>
        <w:trPr>
          <w:trHeight w:val="229"/>
        </w:trPr>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132,185</w:t>
            </w:r>
          </w:p>
        </w:tc>
      </w:tr>
      <w:tr>
        <w:trPr>
          <w:trHeight w:val="230"/>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119,881</w:t>
            </w:r>
          </w:p>
        </w:tc>
      </w:tr>
      <w:tr>
        <w:trPr>
          <w:trHeight w:val="22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U.S. Government bonds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5,035</w:t>
            </w:r>
          </w:p>
        </w:tc>
      </w:tr>
      <w:tr>
        <w:trPr>
          <w:trHeight w:val="229"/>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33,422</w:t>
            </w:r>
          </w:p>
        </w:tc>
      </w:tr>
      <w:tr>
        <w:trPr>
          <w:trHeight w:val="230"/>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9,248</w:t>
            </w:r>
          </w:p>
        </w:tc>
      </w:tr>
      <w:tr>
        <w:trPr>
          <w:trHeight w:val="229"/>
        </w:trPr>
        <w:tc>
          <w:tcPr>
            <w:tcW w:w="45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Strategic convertible debt investment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5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long-term investments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299,771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300,771</w:t>
            </w:r>
          </w:p>
        </w:tc>
      </w:tr>
      <w:tr>
        <w:trPr>
          <w:trHeight w:val="254"/>
        </w:trPr>
        <w:tc>
          <w:tcPr>
            <w:tcW w:w="45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1,358,945</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Notes</w:t>
      </w:r>
    </w:p>
    <w:p>
      <w:pPr>
        <w:spacing w:after="0" w:line="9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fair value of the Convertible Senior Notes was $460.0 million at April 30, 2021 and $480.0 million at July 31, 2020.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on the Convertible Senior Notes, see Note 6.</w:t>
      </w:r>
    </w:p>
    <w:p>
      <w:pPr>
        <w:spacing w:after="0" w:line="200" w:lineRule="exact"/>
        <w:rPr>
          <w:sz w:val="20"/>
          <w:szCs w:val="20"/>
          <w:color w:val="auto"/>
        </w:rPr>
      </w:pPr>
    </w:p>
    <w:p>
      <w:pPr>
        <w:spacing w:after="0" w:line="237" w:lineRule="exact"/>
        <w:rPr>
          <w:sz w:val="20"/>
          <w:szCs w:val="20"/>
          <w:color w:val="auto"/>
        </w:rPr>
      </w:pPr>
    </w:p>
    <w:p>
      <w:pPr>
        <w:jc w:val="right"/>
        <w:ind w:left="340" w:right="8960" w:hanging="332"/>
        <w:spacing w:after="0" w:line="425" w:lineRule="auto"/>
        <w:tabs>
          <w:tab w:leader="none" w:pos="196"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Accounts Receivables, Net</w:t>
      </w:r>
    </w:p>
    <w:p>
      <w:pPr>
        <w:ind w:left="340"/>
        <w:spacing w:after="0"/>
        <w:rPr>
          <w:rFonts w:ascii="Arial" w:cs="Arial" w:eastAsia="Arial" w:hAnsi="Arial"/>
          <w:sz w:val="15"/>
          <w:szCs w:val="15"/>
          <w:b w:val="1"/>
          <w:bCs w:val="1"/>
          <w:color w:val="auto"/>
        </w:rPr>
      </w:pPr>
      <w:r>
        <w:rPr>
          <w:rFonts w:ascii="Arial" w:cs="Arial" w:eastAsia="Arial" w:hAnsi="Arial"/>
          <w:sz w:val="18"/>
          <w:szCs w:val="18"/>
          <w:color w:val="auto"/>
        </w:rPr>
        <w:t>Accounts receivable, net consists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April 30, 2021</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98"/>
              </w:rPr>
              <w:t>72,997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115,518</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 and revenue reserves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1"/>
              </w:rPr>
              <w:t>(1,212)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r>
      <w:tr>
        <w:trPr>
          <w:trHeight w:val="248"/>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98"/>
              </w:rPr>
              <w:t>71,785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Credit Losses and Revenue Reserves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to the allowance for credit losses and revenue reserves consists of the following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75513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5513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changes to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5513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5513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Net changes to revenue reserves</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Write-offs,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551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55130"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Balance as of April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29"/>
        </w:trPr>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40" w:space="720"/>
            <w:col w:w="2680"/>
          </w:cols>
          <w:pgMar w:left="320" w:top="287" w:right="339" w:bottom="1440" w:gutter="0" w:footer="0" w:header="0"/>
          <w:type w:val="continuous"/>
        </w:sectPr>
      </w:pP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April 30, 2021</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2020</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16,969</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Contract costs</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11,110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Deposits and other receivables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00" w:type="dxa"/>
            <w:vAlign w:val="bottom"/>
          </w:tcPr>
          <w:p>
            <w:pPr>
              <w:ind w:left="340"/>
              <w:spacing w:after="0"/>
              <w:rPr>
                <w:sz w:val="20"/>
                <w:szCs w:val="20"/>
                <w:color w:val="auto"/>
              </w:rPr>
            </w:pPr>
            <w:r>
              <w:rPr>
                <w:rFonts w:ascii="Arial" w:cs="Arial" w:eastAsia="Arial" w:hAnsi="Arial"/>
                <w:sz w:val="18"/>
                <w:szCs w:val="18"/>
                <w:color w:val="auto"/>
              </w:rPr>
              <w:t>Property and equipment consist of the following (in thousands):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April 30, 2021</w:t>
            </w:r>
          </w:p>
        </w:tc>
        <w:tc>
          <w:tcPr>
            <w:tcW w:w="320" w:type="dxa"/>
            <w:vAlign w:val="bottom"/>
          </w:tcPr>
          <w:p>
            <w:pPr>
              <w:spacing w:after="0"/>
              <w:rPr>
                <w:sz w:val="22"/>
                <w:szCs w:val="22"/>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2020</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Equipment and machinery</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46,165</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101,251</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(36,016)</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April 30, 2021 and July 31, 2020, no property and equipment was pledged as collateral. Depreciation expense, excluding the amortization of capitalized cloud software development costs, was $3.4 million and $3.8 million for the three months ended April 30, 2021 and 2020, respectively, and $10.5 million and $11.0 million for the nine months ended April 30, 2021 and 2020, respectively.</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capitalizes software development costs for technology applications that the Company will offer solely as cloud-based subscriptions, which is primarily comprised of compensation for employees who are directly associated with cloud software development projects. The Company begins amortizing the capitalized cloud software development costs once the technology applications are available for general release and amortizes those costs over the estimated lives of the applications, which typically ranges from three to five years. The Company recognized amortization expense in cost of subscription and support revenue on the condensed consolidated statements of operations of $0.9 million and $0.3 million during the three months ended April 30, 2021 and 2020, respectively, and $2.3 million and $0.8 million during the nine months ended April 30, 2021 and 2020, respectively.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has been no change to the $340.9 million carrying amount of goodwill since July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8" w:name="page29"/>
    <w:bookmarkEnd w:id="2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intangible assets are amortized over their estimated useful lives. Intangible assets consist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9"/>
              </w:rPr>
              <w:t>July 31, 2020</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7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Average Useful</w:t>
            </w:r>
          </w:p>
        </w:tc>
        <w:tc>
          <w:tcPr>
            <w:tcW w:w="240" w:type="dxa"/>
            <w:vAlign w:val="bottom"/>
          </w:tcPr>
          <w:p>
            <w:pPr>
              <w:spacing w:after="0"/>
              <w:rPr>
                <w:sz w:val="11"/>
                <w:szCs w:val="11"/>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Acquired technology</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93,600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84,547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73,191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20,409</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Customer contracts and related</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22,949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Partner relationships</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Order backlog</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117,559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was $3.9 million and $6.6 million for the three months ended April 30, 2021 and 2020, respectively, and was $16.6 million and $20.5 million for the nine months ended April 30, 2021 and 2020, respectively. The future amortization expense for existing intangible assets as of April 30, 2021, based on their current useful lives,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Fiscal year ending July 31,</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fiscal year)</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Other assets</w:t>
            </w:r>
          </w:p>
        </w:tc>
        <w:tc>
          <w:tcPr>
            <w:tcW w:w="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00" w:type="dxa"/>
            <w:vAlign w:val="bottom"/>
          </w:tcPr>
          <w:p>
            <w:pPr>
              <w:ind w:left="340"/>
              <w:spacing w:after="0"/>
              <w:rPr>
                <w:sz w:val="20"/>
                <w:szCs w:val="20"/>
                <w:color w:val="auto"/>
              </w:rPr>
            </w:pPr>
            <w:r>
              <w:rPr>
                <w:rFonts w:ascii="Arial" w:cs="Arial" w:eastAsia="Arial" w:hAnsi="Arial"/>
                <w:sz w:val="18"/>
                <w:szCs w:val="18"/>
                <w:color w:val="auto"/>
              </w:rPr>
              <w:t>Other assets consist of the following (in thousands):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b w:val="1"/>
                <w:bCs w:val="1"/>
                <w:color w:val="auto"/>
              </w:rPr>
              <w:t>April 30, 2021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b w:val="1"/>
                <w:bCs w:val="1"/>
                <w:color w:val="auto"/>
              </w:rPr>
              <w:t>July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Contract costs</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Strategic equity investments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The Company invested $2.0 million in new strategic equity investments during the nine months ended April 30, 2021. No impairment charges were recognized during the three and nine months ended April 30, 2021 while an impairment charge of $10.7 million was recognized during the third fiscal quarter of 2020 due to liquidity constraints in the economic environment that limited the investee's ability to raise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Employee Compensation</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Accrued employee compensation consists of the following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gridSpan w:val="3"/>
          </w:tcPr>
          <w:p>
            <w:pPr>
              <w:ind w:left="180"/>
              <w:spacing w:after="0"/>
              <w:rPr>
                <w:sz w:val="20"/>
                <w:szCs w:val="20"/>
                <w:color w:val="auto"/>
              </w:rPr>
            </w:pPr>
            <w:r>
              <w:rPr>
                <w:rFonts w:ascii="Arial" w:cs="Arial" w:eastAsia="Arial" w:hAnsi="Arial"/>
                <w:sz w:val="18"/>
                <w:szCs w:val="18"/>
                <w:b w:val="1"/>
                <w:bCs w:val="1"/>
                <w:color w:val="auto"/>
              </w:rPr>
              <w:t>April 30, 2021</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ind w:left="20"/>
              <w:spacing w:after="0"/>
              <w:rPr>
                <w:sz w:val="20"/>
                <w:szCs w:val="20"/>
                <w:color w:val="auto"/>
              </w:rPr>
            </w:pPr>
            <w:r>
              <w:rPr>
                <w:rFonts w:ascii="Arial" w:cs="Arial" w:eastAsia="Arial" w:hAnsi="Arial"/>
                <w:sz w:val="18"/>
                <w:szCs w:val="18"/>
                <w:color w:val="auto"/>
              </w:rPr>
              <w:t>Commission</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Salaries, payroll taxes, and benefits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Accrued employee compensation</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Other current liabilities consist of the following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3"/>
          </w:tcPr>
          <w:p>
            <w:pPr>
              <w:ind w:left="220"/>
              <w:spacing w:after="0"/>
              <w:rPr>
                <w:sz w:val="20"/>
                <w:szCs w:val="20"/>
                <w:color w:val="auto"/>
              </w:rPr>
            </w:pPr>
            <w:r>
              <w:rPr>
                <w:rFonts w:ascii="Arial" w:cs="Arial" w:eastAsia="Arial" w:hAnsi="Arial"/>
                <w:sz w:val="18"/>
                <w:szCs w:val="18"/>
                <w:b w:val="1"/>
                <w:bCs w:val="1"/>
                <w:color w:val="auto"/>
              </w:rPr>
              <w:t>April 30, 2021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jc w:val="right"/>
              <w:ind w:right="410"/>
              <w:spacing w:after="0"/>
              <w:rPr>
                <w:sz w:val="20"/>
                <w:szCs w:val="20"/>
                <w:color w:val="auto"/>
              </w:rPr>
            </w:pPr>
            <w:r>
              <w:rPr>
                <w:rFonts w:ascii="Arial" w:cs="Arial" w:eastAsia="Arial" w:hAnsi="Arial"/>
                <w:sz w:val="18"/>
                <w:szCs w:val="18"/>
                <w:b w:val="1"/>
                <w:bCs w:val="1"/>
                <w:color w:val="auto"/>
              </w:rPr>
              <w:t>July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ind w:left="20"/>
              <w:spacing w:after="0"/>
              <w:rPr>
                <w:sz w:val="20"/>
                <w:szCs w:val="20"/>
                <w:color w:val="auto"/>
              </w:rPr>
            </w:pPr>
            <w:r>
              <w:rPr>
                <w:rFonts w:ascii="Arial" w:cs="Arial" w:eastAsia="Arial" w:hAnsi="Arial"/>
                <w:sz w:val="18"/>
                <w:szCs w:val="18"/>
                <w:color w:val="auto"/>
              </w:rPr>
              <w:t>Accrued royalties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w:t>
      </w:r>
    </w:p>
    <w:p>
      <w:pPr>
        <w:spacing w:after="0" w:line="108"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following table sets forth the computation of the Company’s basic and diluted net income (loss) per share (in thousands,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7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5"/>
              </w:rPr>
              <w:t>Three Months Ended April 30,</w:t>
            </w:r>
          </w:p>
        </w:tc>
        <w:tc>
          <w:tcPr>
            <w:tcW w:w="2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Nine Months Ended April 30,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(31,038)</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Weighted average shares used in computing net income (loss) per share: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8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83,600,327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83,024,291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83,693,045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82,701,267</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weighted average shares of potential common stock were excluded from the computation of diluted net income (loss) per share for the periods presented because including them would have been anti-dilutive: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56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Three Months Ended April 30,</w:t>
            </w:r>
          </w:p>
        </w:tc>
        <w:tc>
          <w:tcPr>
            <w:tcW w:w="24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Nine Months Ended April 30,</w:t>
            </w:r>
          </w:p>
        </w:tc>
      </w:tr>
      <w:tr>
        <w:trPr>
          <w:trHeight w:val="223"/>
        </w:trPr>
        <w:tc>
          <w:tcPr>
            <w:tcW w:w="56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180,243</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160" w:type="dxa"/>
            <w:vAlign w:val="bottom"/>
          </w:tcPr>
          <w:p>
            <w:pPr>
              <w:jc w:val="right"/>
              <w:spacing w:after="0"/>
              <w:rPr>
                <w:sz w:val="20"/>
                <w:szCs w:val="20"/>
                <w:color w:val="auto"/>
              </w:rPr>
            </w:pPr>
            <w:r>
              <w:rPr>
                <w:rFonts w:ascii="Arial" w:cs="Arial" w:eastAsia="Arial" w:hAnsi="Arial"/>
                <w:sz w:val="18"/>
                <w:szCs w:val="18"/>
                <w:color w:val="auto"/>
              </w:rPr>
              <w:t>2,601,250</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1,751,083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2,781,956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2,589,517</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9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w:t>
      </w:r>
    </w:p>
    <w:p>
      <w:pPr>
        <w:sectPr>
          <w:pgSz w:w="11900" w:h="16838" w:orient="portrait"/>
          <w:cols w:equalWidth="0" w:num="1">
            <w:col w:w="11240"/>
          </w:cols>
          <w:pgMar w:left="320" w:top="270"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0" w:name="page31"/>
    <w:bookmarkEnd w:id="3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conversion spread on net income (loss) per share, if applicable. The conversion spread will have a dilutive impact on net income (loss) per share when the average market price of the Company’s common stock for a given period exceeds the conversion price for the Convertible Senior Notes of $113.75 per share.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Senior Notes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1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Convertible Senior Notes are unsecured obligations of the Company with interest payable semi-annually in arrears at a rate of 1.25% per year, on March 15th and September 15th of each year, beginning on September 15, 2018.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0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net carrying value of the liability component, unamortized debt discount and unamortized debt issuance costs of the Convertible Senior Notes was as follows (in thousands):</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2"/>
          </w:tcPr>
          <w:p>
            <w:pPr>
              <w:ind w:left="200"/>
              <w:spacing w:after="0"/>
              <w:rPr>
                <w:sz w:val="20"/>
                <w:szCs w:val="20"/>
                <w:color w:val="auto"/>
              </w:rPr>
            </w:pPr>
            <w:r>
              <w:rPr>
                <w:rFonts w:ascii="Arial" w:cs="Arial" w:eastAsia="Arial" w:hAnsi="Arial"/>
                <w:sz w:val="18"/>
                <w:szCs w:val="18"/>
                <w:b w:val="1"/>
                <w:bCs w:val="1"/>
                <w:color w:val="auto"/>
              </w:rPr>
              <w:t>April 30, 2021</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Less unamortized:</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discount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62,508</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r>
      <w:tr>
        <w:trPr>
          <w:trHeight w:val="248"/>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effective interest rate of the Convertible Senior Notes is 5.53%. The following table sets forth the interest expense recognized related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tbl>
      <w:tblPr>
        <w:tblLayout w:type="fixed"/>
        <w:tblInd w:w="340" w:type="dxa"/>
        <w:tblCellMar>
          <w:top w:w="0" w:type="dxa"/>
          <w:left w:w="0" w:type="dxa"/>
          <w:bottom w:w="0" w:type="dxa"/>
          <w:right w:w="0" w:type="dxa"/>
        </w:tblCellMar>
      </w:tblPr>
      <w:tr>
        <w:trPr>
          <w:trHeight w:val="207"/>
        </w:trPr>
        <w:tc>
          <w:tcPr>
            <w:tcW w:w="37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709"/>
        </w:trPr>
        <w:tc>
          <w:tcPr>
            <w:tcW w:w="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2480" w:type="dxa"/>
            <w:vAlign w:val="bottom"/>
          </w:tcPr>
          <w:p>
            <w:pPr>
              <w:spacing w:after="0"/>
              <w:rPr>
                <w:sz w:val="24"/>
                <w:szCs w:val="24"/>
                <w:color w:val="auto"/>
              </w:rPr>
            </w:pPr>
          </w:p>
        </w:tc>
        <w:tc>
          <w:tcPr>
            <w:tcW w:w="346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 April 30,</w:t>
            </w:r>
          </w:p>
        </w:tc>
        <w:tc>
          <w:tcPr>
            <w:tcW w:w="300" w:type="dxa"/>
            <w:vAlign w:val="bottom"/>
          </w:tcPr>
          <w:p>
            <w:pPr>
              <w:spacing w:after="0"/>
              <w:rPr>
                <w:sz w:val="24"/>
                <w:szCs w:val="24"/>
                <w:color w:val="auto"/>
              </w:rPr>
            </w:pPr>
          </w:p>
        </w:tc>
        <w:tc>
          <w:tcPr>
            <w:tcW w:w="30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April 30,</w:t>
            </w:r>
          </w:p>
        </w:tc>
      </w:tr>
      <w:tr>
        <w:trPr>
          <w:trHeight w:val="223"/>
        </w:trPr>
        <w:tc>
          <w:tcPr>
            <w:tcW w:w="80" w:type="dxa"/>
            <w:vAlign w:val="bottom"/>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8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9"/>
        </w:trPr>
        <w:tc>
          <w:tcPr>
            <w:tcW w:w="8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Amortization of debt discount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8,724</w:t>
            </w:r>
          </w:p>
        </w:tc>
      </w:tr>
      <w:tr>
        <w:trPr>
          <w:trHeight w:val="230"/>
        </w:trPr>
        <w:tc>
          <w:tcPr>
            <w:tcW w:w="8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23"/>
        </w:trPr>
        <w:tc>
          <w:tcPr>
            <w:tcW w:w="80" w:type="dxa"/>
            <w:vAlign w:val="bottom"/>
          </w:tcPr>
          <w:p>
            <w:pPr>
              <w:spacing w:after="0"/>
              <w:rPr>
                <w:sz w:val="19"/>
                <w:szCs w:val="19"/>
                <w:color w:val="auto"/>
              </w:rPr>
            </w:pP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13,348</w:t>
            </w:r>
          </w:p>
        </w:tc>
      </w:tr>
      <w:tr>
        <w:trPr>
          <w:trHeight w:val="21"/>
        </w:trPr>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Capped Call</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 purchased as a reduction of the Company’s additional paid-in capital in the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operating lease costs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46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 April 30,</w:t>
            </w:r>
          </w:p>
        </w:tc>
        <w:tc>
          <w:tcPr>
            <w:tcW w:w="320" w:type="dxa"/>
            <w:vAlign w:val="bottom"/>
          </w:tcPr>
          <w:p>
            <w:pPr>
              <w:spacing w:after="0"/>
              <w:rPr>
                <w:sz w:val="20"/>
                <w:szCs w:val="20"/>
                <w:color w:val="auto"/>
              </w:rPr>
            </w:pPr>
          </w:p>
        </w:tc>
        <w:tc>
          <w:tcPr>
            <w:tcW w:w="30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April 30,</w:t>
            </w:r>
          </w:p>
        </w:tc>
      </w:tr>
      <w:tr>
        <w:trPr>
          <w:trHeight w:val="223"/>
        </w:trPr>
        <w:tc>
          <w:tcPr>
            <w:tcW w:w="38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3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11,544</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4,031</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Net operating lease cost</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14,431</w:t>
            </w:r>
          </w:p>
        </w:tc>
      </w:tr>
      <w:tr>
        <w:trPr>
          <w:trHeight w:val="20"/>
        </w:trPr>
        <w:tc>
          <w:tcPr>
            <w:tcW w:w="3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8"/>
        <w:spacing w:after="0" w:line="325" w:lineRule="auto"/>
        <w:tabs>
          <w:tab w:leader="none" w:pos="132" w:val="left"/>
        </w:tabs>
        <w:numPr>
          <w:ilvl w:val="0"/>
          <w:numId w:val="9"/>
        </w:numPr>
        <w:rPr>
          <w:rFonts w:ascii="Arial" w:cs="Arial" w:eastAsia="Arial" w:hAnsi="Arial"/>
          <w:sz w:val="15"/>
          <w:szCs w:val="15"/>
          <w:color w:val="auto"/>
          <w:vertAlign w:val="superscript"/>
        </w:rPr>
      </w:pPr>
      <w:r>
        <w:rPr>
          <w:rFonts w:ascii="Arial" w:cs="Arial" w:eastAsia="Arial" w:hAnsi="Arial"/>
          <w:sz w:val="11"/>
          <w:szCs w:val="11"/>
          <w:color w:val="auto"/>
        </w:rPr>
        <w:t>Lease expense for leases with an initial term of 12 months or less is excluded from the table above and was $0.2 million and $0.3 million for the three months ended April 30, 2021 and 2020, respectively, and $0.8 million and $1.0 million for the nine months ended April 30, 2021 and 2020, respectively.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2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68"/>
        </w:trPr>
        <w:tc>
          <w:tcPr>
            <w:tcW w:w="34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Future operating lease payments as of April 30, 2021 were as follows (in thousands):</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0"/>
        </w:trPr>
        <w:tc>
          <w:tcPr>
            <w:tcW w:w="8600" w:type="dxa"/>
            <w:vAlign w:val="bottom"/>
            <w:gridSpan w:val="3"/>
          </w:tcPr>
          <w:p>
            <w:pPr>
              <w:ind w:left="20"/>
              <w:spacing w:after="0"/>
              <w:rPr>
                <w:sz w:val="20"/>
                <w:szCs w:val="20"/>
                <w:color w:val="auto"/>
              </w:rPr>
            </w:pPr>
            <w:r>
              <w:rPr>
                <w:rFonts w:ascii="Arial" w:cs="Arial" w:eastAsia="Arial" w:hAnsi="Arial"/>
                <w:sz w:val="18"/>
                <w:szCs w:val="18"/>
                <w:color w:val="auto"/>
              </w:rPr>
              <w:t>Fiscal Year Ending July 31,</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8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2021 (remainder of fiscal year)</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r>
      <w:tr>
        <w:trPr>
          <w:trHeight w:val="229"/>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2022</w:t>
            </w:r>
          </w:p>
        </w:tc>
        <w:tc>
          <w:tcPr>
            <w:tcW w:w="7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17,967</w:t>
            </w:r>
          </w:p>
        </w:tc>
      </w:tr>
      <w:tr>
        <w:trPr>
          <w:trHeight w:val="230"/>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7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16,726</w:t>
            </w:r>
          </w:p>
        </w:tc>
      </w:tr>
      <w:tr>
        <w:trPr>
          <w:trHeight w:val="229"/>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2024</w:t>
            </w:r>
          </w:p>
        </w:tc>
        <w:tc>
          <w:tcPr>
            <w:tcW w:w="7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16,632</w:t>
            </w:r>
          </w:p>
        </w:tc>
      </w:tr>
      <w:tr>
        <w:trPr>
          <w:trHeight w:val="229"/>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7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17,001</w:t>
            </w:r>
          </w:p>
        </w:tc>
      </w:tr>
      <w:tr>
        <w:trPr>
          <w:trHeight w:val="230"/>
        </w:trPr>
        <w:tc>
          <w:tcPr>
            <w:tcW w:w="86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86,022</w:t>
            </w:r>
          </w:p>
        </w:tc>
      </w:tr>
      <w:tr>
        <w:trPr>
          <w:trHeight w:val="223"/>
        </w:trPr>
        <w:tc>
          <w:tcPr>
            <w:tcW w:w="8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future lease payments</w:t>
            </w: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157,373</w:t>
            </w:r>
          </w:p>
        </w:tc>
      </w:tr>
      <w:tr>
        <w:trPr>
          <w:trHeight w:val="230"/>
        </w:trPr>
        <w:tc>
          <w:tcPr>
            <w:tcW w:w="8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imputed interest</w:t>
            </w:r>
          </w:p>
        </w:tc>
        <w:tc>
          <w:tcPr>
            <w:tcW w:w="7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(27,001)</w:t>
            </w:r>
          </w:p>
        </w:tc>
      </w:tr>
      <w:tr>
        <w:trPr>
          <w:trHeight w:val="248"/>
        </w:trPr>
        <w:tc>
          <w:tcPr>
            <w:tcW w:w="86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lease liability balance</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130,372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 (in thousands, except for lease term and discount rate):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2021</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2020</w:t>
            </w:r>
          </w:p>
        </w:tc>
      </w:tr>
      <w:tr>
        <w:trPr>
          <w:trHeight w:val="248"/>
        </w:trPr>
        <w:tc>
          <w:tcPr>
            <w:tcW w:w="6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103,797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10,936</w:t>
            </w:r>
          </w:p>
        </w:tc>
      </w:tr>
      <w:tr>
        <w:trPr>
          <w:trHeight w:val="229"/>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portion of lease liabilities</w:t>
            </w: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119,408</w:t>
            </w: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130,344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4.34 %</w:t>
            </w:r>
          </w:p>
        </w:tc>
      </w:tr>
    </w:tbl>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and non-cash information related to operating leases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April 30,</w:t>
            </w:r>
          </w:p>
        </w:tc>
        <w:tc>
          <w:tcPr>
            <w:tcW w:w="320" w:type="dxa"/>
            <w:vAlign w:val="bottom"/>
          </w:tcPr>
          <w:p>
            <w:pPr>
              <w:spacing w:after="0"/>
              <w:rPr>
                <w:sz w:val="20"/>
                <w:szCs w:val="20"/>
                <w:color w:val="auto"/>
              </w:rPr>
            </w:pPr>
          </w:p>
        </w:tc>
        <w:tc>
          <w:tcPr>
            <w:tcW w:w="30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April 30,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88"/>
              </w:rPr>
              <w:t>Operating lease assets obtained in exchange for lease</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6,437</w:t>
            </w:r>
          </w:p>
        </w:tc>
        <w:tc>
          <w:tcPr>
            <w:tcW w:w="8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fiscal 2021, the Company exercised early termination options of certain facility leases that resulted in a reduction of the associated operating lease assets and lease liabilities of approximately $3.1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has been no material change in the Company’s contractual obligations and commitments other than in the ordinary course of business since the Company’s fiscal year ended July 31, 2020.</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the Company is involved in various legal proceedings and receives claims, arising from the normal course of business activities. The Company has not recorded any accrual for claims as of April 30, 2021 or July 31, 2020.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3" w:name="page34"/>
    <w:bookmarkEnd w:id="3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not had to reimburse any of its customers for Losses related to indemnification provisions and no material claims against the Company were outstanding as of April 30, 2021 or July 31, 2020.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 and Shareholders’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Stock-based compensation expense related to stock options and Stock Awards is included in the Company’s condensed consolidated statements of operations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3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April 30,</w:t>
            </w:r>
          </w:p>
        </w:tc>
        <w:tc>
          <w:tcPr>
            <w:tcW w:w="280" w:type="dxa"/>
            <w:vAlign w:val="bottom"/>
          </w:tcPr>
          <w:p>
            <w:pPr>
              <w:spacing w:after="0"/>
              <w:rPr>
                <w:sz w:val="20"/>
                <w:szCs w:val="20"/>
                <w:color w:val="auto"/>
              </w:rPr>
            </w:pPr>
          </w:p>
        </w:tc>
        <w:tc>
          <w:tcPr>
            <w:tcW w:w="28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Nine Months Ended April 30,</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28,568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76,358</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impact of deferred stock-based compensation</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28,223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3"/>
              </w:rPr>
              <w:t>Stock-based compensation expense is included in the following</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categories: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subscription and support revenue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Cost of license revenue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services revenue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w:t>
            </w: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18,870</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28,223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unrecognized stock-based compensation expense as of April 30, 2021 related to stock options and Stock Awards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8"/>
              </w:rPr>
              <w:t>Unrecognized Expense</w:t>
            </w:r>
          </w:p>
        </w:tc>
        <w:tc>
          <w:tcPr>
            <w:tcW w:w="80" w:type="dxa"/>
            <w:vAlign w:val="bottom"/>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Expected Recognition</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3280" w:type="dxa"/>
            <w:vAlign w:val="bottom"/>
            <w:tcBorders>
              <w:bottom w:val="single" w:sz="8" w:color="CCEEFF"/>
            </w:tcBorders>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Awards</w:t>
            </w:r>
          </w:p>
        </w:tc>
        <w:tc>
          <w:tcPr>
            <w:tcW w:w="3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242,103</w:t>
            </w:r>
          </w:p>
        </w:tc>
        <w:tc>
          <w:tcPr>
            <w:tcW w:w="2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242,140</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32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9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rPr>
              <w:t>Stock Awards</w:t>
            </w:r>
          </w:p>
        </w:tc>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8920" w:type="dxa"/>
            <w:vAlign w:val="bottom"/>
            <w:gridSpan w:val="7"/>
          </w:tcPr>
          <w:p>
            <w:pPr>
              <w:spacing w:after="0"/>
              <w:rPr>
                <w:sz w:val="20"/>
                <w:szCs w:val="20"/>
                <w:color w:val="auto"/>
              </w:rPr>
            </w:pPr>
            <w:r>
              <w:rPr>
                <w:rFonts w:ascii="Arial" w:cs="Arial" w:eastAsia="Arial" w:hAnsi="Arial"/>
                <w:sz w:val="18"/>
                <w:szCs w:val="18"/>
                <w:color w:val="auto"/>
              </w:rPr>
              <w:t>A summary of the Company’s Stock Awards activity under the Company’s equity incentive plans is as follows: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4000" w:type="dxa"/>
            <w:vAlign w:val="bottom"/>
            <w:tcBorders>
              <w:bottom w:val="single" w:sz="8" w:color="auto"/>
            </w:tcBorders>
            <w:gridSpan w:val="5"/>
          </w:tcPr>
          <w:p>
            <w:pPr>
              <w:ind w:left="1860"/>
              <w:spacing w:after="0"/>
              <w:rPr>
                <w:sz w:val="20"/>
                <w:szCs w:val="20"/>
                <w:color w:val="auto"/>
              </w:rPr>
            </w:pPr>
            <w:r>
              <w:rPr>
                <w:rFonts w:ascii="Arial" w:cs="Arial" w:eastAsia="Arial" w:hAnsi="Arial"/>
                <w:sz w:val="18"/>
                <w:szCs w:val="18"/>
                <w:b w:val="1"/>
                <w:bCs w:val="1"/>
                <w:color w:val="auto"/>
                <w:w w:val="92"/>
              </w:rPr>
              <w:t>Stock Awards Outstanding</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Number of Stock</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4"/>
                <w:szCs w:val="14"/>
                <w:color w:val="auto"/>
              </w:rPr>
            </w:pPr>
          </w:p>
        </w:tc>
        <w:tc>
          <w:tcPr>
            <w:tcW w:w="1620" w:type="dxa"/>
            <w:vAlign w:val="bottom"/>
          </w:tcPr>
          <w:p>
            <w:pPr>
              <w:jc w:val="center"/>
              <w:ind w:right="15"/>
              <w:spacing w:after="0" w:line="169" w:lineRule="exact"/>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7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Value (in thousands)</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60" w:type="dxa"/>
            <w:vAlign w:val="bottom"/>
          </w:tcPr>
          <w:p>
            <w:pPr>
              <w:jc w:val="right"/>
              <w:ind w:right="90"/>
              <w:spacing w:after="0" w:line="162" w:lineRule="exact"/>
              <w:rPr>
                <w:sz w:val="20"/>
                <w:szCs w:val="20"/>
                <w:color w:val="auto"/>
              </w:rPr>
            </w:pPr>
            <w:r>
              <w:rPr>
                <w:rFonts w:ascii="Arial" w:cs="Arial" w:eastAsia="Arial" w:hAnsi="Arial"/>
                <w:sz w:val="18"/>
                <w:szCs w:val="18"/>
                <w:b w:val="1"/>
                <w:bCs w:val="1"/>
                <w:color w:val="auto"/>
                <w:w w:val="99"/>
              </w:rPr>
              <w:t>Awards Outstanding</w:t>
            </w:r>
          </w:p>
        </w:tc>
        <w:tc>
          <w:tcPr>
            <w:tcW w:w="80" w:type="dxa"/>
            <w:vAlign w:val="bottom"/>
          </w:tcPr>
          <w:p>
            <w:pPr>
              <w:spacing w:after="0"/>
              <w:rPr>
                <w:sz w:val="14"/>
                <w:szCs w:val="14"/>
                <w:color w:val="auto"/>
              </w:rPr>
            </w:pPr>
          </w:p>
        </w:tc>
        <w:tc>
          <w:tcPr>
            <w:tcW w:w="1960" w:type="dxa"/>
            <w:vAlign w:val="bottom"/>
            <w:gridSpan w:val="3"/>
          </w:tcPr>
          <w:p>
            <w:pPr>
              <w:jc w:val="center"/>
              <w:ind w:right="80"/>
              <w:spacing w:after="0" w:line="162" w:lineRule="exact"/>
              <w:rPr>
                <w:sz w:val="20"/>
                <w:szCs w:val="20"/>
                <w:color w:val="auto"/>
              </w:rPr>
            </w:pPr>
            <w:r>
              <w:rPr>
                <w:rFonts w:ascii="Arial" w:cs="Arial" w:eastAsia="Arial" w:hAnsi="Arial"/>
                <w:sz w:val="18"/>
                <w:szCs w:val="18"/>
                <w:b w:val="1"/>
                <w:bCs w:val="1"/>
                <w:color w:val="auto"/>
                <w:w w:val="93"/>
              </w:rPr>
              <w:t>Grant Date Fair Value</w:t>
            </w:r>
          </w:p>
        </w:tc>
        <w:tc>
          <w:tcPr>
            <w:tcW w:w="140" w:type="dxa"/>
            <w:vAlign w:val="bottom"/>
          </w:tcPr>
          <w:p>
            <w:pPr>
              <w:spacing w:after="0"/>
              <w:rPr>
                <w:sz w:val="14"/>
                <w:szCs w:val="14"/>
                <w:color w:val="auto"/>
              </w:rPr>
            </w:pPr>
          </w:p>
        </w:tc>
        <w:tc>
          <w:tcPr>
            <w:tcW w:w="1620" w:type="dxa"/>
            <w:vAlign w:val="bottom"/>
          </w:tcPr>
          <w:p>
            <w:pPr>
              <w:jc w:val="center"/>
              <w:ind w:right="55"/>
              <w:spacing w:after="0"/>
              <w:rPr>
                <w:sz w:val="20"/>
                <w:szCs w:val="20"/>
                <w:color w:val="auto"/>
              </w:rPr>
            </w:pPr>
            <w:r>
              <w:rPr>
                <w:rFonts w:ascii="Arial" w:cs="Arial" w:eastAsia="Arial" w:hAnsi="Arial"/>
                <w:sz w:val="12"/>
                <w:szCs w:val="12"/>
                <w:b w:val="1"/>
                <w:bCs w:val="1"/>
                <w:color w:val="auto"/>
                <w:w w:val="81"/>
              </w:rPr>
              <w:t>(1)</w:t>
            </w: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2,445,698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287,761</w:t>
            </w:r>
          </w:p>
        </w:tc>
        <w:tc>
          <w:tcPr>
            <w:tcW w:w="0" w:type="dxa"/>
            <w:vAlign w:val="bottom"/>
          </w:tcPr>
          <w:p>
            <w:pPr>
              <w:spacing w:after="0"/>
              <w:rPr>
                <w:sz w:val="1"/>
                <w:szCs w:val="1"/>
                <w:color w:val="auto"/>
              </w:rPr>
            </w:pPr>
          </w:p>
        </w:tc>
      </w:tr>
      <w:tr>
        <w:trPr>
          <w:trHeight w:val="229"/>
        </w:trPr>
        <w:tc>
          <w:tcPr>
            <w:tcW w:w="5260" w:type="dxa"/>
            <w:vAlign w:val="bottom"/>
            <w:gridSpan w:val="3"/>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1,283,516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112.01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99,794</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Canceled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(236,193)</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as of April 30, 2021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2,602,881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274,630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3"/>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Expected to vest as of April 30, 2021</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2,602,881</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106.58</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line="203" w:lineRule="exact"/>
              <w:rPr>
                <w:sz w:val="20"/>
                <w:szCs w:val="20"/>
                <w:color w:val="auto"/>
              </w:rPr>
            </w:pPr>
            <w:r>
              <w:rPr>
                <w:rFonts w:ascii="Arial" w:cs="Arial" w:eastAsia="Arial" w:hAnsi="Arial"/>
                <w:sz w:val="18"/>
                <w:szCs w:val="18"/>
                <w:color w:val="auto"/>
              </w:rPr>
              <w:t>274,630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firstLine="8"/>
        <w:spacing w:after="0" w:line="325" w:lineRule="auto"/>
        <w:tabs>
          <w:tab w:leader="none" w:pos="132"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Aggregate intrinsic value at each period end represents the total market value of Stock Awards at the Company’s closing stock price of $105.51 and $117.66 on April 30, 2021 and July 31, 2020, respectively. Aggregate intrinsic value for released Stock Awards represents the total market value of released Stock Awards at date of release.</w:t>
      </w:r>
    </w:p>
    <w:p>
      <w:pPr>
        <w:spacing w:after="0" w:line="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executives and employees of the Company received PSUs and TSR PSUs in addition to RSUs. PSUs awarded in September 2020 will vest over three years with 50% vesting annually over the three year period and the remaining 50% vesting at the end of the third year. The TSR PSUs are subject to total shareholder return rankings of the Company's common stock relative to the software companies in the S&amp;P Index for a specified period or periods, and vest at the end of three years. The Company recognized stock-based compensation related to these performance-based and market-based stock awards of $3.5 million and $2.3 million for the three months ended April 30, 2021 and 2020, respectively, and $10.5 million and $9.5 million for the nine months ended April 30, 2021 and 2020, respectively.</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Stock Options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Stock option activity under the Company’s equity incentive plans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Stock Options Outstanding</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Number of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140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19"/>
                <w:szCs w:val="19"/>
                <w:color w:val="auto"/>
              </w:rPr>
            </w:pPr>
          </w:p>
        </w:tc>
        <w:tc>
          <w:tcPr>
            <w:tcW w:w="142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0"/>
              </w:rPr>
              <w:t>Intrinsic Value</w:t>
            </w:r>
            <w:r>
              <w:rPr>
                <w:rFonts w:ascii="Arial" w:cs="Arial" w:eastAsia="Arial" w:hAnsi="Arial"/>
                <w:sz w:val="23"/>
                <w:szCs w:val="23"/>
                <w:b w:val="1"/>
                <w:bCs w:val="1"/>
                <w:color w:val="auto"/>
                <w:w w:val="90"/>
                <w:vertAlign w:val="superscript"/>
              </w:rPr>
              <w:t>(1)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4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as of April 30, 2021</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26,979</w:t>
            </w:r>
          </w:p>
        </w:tc>
        <w:tc>
          <w:tcPr>
            <w:tcW w:w="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17.00</w:t>
            </w:r>
          </w:p>
        </w:tc>
        <w:tc>
          <w:tcPr>
            <w:tcW w:w="1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April 30,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firstLine="8"/>
        <w:spacing w:after="0" w:line="325" w:lineRule="auto"/>
        <w:tabs>
          <w:tab w:leader="none" w:pos="132"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Aggregate intrinsic value at each period end represents the difference between the Company’s closing stock price of $105.51 and $117.66 on April 30, 2021 and July 31, 2020, respectively, and the exercise price of outstanding options. Aggregate intrinsic value for exercised options represents the difference between the Company’s stock price at date of exercise and the exercise price.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Awards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TSR PSUs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TSR PSUs is estimated at the date of grant using the Monte Carlo simulation model. There were no TSR PSUs granted during the three and nine months ended April 30, 2021 and the three months ended April 30, 2020. For the nine months ended April 30, 2020, the assumptions used in the Monte Carlo simulation model to estimate the fair value of TSR PSUs were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1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720" w:type="dxa"/>
            <w:vAlign w:val="bottom"/>
          </w:tcPr>
          <w:p>
            <w:pPr>
              <w:spacing w:after="0"/>
              <w:rPr>
                <w:sz w:val="17"/>
                <w:szCs w:val="17"/>
                <w:color w:val="auto"/>
              </w:rPr>
            </w:pPr>
          </w:p>
        </w:tc>
      </w:tr>
      <w:tr>
        <w:trPr>
          <w:trHeight w:val="61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9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29"/>
        </w:trPr>
        <w:tc>
          <w:tcPr>
            <w:tcW w:w="7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720" w:type="dxa"/>
            <w:vAlign w:val="bottom"/>
            <w:shd w:val="clear" w:color="auto" w:fill="CCEEFF"/>
          </w:tcPr>
          <w:p>
            <w:pPr>
              <w:jc w:val="center"/>
              <w:ind w:left="1830"/>
              <w:spacing w:after="0"/>
              <w:rPr>
                <w:sz w:val="20"/>
                <w:szCs w:val="20"/>
                <w:color w:val="auto"/>
              </w:rPr>
            </w:pPr>
            <w:r>
              <w:rPr>
                <w:rFonts w:ascii="Arial" w:cs="Arial" w:eastAsia="Arial" w:hAnsi="Arial"/>
                <w:sz w:val="18"/>
                <w:szCs w:val="18"/>
                <w:color w:val="auto"/>
                <w:w w:val="91"/>
              </w:rPr>
              <w:t>2.90</w:t>
            </w:r>
          </w:p>
        </w:tc>
      </w:tr>
      <w:tr>
        <w:trPr>
          <w:trHeight w:val="229"/>
        </w:trPr>
        <w:tc>
          <w:tcPr>
            <w:tcW w:w="7520" w:type="dxa"/>
            <w:vAlign w:val="bottom"/>
            <w:gridSpan w:val="3"/>
          </w:tcPr>
          <w:p>
            <w:pPr>
              <w:ind w:left="20"/>
              <w:spacing w:after="0"/>
              <w:rPr>
                <w:sz w:val="20"/>
                <w:szCs w:val="20"/>
                <w:color w:val="auto"/>
              </w:rPr>
            </w:pPr>
            <w:r>
              <w:rPr>
                <w:rFonts w:ascii="Arial" w:cs="Arial" w:eastAsia="Arial" w:hAnsi="Arial"/>
                <w:sz w:val="18"/>
                <w:szCs w:val="18"/>
                <w:color w:val="auto"/>
              </w:rPr>
              <w:t>Risk-free interest rate</w:t>
            </w:r>
          </w:p>
        </w:tc>
        <w:tc>
          <w:tcPr>
            <w:tcW w:w="3720" w:type="dxa"/>
            <w:vAlign w:val="bottom"/>
          </w:tcPr>
          <w:p>
            <w:pPr>
              <w:jc w:val="center"/>
              <w:ind w:left="1830"/>
              <w:spacing w:after="0"/>
              <w:rPr>
                <w:sz w:val="20"/>
                <w:szCs w:val="20"/>
                <w:color w:val="auto"/>
              </w:rPr>
            </w:pPr>
            <w:r>
              <w:rPr>
                <w:rFonts w:ascii="Arial" w:cs="Arial" w:eastAsia="Arial" w:hAnsi="Arial"/>
                <w:sz w:val="18"/>
                <w:szCs w:val="18"/>
                <w:color w:val="auto"/>
                <w:w w:val="87"/>
              </w:rPr>
              <w:t>1.5%</w:t>
            </w:r>
          </w:p>
        </w:tc>
      </w:tr>
      <w:tr>
        <w:trPr>
          <w:trHeight w:val="230"/>
        </w:trPr>
        <w:tc>
          <w:tcPr>
            <w:tcW w:w="7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volatility of the Company</w:t>
            </w:r>
          </w:p>
        </w:tc>
        <w:tc>
          <w:tcPr>
            <w:tcW w:w="3720" w:type="dxa"/>
            <w:vAlign w:val="bottom"/>
            <w:shd w:val="clear" w:color="auto" w:fill="CCEEFF"/>
          </w:tcPr>
          <w:p>
            <w:pPr>
              <w:jc w:val="center"/>
              <w:ind w:left="1830"/>
              <w:spacing w:after="0"/>
              <w:rPr>
                <w:sz w:val="20"/>
                <w:szCs w:val="20"/>
                <w:color w:val="auto"/>
              </w:rPr>
            </w:pPr>
            <w:r>
              <w:rPr>
                <w:rFonts w:ascii="Arial" w:cs="Arial" w:eastAsia="Arial" w:hAnsi="Arial"/>
                <w:sz w:val="18"/>
                <w:szCs w:val="18"/>
                <w:color w:val="auto"/>
                <w:w w:val="93"/>
              </w:rPr>
              <w:t>28.4%</w:t>
            </w:r>
          </w:p>
        </w:tc>
      </w:tr>
      <w:tr>
        <w:trPr>
          <w:trHeight w:val="229"/>
        </w:trPr>
        <w:tc>
          <w:tcPr>
            <w:tcW w:w="7520" w:type="dxa"/>
            <w:vAlign w:val="bottom"/>
            <w:gridSpan w:val="3"/>
          </w:tcPr>
          <w:p>
            <w:pPr>
              <w:ind w:left="20"/>
              <w:spacing w:after="0"/>
              <w:rPr>
                <w:sz w:val="20"/>
                <w:szCs w:val="20"/>
                <w:color w:val="auto"/>
              </w:rPr>
            </w:pPr>
            <w:r>
              <w:rPr>
                <w:rFonts w:ascii="Arial" w:cs="Arial" w:eastAsia="Arial" w:hAnsi="Arial"/>
                <w:sz w:val="18"/>
                <w:szCs w:val="18"/>
                <w:color w:val="auto"/>
              </w:rPr>
              <w:t>Average expected volatility of the peer companies in the S&amp;P Index</w:t>
            </w:r>
          </w:p>
        </w:tc>
        <w:tc>
          <w:tcPr>
            <w:tcW w:w="3720" w:type="dxa"/>
            <w:vAlign w:val="bottom"/>
          </w:tcPr>
          <w:p>
            <w:pPr>
              <w:jc w:val="center"/>
              <w:ind w:left="1830"/>
              <w:spacing w:after="0"/>
              <w:rPr>
                <w:sz w:val="20"/>
                <w:szCs w:val="20"/>
                <w:color w:val="auto"/>
              </w:rPr>
            </w:pPr>
            <w:r>
              <w:rPr>
                <w:rFonts w:ascii="Arial" w:cs="Arial" w:eastAsia="Arial" w:hAnsi="Arial"/>
                <w:sz w:val="18"/>
                <w:szCs w:val="18"/>
                <w:color w:val="auto"/>
                <w:w w:val="93"/>
              </w:rPr>
              <w:t>37.0%</w:t>
            </w:r>
          </w:p>
        </w:tc>
      </w:tr>
      <w:tr>
        <w:trPr>
          <w:trHeight w:val="229"/>
        </w:trPr>
        <w:tc>
          <w:tcPr>
            <w:tcW w:w="7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720" w:type="dxa"/>
            <w:vAlign w:val="bottom"/>
            <w:shd w:val="clear" w:color="auto" w:fill="CCEEFF"/>
          </w:tcPr>
          <w:p>
            <w:pPr>
              <w:jc w:val="center"/>
              <w:ind w:left="1830"/>
              <w:spacing w:after="0"/>
              <w:rPr>
                <w:sz w:val="20"/>
                <w:szCs w:val="20"/>
                <w:color w:val="auto"/>
              </w:rPr>
            </w:pPr>
            <w:r>
              <w:rPr>
                <w:rFonts w:ascii="Arial" w:cs="Arial" w:eastAsia="Arial" w:hAnsi="Arial"/>
                <w:sz w:val="18"/>
                <w:szCs w:val="18"/>
                <w:color w:val="auto"/>
                <w:w w:val="93"/>
              </w:rPr>
              <w:t>—%</w:t>
            </w:r>
          </w:p>
        </w:tc>
      </w:tr>
    </w:tbl>
    <w:p>
      <w:pPr>
        <w:spacing w:after="0" w:line="364"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number of TSR PSUs that may ultimately vest will vary based on the performance of the Company’s common stock relative to the shareholder return of the software companies in the S&amp;P Index for a specified period or periods. The Monte Carlo methodology incorporates into the valuation all possible outcomes, including that the Company’s relative performance may result in no shares vesting. As a result, stock-based compensation expense is recognized regardless of the Company's ultimate achievement of the plan’s metrics. The expense will be reversed only in the event that a grantee is terminated prior to satisfying the requisite service period.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30, 2021 and July 31, 2020, the Company was authorized to issue 500,000,000 shares of common stock with a par value of $0.0001 per share and, of these, 83,280,955 and 83,461,925 shares of common stock were issued and outstanding,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2021 and July 31, 2020, the Company had reserved shares of common stock for future issuance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160" w:type="dxa"/>
            <w:vAlign w:val="bottom"/>
            <w:gridSpan w:val="2"/>
          </w:tcPr>
          <w:p>
            <w:pPr>
              <w:ind w:left="500"/>
              <w:spacing w:after="0"/>
              <w:rPr>
                <w:sz w:val="20"/>
                <w:szCs w:val="20"/>
                <w:color w:val="auto"/>
              </w:rPr>
            </w:pPr>
            <w:r>
              <w:rPr>
                <w:rFonts w:ascii="Arial" w:cs="Arial" w:eastAsia="Arial" w:hAnsi="Arial"/>
                <w:sz w:val="18"/>
                <w:szCs w:val="18"/>
                <w:b w:val="1"/>
                <w:bCs w:val="1"/>
                <w:color w:val="auto"/>
              </w:rPr>
              <w:t>April 30, 2021</w:t>
            </w:r>
          </w:p>
        </w:tc>
        <w:tc>
          <w:tcPr>
            <w:tcW w:w="208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stock options to purchase common stock</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26,979</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Vesting of stock awards</w:t>
            </w:r>
          </w:p>
        </w:tc>
        <w:tc>
          <w:tcPr>
            <w:tcW w:w="2080" w:type="dxa"/>
            <w:vAlign w:val="bottom"/>
          </w:tcPr>
          <w:p>
            <w:pPr>
              <w:jc w:val="right"/>
              <w:spacing w:after="0"/>
              <w:rPr>
                <w:sz w:val="20"/>
                <w:szCs w:val="20"/>
                <w:color w:val="auto"/>
              </w:rPr>
            </w:pPr>
            <w:r>
              <w:rPr>
                <w:rFonts w:ascii="Arial" w:cs="Arial" w:eastAsia="Arial" w:hAnsi="Arial"/>
                <w:sz w:val="18"/>
                <w:szCs w:val="18"/>
                <w:color w:val="auto"/>
              </w:rPr>
              <w:t>2,602,881</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2,445,698</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under stock plans</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5,017,938</w:t>
            </w:r>
          </w:p>
        </w:tc>
        <w:tc>
          <w:tcPr>
            <w:tcW w:w="8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23,460,234</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common stock reserved for issuance</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7,647,798</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25,986,264</w:t>
            </w:r>
          </w:p>
        </w:tc>
      </w:tr>
      <w:tr>
        <w:trPr>
          <w:trHeight w:val="20"/>
        </w:trPr>
        <w:tc>
          <w:tcPr>
            <w:tcW w:w="70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w:t>
      </w:r>
    </w:p>
    <w:p>
      <w:pPr>
        <w:spacing w:after="0" w:line="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shares the Company issues under the 2020 Plan will be from the Company's pool of authorized but unissued shares. The shares of common stock underlying any awards under the 2011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2020, the Company's board of directors authorized and approved a stock repurchase program of up to $200.0 million of the Company's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April 30, 2021, the Company repurchased 764,782 shares of common stock at an average price of $104.47 per share, for an aggregate purchase price of $79.9 million. During the nine months ended April 30, 2021, the Company repurchased 1,123,341 shares of common stock at an average price of $110.21 per share, for an aggregate purchase price of $123.8 million. As of April 30, 2021, $76.2 million remained available for future share repurchases.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recognized an income tax benefit of $8.1 million and $5.4 million for the three months ended April 30, 2021 and 2020, respectively, and an income tax benefit of $33.0 million and $7.8 million for the nine months ended April 30, 2021 and 2020, respectively. The change in the amount of income taxes recorded for the three months ended April 30, 2021 compared to the same period a year ago was primarily due to the increase in the loss before taxes. The change in the amount of income taxes recorded for the nine months ended April 30, 2021 compared to the same period a year ago was primarily due to the increase in loss before taxes, release of uncertain tax positions, and the tax status change of certain foreign subsidiaries for U.S. tax purposes. The effective tax rate of 18% and 34% for the three and nine months ended April 30, 2021, respectively, differs from the statutory U.S. federal income tax rate of 21% mainly due to permanent differences for stock-based compensation including excess tax benefits, research and development credits, an increase in the valuation allowance against deferred tax assets, certain non-deductible expenses including executive compensation, release of uncertain tax positions, and the tax status change of certain foreign subsidiaries for U.S. tax purposes.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and nine months ended April 30, 2021, unrecognized tax benefits increased by $0.3 million and decreased by $5.7 million, respectively. As of April 30, 2021, the Company had unrecognized tax benefits of $11.8 million that, if recognized, would affect the Company’s effective tax rate.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currently under examination by the California Franchise Tax Board for the state income tax returns filed for fiscal years 2018 and 2017. If any issues addressed in the tax audit are resolved in a manner not consistent with the Company's expectations, the Company may be required to adjust its provision for income tax in the period such resolution occurs.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while all other financial information is reviewed on a consolidated basis. The Company’s principal operations and decision-making functions are located in the United States.</w:t>
      </w: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Long-lived assets for this disclosure is defined as property and equipment and operating lease assets. The Company’s long-lived assets by geographic region is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April 30, 2021</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2020</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137,665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28,802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28,783</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169,032</w:t>
            </w:r>
          </w:p>
        </w:tc>
      </w:tr>
      <w:tr>
        <w:trPr>
          <w:trHeight w:val="21"/>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condensed consolidated financial statements and the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deliver the platform P&amp;C insurers trust to engage, innovate, and grow efficiently. We combine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core operational products are InsuranceSuite via Guidewire Cloud, InsuranceNow, and InsuranceSuite for self-managed installations. These products are core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 together. These applications are built on and optimized for our Guidewire Cloud Platform ("GWCP") architecture and leverages our in-house Guidewire cloud operations team. InsuranceSuite via Guidewire Cloud is designed to support multiple releases a year to ensure that cloud customers remain on the latest version and gain fast access to our innovation efforts. Additionally, InsuranceSuite via Guidewire Cloud embeds digital and analytics capabilities natively into our platform. Most new sales and implementations are for InsuranceSuite via Guidewire Cloud. InsuranceNow is a complete, cloud-based system that offers policy, billing, and claims management functionality to insurers that have limited internal information technology resources. InsuranceSuite for self-managed is comprised of three core applications (PolicyCenter, BillingCenter, and ClaimCenter) that can be licensed separately or together and can be deployed and updated by our customers and their implementation partners.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209"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7"/>
          <w:szCs w:val="17"/>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9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Because our platform is critical to our new and existing customers' businesses, their decision-making and product evaluation process is long, which results in an extended sales cycle. These evaluation periods can extend further if the customer purchases multiple products or assesses the benefits of a cloud-based subscription in addition to our more traditional self-managed licensing model. Sales to new customers also involve extensive customer due diligence and reference checks. The success of our sales efforts relies on continued improvements and enhancements to our current products, the introduction of new products, efficient operation of our cloud infrastructure, continued development of relevant local content and automated tools for updating content, and successful implementations.</w:t>
      </w:r>
    </w:p>
    <w:p>
      <w:pPr>
        <w:spacing w:after="0" w:line="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7"/>
          <w:szCs w:val="17"/>
          <w:color w:val="auto"/>
        </w:rPr>
        <w:t>We sell our cloud-delivered offerings through subscription services and our self-managed products through term licenses. We generally price our products and services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Support related to subscription arrangements is included in subscription revenue.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products, services, and platform. Substantially all of our services revenue is billed monthly on a time and materials basis.</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Over the past few years, we have primarily been entering into cloud-based subscription arrangements with our new and existing customers and we anticipate that subscription arrangements will be a majority of annual new sales going forward. As this sales model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matures, we may decide to change certain contract terms in new arrangements to remain competitive or otherwise meet market demands.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extend our technology leadership in the global market and to drive operating efficiency, we continue to invest in product development and cloud operations to enhance and improve our current products, introduce new products, and advance our ability to cost-effectively deliver, operate and support each of our products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and solutions and upgrades.</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track record of success with customers and their implementations is central to maintaining our strong competitive position. We rely on our global services team and SI partners to ensure that teams with the right combination of product and language skills are used in the most efficient way to meet our customers’ implementation needs. Our partnerships with leading SI partners allow us to increase efficiency and scale while reducing customer implementation costs. Our extensive relationships with SI and other industry partners have strengthened and expanded in line with the interest in and adoption of our services and products. We encourage our partners to co-market, pursue joint sales initiatives, and drive broader adoption of our technology, helping us grow our business more efficiently. We continue to grow our services organization and invest time and resources in increasing the number of qualified consultants employed by our SI partners, developing relationships with new SI partners in existing and new markets, and ensuring that all partners are qualified to implement our services and products.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products, and cost-effectively managing the infrastructure of our cloud-based customers. In response to these and other risks we might face, we continue to invest in many areas of our business, including product development, cloud operations, implementation services and sales and marketing.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We have experienced seasonal variations in our license revenue and, to a lesser extent, our subscription revenue as a result of increased customer orders in our fourth fiscal quarter. We generally see significantly increased orders in our fourth fiscal quarter, which is the quarter ending July 31, due to efforts by our sales team to achieve annual incentives. Additionally, current revenue recognition guidance, also referred to as ASC 606, could continue to heighten or change the seasonal impact on our business as new term licenses and multi-year term license renewals recognize more revenue upfront based on the length of the committed term. Any quarter in which a significant multi-year term license or multi-year term license renewal or non-renewal occurs could be impacted. For example, in the first quarter of fiscal year 2021, we experienced license revenue growth due to a five-year term license renewal under which revenue was recognized upfront, which overshadowed the comparison with our second quarter of fiscal year 2021 and may create a challenging comparable period for the first quarter of fiscal year 2022. On an annual basis, our support revenue, which is recognized ratably, may also be impacted in the event that seasonal patterns change significantly.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services revenue is also subject to seasonal fluctuations, though to a lesser degree than our license revenue and subscription revenue. Our services revenue is impacted by the number of billable days in a given fiscal quarter. The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In March 2020, the World Health Organization declared the outbreak of COVID-19 a pandemic, which has continued to spread throughout the United States and the world and has resulted in authorities implementing numerous measures to contain the virus, including travel bans and restrictions, quarantines, shelter-in-place orders, and business limitations and shutdowns. While we are unable to accurately predict the full impact that COVID-19 will have on our results of operations, financial condition, liquidity, and cash flows due to numerous uncertainties, including the duration and severity of the pandemic and containment measures, our compliance with these measures has impacted our day-to-day operations and could continue to disrupt our business and operations, as well as that of our customers, SI partners, vendors, and other counterparties, for an indefinite period of time. To support the health and well-being of our employees, customers, SI partners and communities, a vast majority of our employees are working remotely. In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addition, many of our existing and potential customers are working remotely, which may continue to delay the timing of new orders and professional services engagements in the future.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and financial results since the third fiscal quarter of 2020 have been impacted due to these disruptions, including decreases in annual recurring revenue ("ARR") growth rates, services revenue and margins, operating cash flow, and the change in fair value of strategic investments. ARR and revenue, especially services revenue, for the first nine months of fiscal 2021 continued to be impacted as a result of the challenges related to our compliance with government-mandated or recommended shelter-in-place orders in jurisdictions in which we, our customers, SI partners and vendors operate.</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Although vaccines are making progress against the COVID-19 pandemic in the United States and certain other parts of the world where vaccinations are widely available, the economic impact of the pandemic on our business and the businesses of our customers, SI partners, and vendors may continue through fiscal year 2021, if not longer. We believe that new sales activities are being delayed, not cancelled, and implementation engagements are being rescheduled to later periods or being completed over a longer period of time. Certain marketing events have or will be cancelled or postponed, while the majority are being hosted virtually, like our customer conference, Connections. Our customers may be unable to pay or may request amended payment terms for their outstanding invoices due to the economic impacts from COVID-19,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pandemic’s global economic impact could affect our customers’ DWP, which could ultimately impact our revenue as we generally price our products and services based on the amount of DWP that will be managed by our platform. Additionally, we may be required to record impairment related to our operating lease assets, investments, long-lived assets, or goodwill.</w:t>
      </w:r>
    </w:p>
    <w:p>
      <w:pPr>
        <w:spacing w:after="0" w:line="12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response to the pandemic, various government programs have been announced which provide financial relief to affected businesses. As an example, the Canadian Government enacted the Canada Emergency Wage Subsidy ("CEWS") under their COVID-19 Economic Response Plan to prevent layoffs and help employers offset, for a limited time, a portion of their employee salaries and wages. Beginning in January 2021, we have applied for the CEWS, to the extent we met the requirements to receive the subsidy, and recorded a reduction of compensation expense of approximately $3.3 million that is reflected in cost of revenue and operating expenses in our condensed consolidated statements of operations during the nine months ended April 30, 2021. We will continue to review and apply for additional subsidies for the remaining term of the program, where applicable.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evaluate the nature and extent of the impact of COVID-19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use certain key metrics and financial measures not prepared in accordance with United States Generally Accepted Accounting Principles (“GAAP”) to evaluate and manage our business, including Annual Recurring Revenue ("ARR") and Free Cash Flow. For a further discussion of how we use key metrics and certain non-GAAP financial measures, see “Non-GAAP Financial Measures” in this Quarterly Report on Form 10-Q.</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2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use ARR to identify the annualized recurring value of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subscription arrangements that are not expected to recur (primarily perpetual licenses and services) are excluded. 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reported ARR results for interim quarterly periods in fiscal year 2021 are based on actual currency rates at the end of fiscal year 2020, held constant throughout the year. ARR was $538 million as of April 30, 2021, compared to $514 million as of July 31, 2020.</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Free Cash Flow</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0" w:name="page41"/>
    <w:bookmarkEnd w:id="4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The build out and furnishing of our corporate headquarters in San Mateo, California impacted free cash flow by $13.8 million for the nine months ended April 30, 2020 and had no impact for the nine months ended April 30, 2021. Additionally during the nine months ended April 30, 2021, the Company received $2.5 million from the CEWS, which is a program that was not available during the nine months ended April 30, 2020. For a further discussion of our operating cash flows, see “Liquidity and Capital Resources – Cash Flows” in this Quarterly Report on Form 10-Q.</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April 30,</w:t>
            </w:r>
          </w:p>
        </w:tc>
        <w:tc>
          <w:tcPr>
            <w:tcW w:w="720" w:type="dxa"/>
            <w:vAlign w:val="bottom"/>
            <w:tcBorders>
              <w:bottom w:val="single" w:sz="8" w:color="auto"/>
            </w:tcBorders>
          </w:tcPr>
          <w:p>
            <w:pPr>
              <w:spacing w:after="0"/>
              <w:rPr>
                <w:sz w:val="18"/>
                <w:szCs w:val="18"/>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r>
      <w:tr>
        <w:trPr>
          <w:trHeight w:val="212"/>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5,907</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(12,412)</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(18,966)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1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w:t>
            </w:r>
          </w:p>
        </w:tc>
        <w:tc>
          <w:tcPr>
            <w:tcW w:w="16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(3,273)</w:t>
            </w: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Free cash flow</w:t>
            </w: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(16,798)</w:t>
            </w:r>
          </w:p>
        </w:tc>
        <w:tc>
          <w:tcPr>
            <w:tcW w:w="16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(16,332)</w:t>
            </w:r>
          </w:p>
        </w:tc>
      </w:tr>
      <w:tr>
        <w:trPr>
          <w:trHeight w:val="20"/>
        </w:trPr>
        <w:tc>
          <w:tcPr>
            <w:tcW w:w="6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critical to the periods presented.</w:t>
      </w:r>
    </w:p>
    <w:p>
      <w:pPr>
        <w:spacing w:after="0" w:line="19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There have been no material changes to our significant and critical accounting policies as described in "Management's Discussion and Analysis of Financial Condition and Results of Operations – Critical Accounting Policies and Estimates" in our Annual Report on Form 10-K for the fiscal year ended July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9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 April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4"/>
                <w:szCs w:val="14"/>
                <w:color w:val="auto"/>
              </w:rPr>
            </w:pPr>
          </w:p>
        </w:tc>
        <w:tc>
          <w:tcPr>
            <w:tcW w:w="1260" w:type="dxa"/>
            <w:vAlign w:val="bottom"/>
            <w:gridSpan w:val="2"/>
          </w:tcPr>
          <w:p>
            <w:pPr>
              <w:jc w:val="center"/>
              <w:ind w:right="140"/>
              <w:spacing w:after="0" w:line="169" w:lineRule="exact"/>
              <w:rPr>
                <w:sz w:val="20"/>
                <w:szCs w:val="20"/>
                <w:color w:val="auto"/>
              </w:rPr>
            </w:pPr>
            <w:r>
              <w:rPr>
                <w:rFonts w:ascii="Arial" w:cs="Arial" w:eastAsia="Arial" w:hAnsi="Arial"/>
                <w:sz w:val="18"/>
                <w:szCs w:val="18"/>
                <w:b w:val="1"/>
                <w:bCs w:val="1"/>
                <w:color w:val="auto"/>
                <w:w w:val="93"/>
              </w:rPr>
              <w:t>As a % of</w:t>
            </w:r>
          </w:p>
        </w:tc>
        <w:tc>
          <w:tcPr>
            <w:tcW w:w="220" w:type="dxa"/>
            <w:vAlign w:val="bottom"/>
          </w:tcPr>
          <w:p>
            <w:pPr>
              <w:spacing w:after="0"/>
              <w:rPr>
                <w:sz w:val="14"/>
                <w:szCs w:val="14"/>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4"/>
                <w:szCs w:val="14"/>
                <w:color w:val="auto"/>
              </w:rPr>
            </w:pPr>
          </w:p>
        </w:tc>
        <w:tc>
          <w:tcPr>
            <w:tcW w:w="114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rPr>
              <w:t>As a % of</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9"/>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total revenue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80" w:type="dxa"/>
            <w:vAlign w:val="bottom"/>
            <w:gridSpan w:val="7"/>
          </w:tcPr>
          <w:p>
            <w:pPr>
              <w:jc w:val="center"/>
              <w:ind w:right="910"/>
              <w:spacing w:after="0"/>
              <w:rPr>
                <w:sz w:val="20"/>
                <w:szCs w:val="20"/>
                <w:color w:val="auto"/>
              </w:rPr>
            </w:pPr>
            <w:r>
              <w:rPr>
                <w:rFonts w:ascii="Arial" w:cs="Arial" w:eastAsia="Arial" w:hAnsi="Arial"/>
                <w:sz w:val="18"/>
                <w:szCs w:val="18"/>
                <w:b w:val="1"/>
                <w:bCs w:val="1"/>
                <w:color w:val="auto"/>
                <w:w w:val="87"/>
              </w:rPr>
              <w:t>(in thousands, except percentages)</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64,836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50,772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50,937</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48,195</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54,289</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940" w:type="dxa"/>
            <w:vAlign w:val="bottom"/>
            <w:tcBorders>
              <w:top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163,968</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168,165</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98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Subscription and support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41,284</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1,991</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2,566</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48,790</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940" w:type="dxa"/>
            <w:vAlign w:val="bottom"/>
            <w:tcBorders>
              <w:bottom w:val="single" w:sz="8" w:color="CCEEFF"/>
            </w:tcBorders>
            <w:gridSpan w:val="2"/>
          </w:tcPr>
          <w:p>
            <w:pPr>
              <w:ind w:left="62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92,065</w:t>
            </w:r>
          </w:p>
        </w:tc>
        <w:tc>
          <w:tcPr>
            <w:tcW w:w="1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85,752</w:t>
            </w:r>
          </w:p>
        </w:tc>
        <w:tc>
          <w:tcPr>
            <w:tcW w:w="1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23,552</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20,250</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License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48,946</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(595)</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940" w:type="dxa"/>
            <w:vAlign w:val="bottom"/>
            <w:tcBorders>
              <w:top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Total 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71,903</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82,413</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59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54,155</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40,879</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35,235</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940" w:type="dxa"/>
            <w:vAlign w:val="bottom"/>
            <w:tcBorders>
              <w:bottom w:val="single" w:sz="8" w:color="CCEEFF"/>
            </w:tcBorders>
            <w:gridSpan w:val="2"/>
          </w:tcPr>
          <w:p>
            <w:pPr>
              <w:ind w:left="6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118,729</w:t>
            </w:r>
          </w:p>
        </w:tc>
        <w:tc>
          <w:tcPr>
            <w:tcW w:w="1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108,013</w:t>
            </w:r>
          </w:p>
        </w:tc>
        <w:tc>
          <w:tcPr>
            <w:tcW w:w="1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1,559</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6,072</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5,259</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(12,356)</w:t>
            </w:r>
          </w:p>
        </w:tc>
        <w:tc>
          <w:tcPr>
            <w:tcW w:w="1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before provision for (benefit from) income taxes</w:t>
            </w: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(44,706)</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(36,389)</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(8,073)</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(5,351)</w:t>
            </w:r>
          </w:p>
        </w:tc>
        <w:tc>
          <w:tcPr>
            <w:tcW w:w="1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270" w:right="619" w:bottom="1440" w:gutter="0" w:footer="0" w:header="0"/>
        </w:sectPr>
      </w:pPr>
    </w:p>
    <w:bookmarkStart w:id="42" w:name="page43"/>
    <w:bookmarkEnd w:id="42"/>
    <w:tbl>
      <w:tblPr>
        <w:tblLayout w:type="fixed"/>
        <w:tblInd w:w="3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9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5"/>
              </w:rPr>
              <w:t>Nine Months Ended April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4"/>
                <w:szCs w:val="14"/>
                <w:color w:val="auto"/>
              </w:rPr>
            </w:pPr>
          </w:p>
        </w:tc>
        <w:tc>
          <w:tcPr>
            <w:tcW w:w="1260" w:type="dxa"/>
            <w:vAlign w:val="bottom"/>
            <w:gridSpan w:val="2"/>
          </w:tcPr>
          <w:p>
            <w:pPr>
              <w:ind w:left="180"/>
              <w:spacing w:after="0" w:line="169" w:lineRule="exact"/>
              <w:rPr>
                <w:sz w:val="20"/>
                <w:szCs w:val="20"/>
                <w:color w:val="auto"/>
              </w:rPr>
            </w:pPr>
            <w:r>
              <w:rPr>
                <w:rFonts w:ascii="Arial" w:cs="Arial" w:eastAsia="Arial" w:hAnsi="Arial"/>
                <w:sz w:val="18"/>
                <w:szCs w:val="18"/>
                <w:b w:val="1"/>
                <w:bCs w:val="1"/>
                <w:color w:val="auto"/>
              </w:rPr>
              <w:t>As a % of</w:t>
            </w:r>
          </w:p>
        </w:tc>
        <w:tc>
          <w:tcPr>
            <w:tcW w:w="220" w:type="dxa"/>
            <w:vAlign w:val="bottom"/>
          </w:tcPr>
          <w:p>
            <w:pPr>
              <w:spacing w:after="0"/>
              <w:rPr>
                <w:sz w:val="14"/>
                <w:szCs w:val="14"/>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4"/>
                <w:szCs w:val="14"/>
                <w:color w:val="auto"/>
              </w:rPr>
            </w:pPr>
          </w:p>
        </w:tc>
        <w:tc>
          <w:tcPr>
            <w:tcW w:w="114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rPr>
              <w:t>As a % of</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total revenue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80" w:type="dxa"/>
            <w:vAlign w:val="bottom"/>
            <w:gridSpan w:val="7"/>
          </w:tcPr>
          <w:p>
            <w:pPr>
              <w:jc w:val="right"/>
              <w:ind w:right="930"/>
              <w:spacing w:after="0"/>
              <w:rPr>
                <w:sz w:val="20"/>
                <w:szCs w:val="20"/>
                <w:color w:val="auto"/>
              </w:rPr>
            </w:pPr>
            <w:r>
              <w:rPr>
                <w:rFonts w:ascii="Arial" w:cs="Arial" w:eastAsia="Arial" w:hAnsi="Arial"/>
                <w:sz w:val="18"/>
                <w:szCs w:val="18"/>
                <w:b w:val="1"/>
                <w:bCs w:val="1"/>
                <w:color w:val="auto"/>
                <w:w w:val="87"/>
              </w:rPr>
              <w:t>(in thousands, except percentages)</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Subscription and support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182,365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149,353</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194,132</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137,335</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155,293</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940" w:type="dxa"/>
            <w:vAlign w:val="bottom"/>
            <w:tcBorders>
              <w:top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513,832</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498,633</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98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Subscription and support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118,448</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License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7,762</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8,027</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148,724</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940" w:type="dxa"/>
            <w:vAlign w:val="bottom"/>
            <w:tcBorders>
              <w:bottom w:val="single" w:sz="8" w:color="CCEEFF"/>
            </w:tcBorders>
            <w:gridSpan w:val="2"/>
          </w:tcPr>
          <w:p>
            <w:pPr>
              <w:ind w:left="62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274,934</w:t>
            </w:r>
          </w:p>
        </w:tc>
        <w:tc>
          <w:tcPr>
            <w:tcW w:w="1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250,204</w:t>
            </w:r>
          </w:p>
        </w:tc>
        <w:tc>
          <w:tcPr>
            <w:tcW w:w="1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Subscription and support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63,917</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65,686</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186,370</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185,960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(11,389)</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(3,217)</w:t>
            </w:r>
          </w:p>
        </w:tc>
        <w:tc>
          <w:tcPr>
            <w:tcW w:w="1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940" w:type="dxa"/>
            <w:vAlign w:val="bottom"/>
            <w:tcBorders>
              <w:top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Total 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238,898</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248,429</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59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159,964</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116,739</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105,590</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67,695</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940" w:type="dxa"/>
            <w:vAlign w:val="bottom"/>
            <w:tcBorders>
              <w:bottom w:val="single" w:sz="8" w:color="CCEEFF"/>
            </w:tcBorders>
            <w:gridSpan w:val="2"/>
          </w:tcPr>
          <w:p>
            <w:pPr>
              <w:ind w:left="6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344,398</w:t>
            </w:r>
          </w:p>
        </w:tc>
        <w:tc>
          <w:tcPr>
            <w:tcW w:w="1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316,656</w:t>
            </w:r>
          </w:p>
        </w:tc>
        <w:tc>
          <w:tcPr>
            <w:tcW w:w="1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(105,500)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6,363</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20,666</w:t>
            </w:r>
          </w:p>
        </w:tc>
        <w:tc>
          <w:tcPr>
            <w:tcW w:w="1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14,632</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(12,789)</w:t>
            </w:r>
          </w:p>
        </w:tc>
        <w:tc>
          <w:tcPr>
            <w:tcW w:w="1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before provision for (benefit from) income taxes</w:t>
            </w: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(98,474)</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(73,746)</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(32,999)</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(7,773)</w:t>
            </w:r>
          </w:p>
        </w:tc>
        <w:tc>
          <w:tcPr>
            <w:tcW w:w="1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derive our revenue primarily from delivering cloud-based services, licensing our software applications, providing support, and delivering professional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and Support</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w:t>
      </w:r>
    </w:p>
    <w:p>
      <w:pPr>
        <w:spacing w:after="0" w:line="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services revenue is primarily derived from implementation services performed for our customers, reimbursable travel expenses, and training fees.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substantial majority of our services engagements generate revenue on a time and materials basis and revenue is recognized upon providing our services.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9"/>
              </w:rPr>
              <w:t>Three Months Ended April 30,</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w w:val="84"/>
              </w:rPr>
              <w:t>2021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96"/>
              </w:rPr>
              <w:t>Change</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4"/>
                <w:szCs w:val="14"/>
                <w:color w:val="auto"/>
              </w:rPr>
            </w:pPr>
          </w:p>
        </w:tc>
        <w:tc>
          <w:tcPr>
            <w:tcW w:w="8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6"/>
              </w:rPr>
              <w:t>revenue</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80" w:type="dxa"/>
            <w:vAlign w:val="bottom"/>
            <w:gridSpan w:val="8"/>
          </w:tcPr>
          <w:p>
            <w:pPr>
              <w:jc w:val="center"/>
              <w:ind w:right="20"/>
              <w:spacing w:after="0"/>
              <w:rPr>
                <w:sz w:val="20"/>
                <w:szCs w:val="20"/>
                <w:color w:val="auto"/>
              </w:rPr>
            </w:pPr>
            <w:r>
              <w:rPr>
                <w:rFonts w:ascii="Arial" w:cs="Arial" w:eastAsia="Arial" w:hAnsi="Arial"/>
                <w:sz w:val="18"/>
                <w:szCs w:val="18"/>
                <w:b w:val="1"/>
                <w:bCs w:val="1"/>
                <w:color w:val="auto"/>
                <w:w w:val="86"/>
              </w:rPr>
              <w:t>(in thousands, except percentages)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44,553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30,078</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14,475</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Support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w:t>
            </w:r>
          </w:p>
        </w:tc>
        <w:tc>
          <w:tcPr>
            <w:tcW w:w="1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1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License: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license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50,688</w:t>
            </w:r>
          </w:p>
        </w:tc>
        <w:tc>
          <w:tcPr>
            <w:tcW w:w="1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62,656</w:t>
            </w:r>
          </w:p>
        </w:tc>
        <w:tc>
          <w:tcPr>
            <w:tcW w:w="1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Perpetual license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1420" w:type="dxa"/>
            <w:vAlign w:val="bottom"/>
            <w:gridSpan w:val="3"/>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48,195</w:t>
            </w:r>
          </w:p>
        </w:tc>
        <w:tc>
          <w:tcPr>
            <w:tcW w:w="1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54,289</w:t>
            </w:r>
          </w:p>
        </w:tc>
        <w:tc>
          <w:tcPr>
            <w:tcW w:w="1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1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163,968</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168,165</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3"/>
        </w:trPr>
        <w:tc>
          <w:tcPr>
            <w:tcW w:w="3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92"/>
              </w:rPr>
              <w:t>Nine Months Ended April 30,</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w w:val="84"/>
              </w:rPr>
              <w:t>2021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96"/>
              </w:rPr>
              <w:t>Change</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4"/>
                <w:szCs w:val="14"/>
                <w:color w:val="auto"/>
              </w:rPr>
            </w:pPr>
          </w:p>
        </w:tc>
        <w:tc>
          <w:tcPr>
            <w:tcW w:w="8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6"/>
              </w:rPr>
              <w:t>revenue</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80" w:type="dxa"/>
            <w:vAlign w:val="bottom"/>
            <w:gridSpan w:val="8"/>
          </w:tcPr>
          <w:p>
            <w:pPr>
              <w:jc w:val="center"/>
              <w:ind w:right="20"/>
              <w:spacing w:after="0"/>
              <w:rPr>
                <w:sz w:val="20"/>
                <w:szCs w:val="20"/>
                <w:color w:val="auto"/>
              </w:rPr>
            </w:pPr>
            <w:r>
              <w:rPr>
                <w:rFonts w:ascii="Arial" w:cs="Arial" w:eastAsia="Arial" w:hAnsi="Arial"/>
                <w:sz w:val="18"/>
                <w:szCs w:val="18"/>
                <w:b w:val="1"/>
                <w:bCs w:val="1"/>
                <w:color w:val="auto"/>
                <w:w w:val="86"/>
              </w:rPr>
              <w:t>(in thousands, except percentages)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120,061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86,572</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33,489</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Support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62,304</w:t>
            </w:r>
          </w:p>
        </w:tc>
        <w:tc>
          <w:tcPr>
            <w:tcW w:w="1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w:t>
            </w:r>
          </w:p>
        </w:tc>
        <w:tc>
          <w:tcPr>
            <w:tcW w:w="1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License: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license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193,777</w:t>
            </w:r>
          </w:p>
        </w:tc>
        <w:tc>
          <w:tcPr>
            <w:tcW w:w="1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191,448</w:t>
            </w:r>
          </w:p>
        </w:tc>
        <w:tc>
          <w:tcPr>
            <w:tcW w:w="1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Perpetual license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2,539</w:t>
            </w:r>
          </w:p>
        </w:tc>
        <w:tc>
          <w:tcPr>
            <w:tcW w:w="1420" w:type="dxa"/>
            <w:vAlign w:val="bottom"/>
            <w:gridSpan w:val="3"/>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137,335</w:t>
            </w:r>
          </w:p>
        </w:tc>
        <w:tc>
          <w:tcPr>
            <w:tcW w:w="1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155,293</w:t>
            </w:r>
          </w:p>
        </w:tc>
        <w:tc>
          <w:tcPr>
            <w:tcW w:w="1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1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513,832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498,633</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15,199</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Subscription and Support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If we complete a higher percentage of subscription arrangements in a given period, our short-term growth rates will be negatively impacted.</w:t>
      </w:r>
    </w:p>
    <w:p>
      <w:pPr>
        <w:spacing w:after="0" w:line="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Subscription revenue increased by $14.5 million and $33.5 million during the three and nine months ended April 30, 2021, respectively, compared to the same periods a year ago, primarily due to the impact of new and existing subscription services agreements for InsuranceSuite via Guidewire Cloud entered into since April 30, 2020.</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Support revenue decreased by $0.4 million and $0.5 million during the three and nine months ended April 30, 2021, respectively, compared to the same periods a year ago.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w:t>
      </w: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License</w:t>
      </w:r>
    </w:p>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will be negatively impacted as subscription sales increase as a percentage of total new sales and as customers migrate from term licenses to subscription services instead of renewing their term licenses.</w:t>
      </w:r>
    </w:p>
    <w:p>
      <w:pPr>
        <w:spacing w:after="0" w:line="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Term license revenue decreased by $12.0 million during the three months ended April 30, 2021 compared to the prior year period, primarily driven by lower revenue from new term licenses of $7.0 million and term license renewals of $5.0 million. Included in these amounts is the impact of term license contracts with an initial term of greater than two years or a renewal term of greater than one year. The impact on term license revenue from contracts that deviated from our standard contract durations was $0.5 million in the three months ended April 30, 2021 compared with $12.8 million in the prior year period.</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Term license revenue increased by $2.3 million during the nine months ended April 30, 2021 compared to the prior year period, primarily driven by higher revenue from term license renewals of $9.9 million, partially offset by lower revenue from new term license deals of $7.6 million. Included in these amounts is the impact of term license revenue from contracts that deviated from our standard contract durations of $20.0 million for each of the nine months ended April 30, 2021 and 2020.</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Perpetual license revenue accounted for less than 1% of total revenue during the three and nine months ended April 30, 2021.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Services</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Services revenue decreased by $6.1 million and $18.0 million during the three and nine months ended April 30, 2021, respectively, compared to the same periods a year ago. The decrease is primarily driven by contracts with lower average services billing rates and increased investments in customer implementations, and to a lesser extent, a reduction in revenue from billable travel costs due to travel restrictions associated with the COVID-19 pandemic of $1.5 million and $7.0 million during the three and nine months ended April 30, 2021, respectively.</w:t>
      </w:r>
    </w:p>
    <w:p>
      <w:pPr>
        <w:spacing w:after="0" w:line="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modestly higher levels of variability in our services revenue in future periods. As we successfully leverage our SI partners to lead more implementations, our services revenue could decrease further. We expect challenges related to COVID-19 will also continue to negatively impact services revenue. As we continue to expand into new markets and develop new services and products, we have, and may continue to, enter into contracts with lower average services billing rates, make investments in customer implementation and migration engagements, and enter into fixed price contracts, which may impact services revenue and services margins.</w:t>
      </w: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cost of subscription and support revenue consists of personnel costs for our cloud operations and technical support teams, cloud infrastructure costs, development of online training curriculum, amortization of certain intangible assets, and royalty fees paid to third parties. Our cost of license revenue primarily consists of development of online training curriculum, royalty fees paid to third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parties, and amortization of certain intangible assets. Our cost of services revenue primarily consists of personnel costs for our professional service employees, third-party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Cost of Revenue:</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4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8"/>
                <w:szCs w:val="18"/>
                <w:b w:val="1"/>
                <w:bCs w:val="1"/>
                <w:color w:val="auto"/>
                <w:w w:val="92"/>
              </w:rPr>
              <w:t>Three Months Ended April 30,</w:t>
            </w:r>
          </w:p>
        </w:tc>
        <w:tc>
          <w:tcPr>
            <w:tcW w:w="1020" w:type="dxa"/>
            <w:vAlign w:val="bottom"/>
            <w:tcBorders>
              <w:bottom w:val="single" w:sz="8" w:color="auto"/>
            </w:tcBorders>
          </w:tcPr>
          <w:p>
            <w:pPr>
              <w:spacing w:after="0"/>
              <w:rPr>
                <w:sz w:val="24"/>
                <w:szCs w:val="24"/>
                <w:color w:val="auto"/>
              </w:rPr>
            </w:pPr>
          </w:p>
        </w:tc>
      </w:tr>
      <w:tr>
        <w:trPr>
          <w:trHeight w:val="223"/>
        </w:trPr>
        <w:tc>
          <w:tcPr>
            <w:tcW w:w="4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86"/>
              </w:rPr>
              <w:t>(in thousands, except percentages)</w:t>
            </w:r>
          </w:p>
        </w:tc>
        <w:tc>
          <w:tcPr>
            <w:tcW w:w="102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41,284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30,522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10,762</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5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(7)</w:t>
            </w:r>
          </w:p>
        </w:tc>
      </w:tr>
      <w:tr>
        <w:trPr>
          <w:trHeight w:val="24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55"/>
        </w:trPr>
        <w:tc>
          <w:tcPr>
            <w:tcW w:w="4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420" w:type="dxa"/>
            <w:vAlign w:val="bottom"/>
          </w:tcPr>
          <w:p>
            <w:pPr>
              <w:ind w:left="380"/>
              <w:spacing w:after="0"/>
              <w:rPr>
                <w:sz w:val="20"/>
                <w:szCs w:val="20"/>
                <w:color w:val="auto"/>
              </w:rPr>
            </w:pPr>
            <w:r>
              <w:rPr>
                <w:rFonts w:ascii="Arial" w:cs="Arial" w:eastAsia="Arial" w:hAnsi="Arial"/>
                <w:sz w:val="18"/>
                <w:szCs w:val="18"/>
                <w:color w:val="auto"/>
              </w:rPr>
              <w:t>Cost of subscription and support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794</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license revenue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Cost of services revenue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5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r>
      <w:tr>
        <w:trPr>
          <w:trHeight w:val="248"/>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8"/>
                <w:szCs w:val="18"/>
                <w:b w:val="1"/>
                <w:bCs w:val="1"/>
                <w:color w:val="auto"/>
                <w:w w:val="92"/>
              </w:rPr>
              <w:t>Nine Months Ended April 30,</w:t>
            </w:r>
          </w:p>
        </w:tc>
        <w:tc>
          <w:tcPr>
            <w:tcW w:w="1020" w:type="dxa"/>
            <w:vAlign w:val="bottom"/>
            <w:tcBorders>
              <w:bottom w:val="single" w:sz="8" w:color="auto"/>
            </w:tcBorders>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86"/>
              </w:rPr>
              <w:t>(in thousands, except percentages)</w:t>
            </w:r>
          </w:p>
        </w:tc>
        <w:tc>
          <w:tcPr>
            <w:tcW w:w="102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118,448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83,667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34,781</w:t>
            </w:r>
          </w:p>
        </w:tc>
        <w:tc>
          <w:tcPr>
            <w:tcW w:w="580" w:type="dxa"/>
            <w:vAlign w:val="bottom"/>
          </w:tcPr>
          <w:p>
            <w:pPr>
              <w:spacing w:after="0"/>
              <w:rPr>
                <w:sz w:val="19"/>
                <w:szCs w:val="19"/>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w w:val="92"/>
              </w:rPr>
              <w:t>42 %</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(9,786)</w:t>
            </w:r>
          </w:p>
        </w:tc>
        <w:tc>
          <w:tcPr>
            <w:tcW w:w="5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(6)</w:t>
            </w:r>
          </w:p>
        </w:tc>
      </w:tr>
      <w:tr>
        <w:trPr>
          <w:trHeight w:val="24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24,730</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10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55"/>
        </w:trPr>
        <w:tc>
          <w:tcPr>
            <w:tcW w:w="4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Cost of subscription and support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2,831</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license revenue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Cost of services revenue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5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r>
      <w:tr>
        <w:trPr>
          <w:trHeight w:val="248"/>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subscription and support revenue during the three months ended April 30, 2021 increased by $10.8 million, compared to the same period a year ago. The increase is primarily due to increases in personnel expense of $7.6 million and cloud infrastructure expense of $4.1 million, partially offset by net decreases in amortization expense of $1.7 million due to the net impact of certain acquired intangible assets being fully amortized and higher amortization of previously capitalized cloud software development costs. The three months ended April 30, 2021 included a benefit of $0.8 million to cost of subscription and support revenue related to the CEWS.</w:t>
      </w:r>
    </w:p>
    <w:p>
      <w:pPr>
        <w:spacing w:after="0" w:line="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subscription and support revenue during the nine months ended April 30, 2021 increased by $34.8 million, compared to the same period a year ago. The increase is primarily due to increases in personnel expense of $23.9 million, cloud infrastructure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 of $11.0 million, and professional services expense of $1.9 million. These increases were partially offset by a net decrease in amortization and royalties expense of $1.1 million due to the net impact of certain acquired intangible assets being fully amortized, higher amortization of capitalized cloud software development costs, and increased subscription royalty costs. The nine months ended April 30, 2021 included a benefit of $1.5 million to cost of subscription and support revenue related to the CEWS.</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our growth in cloud-based customers, the costs to provide our subscription services has increased. Additionally, we continue to invest in our cloud operations to increase operational efficiency and scale and continuously improve security. We expect our cost of subscription revenue to continue to increase as we continue to invest in our cloud operations to support our growing cloud customer base, to improve efficiencies, and to continuously improve and maintain secure environments. Cost of support revenue is expected to remain flat or slightly decrease over time as term license customers transition to the cloud.</w:t>
      </w:r>
    </w:p>
    <w:p>
      <w:pPr>
        <w:spacing w:after="0" w:line="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$0.6 million decrease in cost of license revenue during the three months ended April 30, 2021 compared to the same period a year ago was primarily attributable to decreased amortization expense of $0.7 million due to certain acquired intangible assets being fully amortized.</w:t>
      </w:r>
    </w:p>
    <w:p>
      <w:pPr>
        <w:spacing w:after="0" w:line="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$0.3 million decrease in cost of license revenue during the nine months ended April 30, 2021 compared to the same period a year ago was primarily attributable to decreased amortization expense of $0.7 million due to certain acquired intangible assets being fully amortized, partially offset by a $0.5 million increase related to the development of online training curriculum, which is included as part of the latest releases of InsuranceSuite, and royalties to solution partners for technologies integrated with our self-managed offerings.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lower cost of license revenue over time as our term license customers migrate to cloud subscription agreements.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$3.9 million decrease in cost of services revenue during the three months ended April 30, 2021 compared to the same period a year ago was primarily attributable to a decrease of $3.7 million in billable travel costs resulting from COVID-19 travel restrictions.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$9.8 million decrease in cost of services revenue during the nine months ended April 30, 2021 compared to the same period a year ago was primarily attributable to decreases of $11.4 million in billable travel costs resulting from COVID-19 travel restrictions and $1.2 million in software subscriptions and hosting costs, partially offset by an increase of $3.0 million in personnel costs, primarily bonuses.</w:t>
      </w:r>
    </w:p>
    <w:p>
      <w:pPr>
        <w:spacing w:after="0" w:line="4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had 562 cloud operations and technical support employees and 658 professional services employees at April 30, 2021, compared to 335 cloud operations and technical support employees and 761 professional services employees at April 30, 2020. Approximately 90 employees have been transferred from professional services to cloud operations and research and development since April 30, 2020 to support the growth in our cloud customers.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Gross Profit:</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8"/>
        </w:trPr>
        <w:tc>
          <w:tcPr>
            <w:tcW w:w="2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Three Months Ended April 30,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23"/>
        </w:trPr>
        <w:tc>
          <w:tcPr>
            <w:tcW w:w="2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23"/>
        </w:trPr>
        <w:tc>
          <w:tcPr>
            <w:tcW w:w="2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40" w:type="dxa"/>
            <w:vAlign w:val="bottom"/>
            <w:gridSpan w:val="7"/>
          </w:tcPr>
          <w:p>
            <w:pPr>
              <w:ind w:left="100"/>
              <w:spacing w:after="0"/>
              <w:rPr>
                <w:sz w:val="20"/>
                <w:szCs w:val="20"/>
                <w:color w:val="auto"/>
              </w:rPr>
            </w:pPr>
            <w:r>
              <w:rPr>
                <w:rFonts w:ascii="Arial" w:cs="Arial" w:eastAsia="Arial" w:hAnsi="Arial"/>
                <w:sz w:val="18"/>
                <w:szCs w:val="18"/>
                <w:b w:val="1"/>
                <w:bCs w:val="1"/>
                <w:color w:val="auto"/>
                <w:w w:val="90"/>
              </w:rPr>
              <w:t>(in thousands, except percentages)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700"/>
              <w:spacing w:after="0"/>
              <w:rPr>
                <w:sz w:val="20"/>
                <w:szCs w:val="20"/>
                <w:color w:val="auto"/>
              </w:rPr>
            </w:pPr>
            <w:r>
              <w:rPr>
                <w:rFonts w:ascii="Arial" w:cs="Arial" w:eastAsia="Arial" w:hAnsi="Arial"/>
                <w:sz w:val="18"/>
                <w:szCs w:val="18"/>
                <w:color w:val="auto"/>
                <w:w w:val="92"/>
              </w:rPr>
              <w:t>36 %</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20,250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3,302</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60,538</w:t>
            </w:r>
          </w:p>
        </w:tc>
        <w:tc>
          <w:tcPr>
            <w:tcW w:w="1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7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1,625</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(2,220)</w:t>
            </w:r>
          </w:p>
        </w:tc>
        <w:tc>
          <w:tcPr>
            <w:tcW w:w="5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137</w:t>
            </w:r>
          </w:p>
        </w:tc>
      </w:tr>
      <w:tr>
        <w:trPr>
          <w:trHeight w:val="248"/>
        </w:trPr>
        <w:tc>
          <w:tcPr>
            <w:tcW w:w="2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gross profit decreased $10.5 million during the three months ended April 30, 2021 compared to the same period a year ago. Gross profit was impacted by the decrease in term license revenue resulting from entering into multi-year term license arrangements during fiscal year 2020, decreases in professional services revenue driven by contracts with lower average services billing rates, increased investments in implementation engagements, and lower billable travel costs resulting from COVID-19 travel restrictions.</w:t>
      </w:r>
    </w:p>
    <w:p>
      <w:pPr>
        <w:spacing w:after="0" w:line="6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gross margin decreased to 44% during the three months ended April 30, 2021, as compared to 49% during the same period a year ago. Gross margin was impacted by lower subscription and support gross margins resulting from increasing investments in cloud operations and negative services gross margin resulting from contracts with lower average services billing rates and investments in implementation engagements.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1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03"/>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2"/>
              </w:rPr>
              <w:t>Nine Months Ended April 30,</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Margin %</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60" w:type="dxa"/>
            <w:vAlign w:val="bottom"/>
            <w:gridSpan w:val="7"/>
          </w:tcPr>
          <w:p>
            <w:pPr>
              <w:ind w:left="100"/>
              <w:spacing w:after="0"/>
              <w:rPr>
                <w:sz w:val="20"/>
                <w:szCs w:val="20"/>
                <w:color w:val="auto"/>
              </w:rPr>
            </w:pPr>
            <w:r>
              <w:rPr>
                <w:rFonts w:ascii="Arial" w:cs="Arial" w:eastAsia="Arial" w:hAnsi="Arial"/>
                <w:sz w:val="18"/>
                <w:szCs w:val="18"/>
                <w:b w:val="1"/>
                <w:bCs w:val="1"/>
                <w:color w:val="auto"/>
                <w:w w:val="90"/>
              </w:rPr>
              <w:t>(in thousands, except percentages)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520" w:type="dxa"/>
            <w:vAlign w:val="bottom"/>
            <w:gridSpan w:val="3"/>
          </w:tcPr>
          <w:p>
            <w:pPr>
              <w:ind w:left="140"/>
              <w:spacing w:after="0"/>
              <w:rPr>
                <w:sz w:val="20"/>
                <w:szCs w:val="20"/>
                <w:color w:val="auto"/>
              </w:rPr>
            </w:pPr>
            <w:r>
              <w:rPr>
                <w:rFonts w:ascii="Arial" w:cs="Arial" w:eastAsia="Arial" w:hAnsi="Arial"/>
                <w:sz w:val="18"/>
                <w:szCs w:val="18"/>
                <w:color w:val="auto"/>
              </w:rPr>
              <w:t>Subscription and support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63,917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700"/>
              <w:spacing w:after="0"/>
              <w:rPr>
                <w:sz w:val="20"/>
                <w:szCs w:val="20"/>
                <w:color w:val="auto"/>
              </w:rPr>
            </w:pPr>
            <w:r>
              <w:rPr>
                <w:rFonts w:ascii="Arial" w:cs="Arial" w:eastAsia="Arial" w:hAnsi="Arial"/>
                <w:sz w:val="18"/>
                <w:szCs w:val="18"/>
                <w:color w:val="auto"/>
                <w:w w:val="92"/>
              </w:rPr>
              <w:t>35 %</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700"/>
              <w:spacing w:after="0"/>
              <w:rPr>
                <w:sz w:val="20"/>
                <w:szCs w:val="20"/>
                <w:color w:val="auto"/>
              </w:rPr>
            </w:pPr>
            <w:r>
              <w:rPr>
                <w:rFonts w:ascii="Arial" w:cs="Arial" w:eastAsia="Arial" w:hAnsi="Arial"/>
                <w:sz w:val="18"/>
                <w:szCs w:val="18"/>
                <w:color w:val="auto"/>
                <w:w w:val="92"/>
              </w:rPr>
              <w:t>44 %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(1,769)</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25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5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(254)</w:t>
            </w:r>
          </w:p>
        </w:tc>
      </w:tr>
      <w:tr>
        <w:trPr>
          <w:trHeight w:val="248"/>
        </w:trPr>
        <w:tc>
          <w:tcPr>
            <w:tcW w:w="25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(9,531)</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gross profit decreased $9.5 million during the nine months ended April 30, 2021 compared to the same period a year ago. Gross profit was impacted by decreases in professional services revenue, and, to a lesser extent, continued investments in cloud operations to support our growing cloud customer base.</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gross margin decreased to 46% during the nine months ended April 30, 2021, as compared to 50% during the same period a year ago. Gross margin was impacted by lower subscription and support gross margins resulting from increasing investments in cloud operations, and negative services gross margins resulting from contracts with lower average services billing rates and investments in implementation engagements.</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subscription and support gross margins will fluctuate as our subscription revenue increases and we continue to invest in our cloud operations. However, as we gain efficiencies and increase the number of cloud customers, we expect subscription gross margins to improve over time. In addition to the impact of our investment in customer migrations and implementations, we expect continued challenges related to COVID-19 will negatively impact services gross margin through fiscal year 2021 and potentially longer. We expect license gross margin will fluctuate based on changes in revenue due to the timing of delivery of new multi-year term licenses and the execution of multi-year term license renewals, as cost of license revenue is expected to be relatively flat compared to prior periods.</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w:t>
      </w:r>
    </w:p>
    <w:p>
      <w:pPr>
        <w:spacing w:after="0" w:line="4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allocate overhead such as information technology support, information security, facilities, and other administrative costs to all functional departments based on headcount. As a result, general overhead expenses are reflected in cost of revenue and each functional operating expense.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3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w w:val="98"/>
              </w:rPr>
              <w:t>Three Months Ended April 30,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3"/>
              </w:rPr>
              <w:t>As a % of 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4"/>
                <w:szCs w:val="14"/>
                <w:color w:val="auto"/>
              </w:rPr>
            </w:pP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9"/>
              </w:rPr>
              <w:t>total revenue</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6"/>
              </w:rPr>
              <w:t>revenue</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gridSpan w:val="3"/>
            <w:vMerge w:val="restart"/>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12"/>
          </w:tcPr>
          <w:p>
            <w:pPr>
              <w:ind w:left="1000"/>
              <w:spacing w:after="0"/>
              <w:rPr>
                <w:sz w:val="20"/>
                <w:szCs w:val="20"/>
                <w:color w:val="auto"/>
              </w:rPr>
            </w:pPr>
            <w:r>
              <w:rPr>
                <w:rFonts w:ascii="Arial" w:cs="Arial" w:eastAsia="Arial" w:hAnsi="Arial"/>
                <w:sz w:val="18"/>
                <w:szCs w:val="18"/>
                <w:b w:val="1"/>
                <w:bCs w:val="1"/>
                <w:color w:val="auto"/>
                <w:w w:val="86"/>
              </w:rPr>
              <w:t>(in thousands, except percentages)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54,155</w:t>
            </w:r>
          </w:p>
        </w:tc>
        <w:tc>
          <w:tcPr>
            <w:tcW w:w="116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51,893</w:t>
            </w:r>
          </w:p>
        </w:tc>
        <w:tc>
          <w:tcPr>
            <w:tcW w:w="130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w w:val="92"/>
              </w:rPr>
              <w:t>30 %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660" w:type="dxa"/>
            <w:vAlign w:val="bottom"/>
            <w:gridSpan w:val="3"/>
          </w:tcPr>
          <w:p>
            <w:pPr>
              <w:ind w:left="14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40,879</w:t>
            </w:r>
          </w:p>
        </w:tc>
        <w:tc>
          <w:tcPr>
            <w:tcW w:w="116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35,235</w:t>
            </w:r>
          </w:p>
        </w:tc>
        <w:tc>
          <w:tcPr>
            <w:tcW w:w="1300" w:type="dxa"/>
            <w:vAlign w:val="bottom"/>
            <w:gridSpan w:val="4"/>
          </w:tcPr>
          <w:p>
            <w:pPr>
              <w:ind w:left="9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5,644</w:t>
            </w:r>
          </w:p>
        </w:tc>
        <w:tc>
          <w:tcPr>
            <w:tcW w:w="4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23,695</w:t>
            </w:r>
          </w:p>
        </w:tc>
        <w:tc>
          <w:tcPr>
            <w:tcW w:w="116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20,885</w:t>
            </w:r>
          </w:p>
        </w:tc>
        <w:tc>
          <w:tcPr>
            <w:tcW w:w="130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660" w:type="dxa"/>
            <w:vAlign w:val="bottom"/>
            <w:gridSpan w:val="3"/>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118,729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10,716</w:t>
            </w:r>
          </w:p>
        </w:tc>
        <w:tc>
          <w:tcPr>
            <w:tcW w:w="4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Includes stock-based compensation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ind w:left="20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1,597</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19,865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0"/>
          </w:tcPr>
          <w:p>
            <w:pPr>
              <w:ind w:left="60"/>
              <w:spacing w:after="0"/>
              <w:rPr>
                <w:sz w:val="20"/>
                <w:szCs w:val="20"/>
                <w:color w:val="auto"/>
              </w:rPr>
            </w:pPr>
            <w:r>
              <w:rPr>
                <w:rFonts w:ascii="Arial" w:cs="Arial" w:eastAsia="Arial" w:hAnsi="Arial"/>
                <w:sz w:val="18"/>
                <w:szCs w:val="18"/>
                <w:b w:val="1"/>
                <w:bCs w:val="1"/>
                <w:color w:val="auto"/>
              </w:rPr>
              <w:t>Nine Months Ended April 30,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3"/>
              </w:rPr>
              <w:t>As a %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As a %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4"/>
                <w:szCs w:val="14"/>
                <w:color w:val="auto"/>
              </w:rPr>
            </w:pP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total revenue</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9"/>
              </w:rPr>
              <w:t>total revenue</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gridSpan w:val="3"/>
            <w:vMerge w:val="restart"/>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12"/>
          </w:tcPr>
          <w:p>
            <w:pPr>
              <w:ind w:left="960"/>
              <w:spacing w:after="0"/>
              <w:rPr>
                <w:sz w:val="20"/>
                <w:szCs w:val="20"/>
                <w:color w:val="auto"/>
              </w:rPr>
            </w:pPr>
            <w:r>
              <w:rPr>
                <w:rFonts w:ascii="Arial" w:cs="Arial" w:eastAsia="Arial" w:hAnsi="Arial"/>
                <w:sz w:val="18"/>
                <w:szCs w:val="18"/>
                <w:b w:val="1"/>
                <w:bCs w:val="1"/>
                <w:color w:val="auto"/>
                <w:w w:val="88"/>
              </w:rPr>
              <w:t>(in thousands, except percentages)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159,964</w:t>
            </w:r>
          </w:p>
        </w:tc>
        <w:tc>
          <w:tcPr>
            <w:tcW w:w="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w w:val="92"/>
              </w:rPr>
              <w:t>31 %</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148,343</w:t>
            </w:r>
          </w:p>
        </w:tc>
        <w:tc>
          <w:tcPr>
            <w:tcW w:w="1320" w:type="dxa"/>
            <w:vAlign w:val="bottom"/>
            <w:gridSpan w:val="5"/>
            <w:shd w:val="clear" w:color="auto" w:fill="CCEEFF"/>
          </w:tcPr>
          <w:p>
            <w:pPr>
              <w:ind w:left="920"/>
              <w:spacing w:after="0"/>
              <w:rPr>
                <w:sz w:val="20"/>
                <w:szCs w:val="20"/>
                <w:color w:val="auto"/>
              </w:rPr>
            </w:pPr>
            <w:r>
              <w:rPr>
                <w:rFonts w:ascii="Arial" w:cs="Arial" w:eastAsia="Arial" w:hAnsi="Arial"/>
                <w:sz w:val="18"/>
                <w:szCs w:val="18"/>
                <w:color w:val="auto"/>
                <w:w w:val="92"/>
              </w:rPr>
              <w:t>30 %</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3660" w:type="dxa"/>
            <w:vAlign w:val="bottom"/>
            <w:gridSpan w:val="3"/>
          </w:tcPr>
          <w:p>
            <w:pPr>
              <w:ind w:left="14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116,739</w:t>
            </w:r>
          </w:p>
        </w:tc>
        <w:tc>
          <w:tcPr>
            <w:tcW w:w="8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105,590</w:t>
            </w:r>
          </w:p>
        </w:tc>
        <w:tc>
          <w:tcPr>
            <w:tcW w:w="1300" w:type="dxa"/>
            <w:vAlign w:val="bottom"/>
            <w:gridSpan w:val="4"/>
          </w:tcPr>
          <w:p>
            <w:pPr>
              <w:ind w:left="9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11,149</w:t>
            </w:r>
          </w:p>
        </w:tc>
        <w:tc>
          <w:tcPr>
            <w:tcW w:w="4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67,695</w:t>
            </w: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62,723</w:t>
            </w:r>
          </w:p>
        </w:tc>
        <w:tc>
          <w:tcPr>
            <w:tcW w:w="130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660" w:type="dxa"/>
            <w:vAlign w:val="bottom"/>
            <w:gridSpan w:val="3"/>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8"/>
                <w:szCs w:val="18"/>
                <w:color w:val="auto"/>
              </w:rPr>
              <w:t>67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316,656</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1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27,742</w:t>
            </w:r>
          </w:p>
        </w:tc>
        <w:tc>
          <w:tcPr>
            <w:tcW w:w="4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Includes stock-based compensation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ind w:left="20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3,227</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research and development expenses primarily consist of personnel costs for our technical staff and consultants providing professional services.</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$2.3 million increase in research and development expenses during the three months ended April 30, 2021 compared to the same period a year ago, was primarily due to increases of $1.7 million in personnel costs associated with higher headcount in fiscal year 2021, $0.7 million of cloud infrastructure costs for our development environments, and $0.4 million of professional services costs for consultants that support the development of our subscription offerings, information security requirements, and cloud strategy. These increases were partially offset by a decrease in travel costs of $0.5 million due to COVID-19 travel restrictions. The three months ended April 30, 2021 included a $0.5 million benefit to research and development expenses related to the CEWS.</w:t>
      </w:r>
    </w:p>
    <w:p>
      <w:pPr>
        <w:spacing w:after="0" w:line="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$11.6 million increase in research and development expenses during the nine months ended April 30, 2021 compared to the same period a year ago was primarily due to increases of $11.1 million in personnel costs associated with higher headcount in fiscal year 2021, $1.7 million of cloud infrastructure costs for our development environments, and $0.8 million of professional services costs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9" w:name="page50"/>
    <w:bookmarkEnd w:id="4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consultants that support the development of our subscription offerings, information security requirements, and cloud strategy. These increases were partially offset by a decrease in travel costs of $1.9 million due to COVID-19 travel restrictions. The nine months ended April 30, 2021 included a $1.1 million benefit related to the CEWS.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headcount was 802 at April 30, 2021 compared with 749 at April 30, 2020.</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research and development expenses to increase in absolute dollars as we continue to hire and dedicate internal resources to develop, improve, and expand the functionality of our solutions and migrate our solutions to the cloud. Research and development expenses may also increase if we pursue additional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includes travel expenses, professional services for marketing activities, and amortization of certain acquired intangibles.</w:t>
      </w:r>
    </w:p>
    <w:p>
      <w:pPr>
        <w:spacing w:after="0" w:line="3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$5.6 million increase in sales and marketing expenses during the three months ended April 30, 2021 compared to the same period a year ago was primarily attributable to increases of $5.8 million in personnel costs due to higher headcount to sell and market our services and products, including an increase of $0.6 million due to the amortization of contract acquisition costs (primarily commissions). Marketing and advertising expense increased $0.5 million due to costs associated with Connections Reimagined, a three part series of virtual events that occurred over the course of the year due to COVID-</w:t>
      </w:r>
    </w:p>
    <w:p>
      <w:pPr>
        <w:spacing w:after="0" w:line="1" w:lineRule="exact"/>
        <w:rPr>
          <w:sz w:val="20"/>
          <w:szCs w:val="20"/>
          <w:color w:val="auto"/>
        </w:rPr>
      </w:pPr>
    </w:p>
    <w:p>
      <w:pPr>
        <w:jc w:val="both"/>
        <w:ind w:firstLine="8"/>
        <w:spacing w:after="0" w:line="253" w:lineRule="auto"/>
        <w:tabs>
          <w:tab w:leader="none" w:pos="2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the conferences held in March and May 2021 were incurred during the three months ended April 30, 2021. Costs for the annual event held in fiscal year 2020 were recognized in the three months ended January 31, 2020, the quarter in which the in-person event occurred. We expect to recognize additional costs associated with the May 2021 event in the fourth quarter of fiscal year 2021. These increases were partially offset by a decrease of $1.0 million in travel costs due to COVID-19 travel restrictions. The three months ended April 30, 2021 included a $0.1 million benefit to sales and marketing expenses related to the CEWS.</w:t>
      </w:r>
    </w:p>
    <w:p>
      <w:pPr>
        <w:spacing w:after="0" w:line="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$11.1 million increase in sales and marketing expenses during the nine months ended April 30, 2021 compared to the same period a year ago was primarily attributable to an increase of $17.4 million in personnel costs due to higher headcount to sell and market our services and products, including an increase of $2.9 million due to the amortization of contract acquisition costs (primarily commissions). These increases were partially offset by decreases of $5.3 million in travel costs due to COVID-19 travel restrictions and $1.5 million in marketing, advertising and related professional services expenses for our user conferences due to Connections in November 2019 being an in-person event while Connections Reimagined was three virtual events held throughout fiscal 2021. The nine months ended April 30, 2021 included a $0.2 million benefit to sales and marketing expenses related to the CEWS.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sales and marketing headcount was 423 at April 30, 2021 compared with 395 at April 30, 2020.</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sales and marketing expenses to continue to increase in absolute dollars as we continue to invest in sales and marketing activities to support our business growth and objectives. Additionally, we anticipate that Connections will be an in-person event in the future, supplemented by virtual content, which may contribute to an increase in sales and marketing expenses.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general and administrative expenses include executive, finance, human resources, legal, and corporate development and strategy functions, and primarily consist of personnel costs, as well as professional services.</w:t>
      </w:r>
    </w:p>
    <w:p>
      <w:pPr>
        <w:spacing w:after="0" w:line="3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$2.8 million increase during the three months ended April 30, 2021 compared to the same period a year ago was primarily due to the $3.6 million increase in professional services and software expenses to support our growth and remote work environment, partially offset by decreases of $0.5 million in depreciation expense as we early terminated certain office space in December 2020 and $0.3 million in travel costs due to COVID-19 travel restrictions.</w:t>
      </w:r>
    </w:p>
    <w:p>
      <w:pPr>
        <w:spacing w:after="0" w:line="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$5.0 million increase during the nine months ended April 30, 2021 compared to the same period a year ago was primarily due to the $6.0 million increase in professional services and software expenses to support our growth and remote work environment, partially offset by a $1.0 million decrease in travel costs due to COVID-19 travel restrictions.</w:t>
      </w:r>
    </w:p>
    <w:p>
      <w:pPr>
        <w:spacing w:after="0" w:line="6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general and administrative headcount was 371 at April 30, 2021 compared with 318 at April 30, 2020. General and administrative headcount includes personnel in information technology support, information security, facilities, and recruiting whose expenses are allocated across all functional departments.</w:t>
      </w:r>
    </w:p>
    <w:p>
      <w:pPr>
        <w:spacing w:after="0" w:line="4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0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31"/>
        </w:trPr>
        <w:tc>
          <w:tcPr>
            <w:tcW w:w="340" w:type="dxa"/>
            <w:vAlign w:val="bottom"/>
          </w:tcPr>
          <w:p>
            <w:pPr>
              <w:spacing w:after="0"/>
              <w:rPr>
                <w:sz w:val="24"/>
                <w:szCs w:val="24"/>
                <w:color w:val="auto"/>
              </w:rPr>
            </w:pPr>
          </w:p>
        </w:tc>
        <w:tc>
          <w:tcPr>
            <w:tcW w:w="408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Other Income (Expense)</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4"/>
          </w:tcPr>
          <w:p>
            <w:pPr>
              <w:jc w:val="center"/>
              <w:ind w:right="670"/>
              <w:spacing w:after="0"/>
              <w:rPr>
                <w:sz w:val="20"/>
                <w:szCs w:val="20"/>
                <w:color w:val="auto"/>
              </w:rPr>
            </w:pPr>
            <w:r>
              <w:rPr>
                <w:rFonts w:ascii="Arial" w:cs="Arial" w:eastAsia="Arial" w:hAnsi="Arial"/>
                <w:sz w:val="18"/>
                <w:szCs w:val="18"/>
                <w:b w:val="1"/>
                <w:bCs w:val="1"/>
                <w:color w:val="auto"/>
                <w:w w:val="92"/>
              </w:rPr>
              <w:t>Three Months Ended April 30,</w:t>
            </w:r>
          </w:p>
        </w:tc>
        <w:tc>
          <w:tcPr>
            <w:tcW w:w="1000" w:type="dxa"/>
            <w:vAlign w:val="bottom"/>
            <w:tcBorders>
              <w:bottom w:val="single" w:sz="8" w:color="auto"/>
            </w:tcBorders>
          </w:tcPr>
          <w:p>
            <w:pPr>
              <w:spacing w:after="0"/>
              <w:rPr>
                <w:sz w:val="22"/>
                <w:szCs w:val="22"/>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gridSpan w:val="4"/>
          </w:tcPr>
          <w:p>
            <w:pPr>
              <w:jc w:val="center"/>
              <w:ind w:right="690"/>
              <w:spacing w:after="0"/>
              <w:rPr>
                <w:sz w:val="20"/>
                <w:szCs w:val="20"/>
                <w:color w:val="auto"/>
              </w:rPr>
            </w:pPr>
            <w:r>
              <w:rPr>
                <w:rFonts w:ascii="Arial" w:cs="Arial" w:eastAsia="Arial" w:hAnsi="Arial"/>
                <w:sz w:val="18"/>
                <w:szCs w:val="18"/>
                <w:b w:val="1"/>
                <w:bCs w:val="1"/>
                <w:color w:val="auto"/>
                <w:w w:val="86"/>
              </w:rPr>
              <w:t>(in thousands, except percentages)</w:t>
            </w:r>
          </w:p>
        </w:tc>
        <w:tc>
          <w:tcPr>
            <w:tcW w:w="1000" w:type="dxa"/>
            <w:vAlign w:val="bottom"/>
          </w:tcPr>
          <w:p>
            <w:pPr>
              <w:spacing w:after="0"/>
              <w:rPr>
                <w:sz w:val="19"/>
                <w:szCs w:val="19"/>
                <w:color w:val="auto"/>
              </w:rPr>
            </w:pPr>
          </w:p>
        </w:tc>
      </w:tr>
      <w:tr>
        <w:trPr>
          <w:trHeight w:val="229"/>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(4,513)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(193)</w:t>
            </w:r>
          </w:p>
        </w:tc>
        <w:tc>
          <w:tcPr>
            <w:tcW w:w="10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17,615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420" w:type="dxa"/>
            <w:vAlign w:val="bottom"/>
            <w:gridSpan w:val="3"/>
          </w:tcPr>
          <w:p>
            <w:pPr>
              <w:spacing w:after="0"/>
              <w:rPr>
                <w:sz w:val="20"/>
                <w:szCs w:val="20"/>
                <w:color w:val="auto"/>
              </w:rPr>
            </w:pPr>
            <w:r>
              <w:rPr>
                <w:rFonts w:ascii="Arial" w:cs="Arial" w:eastAsia="Arial" w:hAnsi="Arial"/>
                <w:sz w:val="12"/>
                <w:szCs w:val="12"/>
                <w:color w:val="auto"/>
              </w:rPr>
              <w:t>*Not meaningful</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1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center"/>
              <w:ind w:right="690"/>
              <w:spacing w:after="0"/>
              <w:rPr>
                <w:sz w:val="20"/>
                <w:szCs w:val="20"/>
                <w:color w:val="auto"/>
              </w:rPr>
            </w:pPr>
            <w:r>
              <w:rPr>
                <w:rFonts w:ascii="Arial" w:cs="Arial" w:eastAsia="Arial" w:hAnsi="Arial"/>
                <w:sz w:val="18"/>
                <w:szCs w:val="18"/>
                <w:b w:val="1"/>
                <w:bCs w:val="1"/>
                <w:color w:val="auto"/>
                <w:w w:val="92"/>
              </w:rPr>
              <w:t>Nine Months Ended April 30,</w:t>
            </w:r>
          </w:p>
        </w:tc>
        <w:tc>
          <w:tcPr>
            <w:tcW w:w="100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gridSpan w:val="4"/>
          </w:tcPr>
          <w:p>
            <w:pPr>
              <w:jc w:val="center"/>
              <w:ind w:right="690"/>
              <w:spacing w:after="0"/>
              <w:rPr>
                <w:sz w:val="20"/>
                <w:szCs w:val="20"/>
                <w:color w:val="auto"/>
              </w:rPr>
            </w:pPr>
            <w:r>
              <w:rPr>
                <w:rFonts w:ascii="Arial" w:cs="Arial" w:eastAsia="Arial" w:hAnsi="Arial"/>
                <w:sz w:val="18"/>
                <w:szCs w:val="18"/>
                <w:b w:val="1"/>
                <w:bCs w:val="1"/>
                <w:color w:val="auto"/>
                <w:w w:val="86"/>
              </w:rPr>
              <w:t>(in thousands, except percentages)</w:t>
            </w:r>
          </w:p>
        </w:tc>
        <w:tc>
          <w:tcPr>
            <w:tcW w:w="1000" w:type="dxa"/>
            <w:vAlign w:val="bottom"/>
          </w:tcPr>
          <w:p>
            <w:pPr>
              <w:spacing w:after="0"/>
              <w:rPr>
                <w:sz w:val="19"/>
                <w:szCs w:val="19"/>
                <w:color w:val="auto"/>
              </w:rPr>
            </w:pPr>
          </w:p>
        </w:tc>
      </w:tr>
      <w:tr>
        <w:trPr>
          <w:trHeight w:val="229"/>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(14,303)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(573)</w:t>
            </w:r>
          </w:p>
        </w:tc>
        <w:tc>
          <w:tcPr>
            <w:tcW w:w="10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27,421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*Not meaningful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represents interest earned on our cash, cash equivalents, and investments.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decreased $4.5 million and $14.3 million during the three and nine months ended April 30, 2021, respectively, compared to the same periods a year ago, primarily due to lower yields on invested funds.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3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includes both stated interest and the amortization of debt discount and issuance costs associated with the $400.0 million aggregate principal amount of our Convertible Senior Notes that were issued in March 2018. The amortization of debt discount and issuance costs are recognized on an effective interest basis. Stated interest expense is consistent in the comparative periods as the outstanding principal and stated interest rate have not changed.</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for the three months ended April 30, 2021 and 2020 consists of non-cash interest expense related to the amortization of debt discount and issuance costs of $3.4 million and $3.2 million, respectively, and stated interest of $1.3 million in both periods.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for the nine months ended April 30, 2021 and 2020 consists of non-cash interest expense related to the amortization of debt discount and issuance costs of $10.1 million and $9.6 million, respectively, and stated interest of $3.7 million in both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We currently have entities with a functional currency of the Argentine Peso, Australian Dollar, Brazilian Real, British Pound, Canadian Dollar, Danish Kroner, Euro, Indian Rupee, Japanese Yen, Malaysian Ringgit, New Zealand Dollar, Polish Zloty, Russian Ruble, and Swiss Franc.</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(expense), net during the three months ended April 30, 2021 was income of $5.3 million, as compared to expense of $12.4 million during the same period a year ago. Due to fluctuations in exchange rates, the three months ended April 30, 2021 included a realized and unrealized foreign currency gain of $5.3 million, while the three months ended April 30, 2020 included a realized and unrealized foreign currency loss of $1.6 million. Foreign currency exchange rates have been more volatile in the past six months. The three months ended April 30, 2020 also included a change in fair value of our strategic investments of $10.7 million.</w:t>
      </w:r>
    </w:p>
    <w:p>
      <w:pPr>
        <w:spacing w:after="0" w:line="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during the nine months ended April 30, 2021 was income of $14.6 million, as compared to expense of $12.8 million during the same period a year ago. Due to fluctuations in exchange rates, the nine months ended April 30, 2021</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1" w:name="page52"/>
    <w:bookmarkEnd w:id="5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included a realized and unrealized foreign currency gain of $14.3 million while the nine months ended April 30, 2020 included a realized and unrealized foreign currency loss of $2.1 million. The nine months ended April 30, 2020 also included a change in fair value of our strategic investments of $10.7 million.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taxes in the United States as well as other tax jurisdictions and countries in which we conduct business. Earnings from our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subject to local country income tax and may also be subject to U.S. income tax.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center"/>
              <w:ind w:right="1050"/>
              <w:spacing w:after="0"/>
              <w:rPr>
                <w:sz w:val="20"/>
                <w:szCs w:val="20"/>
                <w:color w:val="auto"/>
              </w:rPr>
            </w:pPr>
            <w:r>
              <w:rPr>
                <w:rFonts w:ascii="Arial" w:cs="Arial" w:eastAsia="Arial" w:hAnsi="Arial"/>
                <w:sz w:val="18"/>
                <w:szCs w:val="18"/>
                <w:b w:val="1"/>
                <w:bCs w:val="1"/>
                <w:color w:val="auto"/>
                <w:w w:val="92"/>
              </w:rPr>
              <w:t>Three Months Ended April 30,</w:t>
            </w:r>
          </w:p>
        </w:tc>
        <w:tc>
          <w:tcPr>
            <w:tcW w:w="980" w:type="dxa"/>
            <w:vAlign w:val="bottom"/>
            <w:tcBorders>
              <w:bottom w:val="single" w:sz="8" w:color="auto"/>
            </w:tcBorders>
          </w:tcPr>
          <w:p>
            <w:pPr>
              <w:spacing w:after="0"/>
              <w:rPr>
                <w:sz w:val="20"/>
                <w:szCs w:val="20"/>
                <w:color w:val="auto"/>
              </w:rPr>
            </w:pPr>
          </w:p>
        </w:tc>
      </w:tr>
      <w:tr>
        <w:trPr>
          <w:trHeight w:val="223"/>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7"/>
          </w:tcPr>
          <w:p>
            <w:pPr>
              <w:jc w:val="center"/>
              <w:ind w:right="890"/>
              <w:spacing w:after="0"/>
              <w:rPr>
                <w:sz w:val="20"/>
                <w:szCs w:val="20"/>
                <w:color w:val="auto"/>
              </w:rPr>
            </w:pPr>
            <w:r>
              <w:rPr>
                <w:rFonts w:ascii="Arial" w:cs="Arial" w:eastAsia="Arial" w:hAnsi="Arial"/>
                <w:sz w:val="18"/>
                <w:szCs w:val="18"/>
                <w:b w:val="1"/>
                <w:bCs w:val="1"/>
                <w:color w:val="auto"/>
                <w:w w:val="86"/>
              </w:rPr>
              <w:t>(in thousands, except percentages)</w:t>
            </w:r>
          </w:p>
        </w:tc>
        <w:tc>
          <w:tcPr>
            <w:tcW w:w="980" w:type="dxa"/>
            <w:vAlign w:val="bottom"/>
          </w:tcPr>
          <w:p>
            <w:pPr>
              <w:spacing w:after="0"/>
              <w:rPr>
                <w:sz w:val="19"/>
                <w:szCs w:val="19"/>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(8,073)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(5,351)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(2,722)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88"/>
        </w:trPr>
        <w:tc>
          <w:tcPr>
            <w:tcW w:w="3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center"/>
              <w:ind w:right="1050"/>
              <w:spacing w:after="0"/>
              <w:rPr>
                <w:sz w:val="20"/>
                <w:szCs w:val="20"/>
                <w:color w:val="auto"/>
              </w:rPr>
            </w:pPr>
            <w:r>
              <w:rPr>
                <w:rFonts w:ascii="Arial" w:cs="Arial" w:eastAsia="Arial" w:hAnsi="Arial"/>
                <w:sz w:val="18"/>
                <w:szCs w:val="18"/>
                <w:b w:val="1"/>
                <w:bCs w:val="1"/>
                <w:color w:val="auto"/>
                <w:w w:val="93"/>
              </w:rPr>
              <w:t>Nine Months Ended April 30,</w:t>
            </w:r>
          </w:p>
        </w:tc>
        <w:tc>
          <w:tcPr>
            <w:tcW w:w="980" w:type="dxa"/>
            <w:vAlign w:val="bottom"/>
            <w:tcBorders>
              <w:bottom w:val="single" w:sz="8" w:color="auto"/>
            </w:tcBorders>
          </w:tcPr>
          <w:p>
            <w:pPr>
              <w:spacing w:after="0"/>
              <w:rPr>
                <w:sz w:val="24"/>
                <w:szCs w:val="24"/>
                <w:color w:val="auto"/>
              </w:rPr>
            </w:pPr>
          </w:p>
        </w:tc>
      </w:tr>
      <w:tr>
        <w:trPr>
          <w:trHeight w:val="223"/>
        </w:trPr>
        <w:tc>
          <w:tcPr>
            <w:tcW w:w="3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3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7"/>
          </w:tcPr>
          <w:p>
            <w:pPr>
              <w:jc w:val="center"/>
              <w:ind w:right="910"/>
              <w:spacing w:after="0"/>
              <w:rPr>
                <w:sz w:val="20"/>
                <w:szCs w:val="20"/>
                <w:color w:val="auto"/>
              </w:rPr>
            </w:pPr>
            <w:r>
              <w:rPr>
                <w:rFonts w:ascii="Arial" w:cs="Arial" w:eastAsia="Arial" w:hAnsi="Arial"/>
                <w:sz w:val="18"/>
                <w:szCs w:val="18"/>
                <w:b w:val="1"/>
                <w:bCs w:val="1"/>
                <w:color w:val="auto"/>
                <w:w w:val="87"/>
              </w:rPr>
              <w:t>(in thousands, except percentages)</w:t>
            </w:r>
          </w:p>
        </w:tc>
        <w:tc>
          <w:tcPr>
            <w:tcW w:w="980" w:type="dxa"/>
            <w:vAlign w:val="bottom"/>
          </w:tcPr>
          <w:p>
            <w:pPr>
              <w:spacing w:after="0"/>
              <w:rPr>
                <w:sz w:val="19"/>
                <w:szCs w:val="19"/>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(32,999)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(25,226)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0" w:lineRule="exact"/>
        <w:rPr>
          <w:sz w:val="20"/>
          <w:szCs w:val="20"/>
          <w:color w:val="auto"/>
        </w:rPr>
      </w:pPr>
    </w:p>
    <w:p>
      <w:pPr>
        <w:spacing w:after="0" w:line="29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recognized an income tax benefit of $8.1 million and $5.4 million for the three months ended April 30, 2021 and 2020, respectively, and an income tax benefit of $33.0 million and $7.8 million for the nine months ended April 30, 2021 and 2020, respectively. The change in the amount of income taxes recorded for the three months ended April 30, 2021 compared to the same period a year ago was primarily due to the increase in the loss before taxes. The change in the amount of income taxes recorded for the nine months ended April 30, 2021 compared to the same period a year ago was primarily due to the increase in the loss before taxes, release of uncertain tax positions, and the tax status change of certain foreign subsidiaries for U.S. tax purposes.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effective tax rate of 18% and 34% for the three and nine months ended April 30, 2021 differs from the statutory U.S. federal income tax rate of 21% due to permanent differences for stock-based compensation including excess tax benefits, research and development credits, an increase in the valuation allowance against deferred tax assets, certain non-deductible expenses including executive compensation, the release of uncertain tax positions, and the tax status change of certain foreign subsidiaries.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three and nine months ended April 30, 2021, unrecognized tax benefits increased by $0.3 million and decreased by $5.7 million, respectively. As of April 30, 2021, we had unrecognized tax benefits of $11.8 million that, if recognized, would affect our effective tax rate.</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4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following table reconciles the specific items excluded from GAAP in the calculation of non-GAAP financial measures for the periods indicated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April 30,</w:t>
            </w:r>
          </w:p>
        </w:tc>
        <w:tc>
          <w:tcPr>
            <w:tcW w:w="300" w:type="dxa"/>
            <w:vAlign w:val="bottom"/>
          </w:tcPr>
          <w:p>
            <w:pPr>
              <w:spacing w:after="0"/>
              <w:rPr>
                <w:sz w:val="20"/>
                <w:szCs w:val="20"/>
                <w:color w:val="auto"/>
              </w:rPr>
            </w:pPr>
          </w:p>
        </w:tc>
        <w:tc>
          <w:tcPr>
            <w:tcW w:w="322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 April 30,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reconciliation:</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248,429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14,695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40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COVID-19 Canada Emergency Wage Subsidy</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benefit</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Non-GAAP gross profit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81,613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94,243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273,765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284,837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tcPr>
          <w:p>
            <w:pPr>
              <w:spacing w:after="0"/>
              <w:rPr>
                <w:sz w:val="15"/>
                <w:szCs w:val="15"/>
                <w:color w:val="auto"/>
              </w:rPr>
            </w:pPr>
          </w:p>
        </w:tc>
        <w:tc>
          <w:tcPr>
            <w:tcW w:w="4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Income (loss) from operations reconciliation:</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40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COVID-19 Canada Emergency Wage Subsidy</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benefit</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Non-GAAP income (loss)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 (loss) reconciliation:</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Amortization of debt discount and issuance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tcPr>
          <w:p>
            <w:pPr>
              <w:ind w:left="140"/>
              <w:spacing w:after="0" w:line="230" w:lineRule="exact"/>
              <w:rPr>
                <w:sz w:val="20"/>
                <w:szCs w:val="20"/>
                <w:color w:val="auto"/>
              </w:rPr>
            </w:pPr>
            <w:r>
              <w:rPr>
                <w:rFonts w:ascii="Arial" w:cs="Arial" w:eastAsia="Arial" w:hAnsi="Arial"/>
                <w:sz w:val="18"/>
                <w:szCs w:val="18"/>
                <w:color w:val="auto"/>
              </w:rPr>
              <w:t>Changes in fair value of strategic investment</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10,672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40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COVID-19 Canada Emergency Wage Subsidy</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benefit</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Tax impact of non-GAAP adjustments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provision (benefit) reconciliation: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GAAP tax provision (benefit)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(5,351)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(32,999)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(7,773)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w w:val="97"/>
              </w:rPr>
              <w:t>Amortization of debt discount and issuance costs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0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Changes in fair value of strategic investment</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3" w:name="page54"/>
    <w:bookmarkEnd w:id="53"/>
    <w:tbl>
      <w:tblPr>
        <w:tblLayout w:type="fixed"/>
        <w:tblInd w:w="3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 w:type="dxa"/>
            <w:vAlign w:val="bottom"/>
          </w:tcPr>
          <w:p>
            <w:pPr>
              <w:spacing w:after="0"/>
              <w:rPr>
                <w:sz w:val="24"/>
                <w:szCs w:val="24"/>
                <w:color w:val="auto"/>
              </w:rPr>
            </w:pP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COVID-19 Canada Emergency Wage Subsidy</w:t>
            </w:r>
          </w:p>
        </w:tc>
        <w:tc>
          <w:tcPr>
            <w:tcW w:w="40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benefit</w:t>
            </w:r>
            <w:r>
              <w:rPr>
                <w:rFonts w:ascii="Arial" w:cs="Arial" w:eastAsia="Arial" w:hAnsi="Arial"/>
                <w:sz w:val="23"/>
                <w:szCs w:val="23"/>
                <w:color w:val="auto"/>
                <w:vertAlign w:val="superscript"/>
              </w:rPr>
              <w:t>(3)</w:t>
            </w:r>
          </w:p>
        </w:tc>
        <w:tc>
          <w:tcPr>
            <w:tcW w:w="4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Tax impact of non-GAAP adjustments</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23"/>
        </w:trPr>
        <w:tc>
          <w:tcPr>
            <w:tcW w:w="4060" w:type="dxa"/>
            <w:vAlign w:val="bottom"/>
            <w:gridSpan w:val="3"/>
          </w:tcPr>
          <w:p>
            <w:pPr>
              <w:spacing w:after="0"/>
              <w:rPr>
                <w:sz w:val="20"/>
                <w:szCs w:val="20"/>
                <w:color w:val="auto"/>
              </w:rPr>
            </w:pPr>
            <w:r>
              <w:rPr>
                <w:rFonts w:ascii="Arial" w:cs="Arial" w:eastAsia="Arial" w:hAnsi="Arial"/>
                <w:sz w:val="18"/>
                <w:szCs w:val="18"/>
                <w:color w:val="auto"/>
              </w:rPr>
              <w:t>Non-GAAP tax provision (benefit)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Net income (loss) per share reconciliation:</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GAAP net income (loss) per share — diluted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9"/>
        </w:trPr>
        <w:tc>
          <w:tcPr>
            <w:tcW w:w="4060" w:type="dxa"/>
            <w:vAlign w:val="bottom"/>
            <w:gridSpan w:val="3"/>
          </w:tcPr>
          <w:p>
            <w:pPr>
              <w:spacing w:after="0"/>
              <w:rPr>
                <w:sz w:val="20"/>
                <w:szCs w:val="20"/>
                <w:color w:val="auto"/>
              </w:rPr>
            </w:pPr>
            <w:r>
              <w:rPr>
                <w:rFonts w:ascii="Arial" w:cs="Arial" w:eastAsia="Arial" w:hAnsi="Arial"/>
                <w:sz w:val="18"/>
                <w:szCs w:val="18"/>
                <w:color w:val="auto"/>
              </w:rPr>
              <w:t>Non-GAAP adjustments: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Amortization of debt discount and issuance costs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Changes in fair value of strategic investment</w:t>
            </w:r>
            <w:r>
              <w:rPr>
                <w:rFonts w:ascii="Arial" w:cs="Arial" w:eastAsia="Arial" w:hAnsi="Arial"/>
                <w:sz w:val="23"/>
                <w:szCs w:val="23"/>
                <w:color w:val="auto"/>
                <w:vertAlign w:val="superscript"/>
              </w:rPr>
              <w:t>(4)</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COVID-19 Canada Emergency Wage Subsidy</w:t>
            </w:r>
          </w:p>
        </w:tc>
        <w:tc>
          <w:tcPr>
            <w:tcW w:w="4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benefit</w:t>
            </w:r>
            <w:r>
              <w:rPr>
                <w:rFonts w:ascii="Arial" w:cs="Arial" w:eastAsia="Arial" w:hAnsi="Arial"/>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Tax impact of non-GAAP adjustments</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Non-GAAP dilutive shares excluded from GAAP</w:t>
            </w:r>
          </w:p>
        </w:tc>
        <w:tc>
          <w:tcPr>
            <w:tcW w:w="4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net income (loss) per share calculation</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3"/>
          </w:tcPr>
          <w:p>
            <w:pPr>
              <w:spacing w:after="0"/>
              <w:rPr>
                <w:sz w:val="20"/>
                <w:szCs w:val="20"/>
                <w:color w:val="auto"/>
              </w:rPr>
            </w:pPr>
            <w:r>
              <w:rPr>
                <w:rFonts w:ascii="Arial" w:cs="Arial" w:eastAsia="Arial" w:hAnsi="Arial"/>
                <w:sz w:val="18"/>
                <w:szCs w:val="18"/>
                <w:color w:val="auto"/>
              </w:rPr>
              <w:t>Non-GAAP net income (loss) per share — diluted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0"/>
              </w:rPr>
              <w:t>Shares used in computing Non-GAAP income (loss)</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per share amounts: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GAAP weighted average shares — diluted</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83,600,327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83,024,291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83,693,045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82,701,267</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2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Non-GAAP dilutive shares excluded from GAAP</w:t>
            </w:r>
          </w:p>
        </w:tc>
        <w:tc>
          <w:tcPr>
            <w:tcW w:w="40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486,398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807,361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798,189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income (loss) per share calculation</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 forma weighted average shares — diluted</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83,600,327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83,510,689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84,500,406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83,499,456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Adjustments reflect the impact on the tax benefit (provision) from all non-GAAP adjustments.</w:t>
      </w:r>
    </w:p>
    <w:p>
      <w:pPr>
        <w:spacing w:after="0" w:line="13" w:lineRule="exact"/>
        <w:rPr>
          <w:rFonts w:ascii="Arial" w:cs="Arial" w:eastAsia="Arial" w:hAnsi="Arial"/>
          <w:sz w:val="14"/>
          <w:szCs w:val="14"/>
          <w:color w:val="auto"/>
        </w:rPr>
      </w:pPr>
    </w:p>
    <w:p>
      <w:pPr>
        <w:ind w:firstLine="8"/>
        <w:spacing w:after="0" w:line="260" w:lineRule="auto"/>
        <w:tabs>
          <w:tab w:leader="none" w:pos="215" w:val="left"/>
        </w:tabs>
        <w:numPr>
          <w:ilvl w:val="0"/>
          <w:numId w:val="13"/>
        </w:numPr>
        <w:rPr>
          <w:rFonts w:ascii="Arial" w:cs="Arial" w:eastAsia="Arial" w:hAnsi="Arial"/>
          <w:sz w:val="13"/>
          <w:szCs w:val="13"/>
          <w:color w:val="auto"/>
        </w:rPr>
      </w:pPr>
      <w:r>
        <w:rPr>
          <w:rFonts w:ascii="Arial" w:cs="Arial" w:eastAsia="Arial" w:hAnsi="Arial"/>
          <w:sz w:val="13"/>
          <w:szCs w:val="13"/>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ind w:firstLine="8"/>
        <w:spacing w:after="0" w:line="241" w:lineRule="auto"/>
        <w:tabs>
          <w:tab w:leader="none" w:pos="207" w:val="left"/>
        </w:tabs>
        <w:numPr>
          <w:ilvl w:val="0"/>
          <w:numId w:val="13"/>
        </w:numPr>
        <w:rPr>
          <w:rFonts w:ascii="Arial" w:cs="Arial" w:eastAsia="Arial" w:hAnsi="Arial"/>
          <w:sz w:val="14"/>
          <w:szCs w:val="14"/>
          <w:color w:val="auto"/>
        </w:rPr>
      </w:pPr>
      <w:r>
        <w:rPr>
          <w:rFonts w:ascii="Arial" w:cs="Arial" w:eastAsia="Arial" w:hAnsi="Arial"/>
          <w:sz w:val="14"/>
          <w:szCs w:val="14"/>
          <w:color w:val="auto"/>
        </w:rPr>
        <w:t>Effective the second fiscal quarter of 2021, the COVID-19 Canada Emergency Wage Subsidy benefit was included as a non-GAAP adjustment. Prior to the second fiscal quarter of 2021, this program was not available.</w:t>
      </w:r>
    </w:p>
    <w:p>
      <w:pPr>
        <w:ind w:firstLine="8"/>
        <w:spacing w:after="0" w:line="255" w:lineRule="auto"/>
        <w:tabs>
          <w:tab w:leader="none" w:pos="205" w:val="left"/>
        </w:tabs>
        <w:numPr>
          <w:ilvl w:val="0"/>
          <w:numId w:val="13"/>
        </w:numPr>
        <w:rPr>
          <w:rFonts w:ascii="Arial" w:cs="Arial" w:eastAsia="Arial" w:hAnsi="Arial"/>
          <w:sz w:val="14"/>
          <w:szCs w:val="14"/>
          <w:color w:val="auto"/>
        </w:rPr>
      </w:pPr>
      <w:r>
        <w:rPr>
          <w:rFonts w:ascii="Arial" w:cs="Arial" w:eastAsia="Arial" w:hAnsi="Arial"/>
          <w:sz w:val="14"/>
          <w:szCs w:val="14"/>
          <w:color w:val="auto"/>
        </w:rPr>
        <w:t>Effective the third fiscal quarter of 2020, changes in fair value of strategic investments are excluded from non-GAAP measures. Prior to the third fiscal quarter of 2020, there were no changes in fair value of strategic investments in any periods presented.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80" w:type="dxa"/>
            <w:vAlign w:val="bottom"/>
            <w:gridSpan w:val="2"/>
          </w:tcPr>
          <w:p>
            <w:pPr>
              <w:ind w:left="340"/>
              <w:spacing w:after="0"/>
              <w:rPr>
                <w:sz w:val="20"/>
                <w:szCs w:val="20"/>
                <w:color w:val="auto"/>
              </w:rPr>
            </w:pPr>
            <w:r>
              <w:rPr>
                <w:rFonts w:ascii="Arial" w:cs="Arial" w:eastAsia="Arial" w:hAnsi="Arial"/>
                <w:sz w:val="18"/>
                <w:szCs w:val="18"/>
                <w:color w:val="auto"/>
              </w:rPr>
              <w:t>Our principal sources of liquidity are as follows (in thousands):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7080" w:type="dxa"/>
            <w:vAlign w:val="bottom"/>
            <w:vMerge w:val="restart"/>
          </w:tcPr>
          <w:p>
            <w:pPr>
              <w:ind w:left="20"/>
              <w:spacing w:after="0"/>
              <w:rPr>
                <w:sz w:val="20"/>
                <w:szCs w:val="20"/>
                <w:color w:val="auto"/>
              </w:rPr>
            </w:pPr>
            <w:r>
              <w:rPr>
                <w:rFonts w:ascii="Arial" w:cs="Arial" w:eastAsia="Arial" w:hAnsi="Arial"/>
                <w:sz w:val="18"/>
                <w:szCs w:val="18"/>
                <w:color w:val="auto"/>
              </w:rPr>
              <w:t>Cash, cash equivalents, and investments</w:t>
            </w:r>
          </w:p>
        </w:tc>
        <w:tc>
          <w:tcPr>
            <w:tcW w:w="18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2021</w:t>
            </w:r>
          </w:p>
        </w:tc>
        <w:tc>
          <w:tcPr>
            <w:tcW w:w="20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July 31, 2020</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08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1,288,826</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1,434,267</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1,093,649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1,118,020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April 30, 2021, approximately $57.6 million of our cash and cash equivalents were domiciled in foreign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4" w:name="page55"/>
    <w:bookmarkEnd w:id="5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October 2020, our board of directors authorized and approved a stock repurchase program of up to $200.0 million of our outstanding common stock. During the three months ended April 30, 2021, we repurchased 764,782 shares of common stock at an average price of $104.47 per share, for an aggregate purchase price of $79.9 million. During the nine months ended April 30, 2021, we repurchased 1,123,341 shares of common stock at an average price of $110.21 per share, for an aggregate purchase price of $123.8 million. As of April 30, 2021, $76.2 million remained available for future share repurchases.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and operating costs, and expansion into other markets. We also may invest in or acquire complementary businesses, applications or technologies, or may expand our board-authorized stock repurchase program, which may require the use of significant cash resources and/or additional financing.</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Quarterly Report on Form 10-Q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9"/>
              </w:rPr>
              <w:t>Nine Months Ended April 30,</w:t>
            </w:r>
          </w:p>
        </w:tc>
      </w:tr>
      <w:tr>
        <w:trPr>
          <w:trHeight w:val="223"/>
        </w:trPr>
        <w:tc>
          <w:tcPr>
            <w:tcW w:w="7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33,408</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operating activities was $3.2 million for the nine months ended April 30, 2021 compared to cash provided by operating activities of $5.9 million during the nine months ended April 30, 2020. This $2.7 million decrease in operating cash provided was primarily attributable to a $9.3 million increase in cash provided by working capital activities, including $2.5 million received from the CEWS, partially offset by a $11.9 million decrease in net income after excluding the impact of non-cash charges such as deferred taxes, stock-based compensation expense, depreciation and amortization expense, and other non-cash items.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investing activities was $32.6 million for the nine months ended April 30, 2021 compared to net cash provided by investing activities of $33.4 million for the nine months ended April 30, 2020. The decrease in cash provided by investing activities was primarily due to higher capitalized cloud software development costs of $4.3 million, new strategic equity investments of $2.0 million, and lower cash from available-for-sale securities transactions of $1.0 million, offset by a reduction in capital expenditures primarily due to the completion of our new headquarters in San Mateo, California of $6.6 million.</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used in financing activities for the nine months ended April 30, 2021 was $120.7 million compared to $3.1 million provided by financing activities for the nine months ended April 30, 2020. This $123.7 million increase in cash used was primarily because we repurchased $122.6 million of our common stock under our share repurchase program and, to a lesser extent, a decrease in proceeds from option exercises of $1.2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5" w:name="page56"/>
    <w:bookmarkEnd w:id="5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contractual obligations consist of our Convertible Senior Notes due in 2025, obligations under leases for our office facilities, and letters of credit we have issued to lessors and customers to guarantee our performance under certain arrangements.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Notes 6, 7 and 8 to our condensed consolidated financial statements included in this Quarterly Report on Form 10-Q for discussions of our Convertible Senior Notes, lease commitments, and letters of credit. There has been no material change in our contractual obligations and commitments other than in the ordinary course of business since our fiscal year ended July 31, 2020. See the Annual Report on Form 10-K for the fiscal year ended July 31, 2020 for additional information regarding the Company’s contractual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April 30, 2021,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exposure to market risk for changes in interest rates relates primarily to our cash, cash equivalents, and investments. Our cash, cash equivalents, and investments as of April 30, 2021 and July 31, 2020 were $1,288.8 million and $1,434.3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U.S. interest rates affect the interest earned on our cash, cash equivalents, and investments, and their market value. A hypothetical 100 basis point increase in interest rates is estimated to result in a decrease of $4.6 million and $5.6 million in the market value of our available-for-sale securities as of April 30, 2021 and July 31, 2020, respectively. Any realized gains or losses resulting from such interest rate changes would only occur if we sold the investments prior to maturity.</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For the nine months ended April 30, 2021 and 2020, we recorded foreign currency gains of $14.3 million and foreign currency losses of $2.1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is estimated to be approximately $15.1 million. As our international operations grow, we will continue to assess our approach to managing our risk relating to fluctuations in currency rates.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have material exposure to market risk with respect to investments in financial instruments, as our investments primarily consist of highly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ectPr>
          <w:pgSz w:w="11900" w:h="16838" w:orient="portrait"/>
          <w:cols w:equalWidth="0" w:num="1">
            <w:col w:w="11240"/>
          </w:cols>
          <w:pgMar w:left="320" w:top="287"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56" w:name="page57"/>
    <w:bookmarkEnd w:id="5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strategic investments in privately held securities are in various classes of equity and convertible debt that may have different rights and preferences.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0" w:lineRule="exact"/>
        <w:rPr>
          <w:sz w:val="20"/>
          <w:szCs w:val="20"/>
          <w:color w:val="auto"/>
        </w:rPr>
      </w:pPr>
    </w:p>
    <w:p>
      <w:pPr>
        <w:spacing w:after="0" w:line="35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4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April 30, 2021 identified in management’s evaluation pursuant to Rules 13a-15(d) or 15d-15(d) of the Exchange Act that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7" w:name="page58"/>
    <w:bookmarkEnd w:id="5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5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As described in Note 8,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of the notes to our condensed consolidated financial statements included elsewhere in this Quarterly Report on Form 10-Q, which are incorporated by reference herein, we are not party to any material pending legal proceedings.</w:t>
      </w:r>
    </w:p>
    <w:p>
      <w:pPr>
        <w:spacing w:after="0" w:line="200" w:lineRule="exact"/>
        <w:rPr>
          <w:sz w:val="20"/>
          <w:szCs w:val="20"/>
          <w:color w:val="auto"/>
        </w:rPr>
      </w:pP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A description of the risks and uncertainties associated with our business is set forth below. You should carefully consider such risks and uncertainties, together with the other information contained in this report,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3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i w:val="1"/>
          <w:iCs w:val="1"/>
          <w:color w:val="auto"/>
        </w:rPr>
        <w:t>Our business is subject to numerous risks and uncertainties, including those highlighted in this section of our Quarterly Report on Form 10-Q and summarized below. We have various categories of risks, including risks related to our business and industry; risks related to data security and privacy, intellectual property, and information technology; risks related to legal, regulatory, accounting, and tax matters; risks related to ownership of our common stock; and risks related to our indebtedness and outstanding convertible senior notes,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as well as elsewhere in this Quarterly Report on Form 10-Q. Additional risks, beyond those summarized below or discussed elsewhere in this Quarterly Report on Form 10-Q, may apply to our business, activities, or operations as currently conducted or as we may conduct them in the future or in the markets in which we operate or may in the future operate. Risks that could harm our business, results of operations, financial condition and growth prospects, and that could cause our stock price to decline, include, but are not limited to, the following:</w:t>
      </w:r>
    </w:p>
    <w:p>
      <w:pPr>
        <w:spacing w:after="0" w:line="221" w:lineRule="exact"/>
        <w:rPr>
          <w:sz w:val="20"/>
          <w:szCs w:val="20"/>
          <w:color w:val="auto"/>
        </w:rPr>
      </w:pPr>
    </w:p>
    <w:p>
      <w:pPr>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global COVID-19 pandemic, as well as periods of increases or spikes in the number of COVID-19 cases, or future mutations or related strains of the virus in areas in which we operate;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quarterly and annual fluctuations in our results of operations due to a number of factors;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sales patterns, which may cause significant fluctuations in our results of operations and cash flows and may prevent us from achieving our quarterly or annual forecasts;</w:t>
      </w: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successfully manage our transition to a business model focused on delivering cloud-based offerings on a subscription basis or failure to meet stipulated service levels with our subscription services;</w:t>
      </w: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reliance on orders from a relatively small number of customers in the P&amp;C insurance industry for a substantial portion of our revenue and ARR;</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data security breaches of our products or cloud-based services or unauthorized access to our customers’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of our established products or services to satisfy customer demands or to maintain market acceptance;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intense competition in our market;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sales and implementation cycles are lengthy and variable, depend upon factors outside our control, and could cause us to expend significant time and resources prior to generating revenue;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mix, as well as declines in our subscription and support gross margin or our services gross margin;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large customers have substantial negotiating leverage, which may require that we agree to terms and conditions that result in increased cost of revenue, decreased revenue, and lower average selling prices and gross margins;</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depends on customers renewing and expanding their license, support, and subscription contracts for our services and products;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privacy concerns could result in regulatory changes and impose additional costs and liabilities on us and limit our use of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stock price may be volatile, which could result in securities class action litigation against us;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unable to develop, introduce and market new and enhanced versions of our products, we may be put at a competitive disadvantage; and</w:t>
      </w:r>
    </w:p>
    <w:p>
      <w:pPr>
        <w:spacing w:after="0" w:line="46" w:lineRule="exact"/>
        <w:rPr>
          <w:rFonts w:ascii="Arial" w:cs="Arial" w:eastAsia="Arial" w:hAnsi="Arial"/>
          <w:sz w:val="16"/>
          <w:szCs w:val="16"/>
          <w:color w:val="auto"/>
        </w:rPr>
      </w:pPr>
    </w:p>
    <w:p>
      <w:pPr>
        <w:ind w:left="660" w:right="20" w:hanging="328"/>
        <w:spacing w:after="0" w:line="290"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apply accounting guidance that requires management to make estimates and assumptions and to adapt to and interpret the requirements of new guidance, or to clearly explain to stockholders how new guidance affects reporting of our results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global COVID-19 pandemic, as well as periods of increases or spikes in the number of COVID-19 cases, or future mutations or related strains of the virus in areas in which we operate, could harm our business, results of operations, and financial condition.</w:t>
      </w:r>
    </w:p>
    <w:p>
      <w:pPr>
        <w:spacing w:after="0" w:line="19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In March 2020, the World Health Organization declared COVID-19 a global pandemic. This pandemic, and the related adverse public health developments, including orders to shelter-in-place, have adversely affected workforces, organizations, economies, and financial markets globally, leading to an economic downturn and increased market volatility. It has also disrupted the normal operations of many businesses, including our business, our customers' businesses, and our SI partners' businesses. This pandemic, as well as intensified measures undertaken to contain the spread of COVID-19, has affected and could further affect our ability to travel to customers and prospects, resulting in delays in services delivery, delays in implementations, and interruptions or modifications in our sales and marketing activities, including Connections, our annual user conference, and harm our business, results of operations, and financial condition. The related impact on the global economy could also decrease technology spending and adversely affect demand for our products. Further, our sales and implementation cycles have increased and could continue to increase, which has resulted in and could result in providing contract terms more favorable to customers and a potentially longer delay between incurring operating expenses and the generation of corresponding revenue, if any, or in difficulty accurately forecasting our financial results. Additionally, our customers may be unable to pay or request amended payment terms for their outstanding invoices due to the economic impacts from COVID-19. As a result of these containment measures and the related economic impact to our business, we may be required to record impairment related to our operating lease assets, investments, long-lived assets, or goodwill. The pandemic also presents operational challenges as our entire workforce is currently working remotely and shifting to assisting customers who are also generally working remotely. Despite the increased availability of vaccines, due to the evolving nature of the COVID-19 pandemic, it is not possible for us to accurately predict the duration or magnitude of the adverse results of the pandemic and its effects on our business, results of operations, or financial condition at this time. Further, to the extent the COVID-19 pandemic adversely affects our business, results of operations, or financial condition, it may also have the effect of heightening many of the other risks described in this “Risk Factors” section.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144" w:lineRule="exact"/>
        <w:rPr>
          <w:sz w:val="20"/>
          <w:szCs w:val="20"/>
          <w:color w:val="auto"/>
        </w:rPr>
      </w:pPr>
    </w:p>
    <w:p>
      <w:pPr>
        <w:ind w:left="66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economic downturns and related market volatility caused by the COVID-19 pandemic or other national and worldwide events on our business and the businesses of our customers, partners, and vendors;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new domestic and international customers and renew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buying patterns of our potential customers and our ability to sell additional software and services to existing customers;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proportion and timing of subscription sales as opposed to term or perpetual software licenses, and the variations in revenue recognition between these contract types;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contract durations of term software licenses and renewals;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costs related to cloud operations, product development, and services;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cloud-based services, including the impact of our customers transitioning from term software licenses to subscription services;</w:t>
      </w: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erosion in services margins or significant fluctuations in services revenue caused by changing customer demand, negotiated professional services billing rates, or fixed fee contracts;</w:t>
      </w:r>
    </w:p>
    <w:p>
      <w:pPr>
        <w:ind w:left="660" w:right="20" w:hanging="328"/>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incurrence of penalties for failing to meet certain contractual obligations, including service levels, product development cycles and functionality, and implementation times and objectives;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rules and our related accounting policies, interpretations and controls;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realize expected benefits from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our customers’ budgets for information technology purchases and delays in their purchasing decisions;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hiring personnel and employee related expenses;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 on our business, including pandemics, trade tariffs, trade agreements, and other uncertainties, that may cause a delay in entering into or a failure to enter into significant customer agreements or the fulfillment of professional service arrangements;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litigation judgments, dispute-related settlement payments, or litigation-related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inflation or deflation in the economies in which we operate and its impact on our revenues given the multi-year term of most customer agreements.</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and other ongoing changes to our business, it is challenging to forecast our quarterly and annual results.</w:t>
      </w:r>
    </w:p>
    <w:p>
      <w:pPr>
        <w:spacing w:after="0" w:line="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for revenue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 over quarter and year-over-year revenue growth comparisons. Cash flow expectations and comparisons could also be impacted because of the ramped nature of the annual installments of these multi-year subscription services arrangements. Additionally, Annual Recurring Revenue, or ARR, which reflects the annualized recurring value of active customer contracts at the end of a reporting period, will be impacted by the seasonality of new sales orders, even if the revenue is recognized ratably.</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197" w:lineRule="exact"/>
        <w:rPr>
          <w:sz w:val="20"/>
          <w:szCs w:val="20"/>
          <w:color w:val="auto"/>
        </w:rPr>
      </w:pPr>
    </w:p>
    <w:p>
      <w:pPr>
        <w:ind w:left="660" w:hanging="328"/>
        <w:spacing w:after="0" w:line="25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subscription arrangements are recognized ratably and only a portion of the revenue from an order is recognized in the same fiscal period of the order;</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subscription arrangements generally have ramped invoicing schedules over the initial term, which affects ARR, but revenue is recognized ratably over the initial term;</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term license agreements and multi-year term license renewals generally have annual billing arrangements even though revenue is recognized upfront for the entire committed term;</w:t>
      </w:r>
    </w:p>
    <w:p>
      <w:pPr>
        <w:jc w:val="both"/>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enter into license agreements with future product delivery requirements, specified terms for product upgrades or functionality, acceptance terms, or unconditional return rights, which may require us to delay revenue recognition for a period of time; and</w:t>
      </w:r>
    </w:p>
    <w:p>
      <w:pPr>
        <w:ind w:lef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21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w:t>
      </w:r>
    </w:p>
    <w:p>
      <w:pPr>
        <w:sectPr>
          <w:pgSz w:w="11900" w:h="16838" w:orient="portrait"/>
          <w:cols w:equalWidth="0" w:num="1">
            <w:col w:w="11240"/>
          </w:cols>
          <w:pgMar w:left="320" w:top="287"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60" w:name="page61"/>
    <w:bookmarkEnd w:id="6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five year renewal of a single license agreement, which resulted in the first quarter of fiscal year 2021 lacking comparability to the prior year period and creating a challenging comparable for the first quarter of fiscal year 2022.</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19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related services related to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products or services or upon renewal of existing agreements, and a customer’s refusal to pay its contractually-obligated subscription or service fees.</w:t>
      </w:r>
    </w:p>
    <w:p>
      <w:pPr>
        <w:spacing w:after="0" w:line="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20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w:t>
      </w:r>
    </w:p>
    <w:p>
      <w:pPr>
        <w:spacing w:after="0" w:line="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 and ARR are dependent on orders from customers in the P&amp;C insurance industry, which may be adversely affected by worldwide economic, environmental, public health, and political conditions. A relatively small number of customers have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historically accounted for a significant portion of our revenue. While the composition of our individual top customers has and will vary from year to year, in each of fiscal years 2020, 2019, and 2018, our ten largest customers accounted for 31% of our revenue. Additionally, our ten largest customers based on ARR accounted for 29% of total ARR in fiscal year 2020. Customers for these metrics are calculated at the parent corporation level, while our total customer count is based on entities that have placed orders for our products and services.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products and services to one or more of these anticipated customers in any particular period or fail to identify additional potential customers or such customers purchase fewer of our products or services,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1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of any of our established products or services to satisfy customer demands or to maintain market acceptance could harm our business, results of operations, financial condition, and growth prospects.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derive a significant majority of our revenue and cash flows from our established product offerings, including Guidewire InsuranceSuite via Guidewire Cloud, Guidewire InsuranceSuite for self-managed,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new products by us and our competitors, the cost and effort to migrate from self-managed products to subscription services, the ease of integrating our software to third-party software and services, technological advances that reduce the appeal of our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2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potential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products than we can devote to ours, which could allow them to respond more quickly than we can to new technologies and changes in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 products more quickly and on more efficient technologies than us. This may increase our costs more than we anticipate and may adversely impact our results of operations.</w:t>
      </w:r>
    </w:p>
    <w:p>
      <w:pPr>
        <w:spacing w:after="0" w:line="21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97"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typical sales cycle for our products and services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and the potential cost savings achievable by organizations deploying our products. Customers typically undertake a significant evaluation process, which frequently involves not only our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product offering at the request of a customer or group of customers and are unable to recognize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implementation and testing of our products by our customers typically lasts 6 to 24 months or longer and unexpected implementation delays and difficulties can occur. Implementing our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and services.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or upon renewals of existing licenses and services, potential reversals of previously recognized revenue, and a customer’s refusal to pay their contractually-obligated license, support, or service fees. In addition, time-consuming and delayed implementations may also increase the amount of services personnel we must allocate to each customer, thereby increasing our costs and adversely affecting our business, results of operations, and financial condition.</w:t>
      </w:r>
    </w:p>
    <w:p>
      <w:pPr>
        <w:spacing w:after="0" w:line="21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Furthermore, our sales and implementation cycles could be interrupted or affected by other factors outside of our control. For example, the COVID-19 pandemic caused sales and implementation cycles to lengthen, along with other impacts on our business. We currently have formal restrictions on travel in place,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and in-person meetings have affected and could continue to affect services delivery, delay implementations, and interrupt sales activity. We cannot predict whether, for how long, or the extent to which the COVID-19 outbreak may adversely affect our business, results of operations, and financial condition.</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19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subscription and support revenue was 27% and 21% of total revenue for fiscal years 2020 and 2019, respectively. Our subscription and support revenue produces lower gross margins than our license revenue. The gross margin of our subscription and support revenue was 42% and 51% for fiscal years 2020 and 2019, respectively, while the gross margin for license revenue was 97% and 98% for fiscal years 2020 and 2019,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further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or other disasters.</w:t>
      </w:r>
    </w:p>
    <w:p>
      <w:pPr>
        <w:spacing w:after="0" w:line="206"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Further, our services revenue was 28% and 35% of total revenue for fiscal years 2020 and 2019, respectively. Our services revenue produces lower gross margin than either our license revenue or our subscription and support revenue. The gross margin of our services revenue was less than 3% for both fiscal years 2020 and 2019.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products and services, the rates we charge for our services, our ability to bill our customers for all time incurred to complete a project, the extent and quality of implementations and migrations provided by our SI partners, and the impact on the global economy as a result of the COVID-19 pandemic or other disasters. Additionally, the failure to improve, or the erosion of, our services margin,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spacing w:after="0" w:line="2" w:lineRule="exact"/>
        <w:rPr>
          <w:sz w:val="20"/>
          <w:szCs w:val="20"/>
          <w:color w:val="auto"/>
        </w:rPr>
      </w:pPr>
    </w:p>
    <w:p>
      <w:pPr>
        <w:jc w:val="both"/>
        <w:ind w:firstLine="405"/>
        <w:spacing w:after="0" w:line="305" w:lineRule="auto"/>
        <w:rPr>
          <w:sz w:val="20"/>
          <w:szCs w:val="20"/>
          <w:color w:val="auto"/>
        </w:rPr>
      </w:pPr>
      <w:r>
        <w:rPr>
          <w:rFonts w:ascii="Arial" w:cs="Arial" w:eastAsia="Arial" w:hAnsi="Arial"/>
          <w:sz w:val="16"/>
          <w:szCs w:val="16"/>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We have been required to, and may continue to be required to, reduce the average selling price of our products in response to these pressures. If we are unable to avoid reducing our average selling prices, our results of operations could be harmed.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renewing and expanding their license, support, and subscription contracts for our products. A decline in our customer renewals and expansions could harm our future results of operations.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products and services, the prices of our products and services, the prices of products and services offered by our competitors, reductions in our customers’ spending levels due to the macroeconomic environment or other factors, or the sale of their operations to a buyer that is not a current customer.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4" w:name="page65"/>
    <w:bookmarkEnd w:id="6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develop, introduce and market new and enhanced versions of our products, we may be put at a competitive disadvantage.</w:t>
      </w:r>
    </w:p>
    <w:p>
      <w:pPr>
        <w:spacing w:after="0" w:line="2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depends on our continued ability to develop, introduce, and market new and enhanced versions of our products to meet evolving customer requirements. Because some of our products are complex and require rigorous testing, new features, new functionality, and updates to our existing products and services can take us multiple years to develop and bring to market. As we expand internationally, our products and services must be modified and adapted to comply with 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21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fail to develop new products, enhance our existing products, or migrate our products to the cloud, our business could be adversely affected, especially if our competitors are able to introduce products with enhanced functionality in the cloud. It is critical to our success for us to anticipate changes in technology, industry standards, and customer requirements and to successfully introduce new, enhanced, and competitive products to meet our customers’ and prospective customers’ needs on a timely basis. We have invested and intend to increase investments in research and development and cloud operations to meet these challenges. Revenue may not be sufficient to support the future product development that is required for us to remain competitive. If we fail to develop products in a timely manner that are competitive in technology and price or develop products that fail to meet customer demands, our market share will decline and our business and results of operations could be harmed. If our research and development efforts do not develop products or features that our customers find valuable, then we might incur impairment charges related to our capitalized software development costs.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and services to new customers and renew agreements with our existing customers.</w:t>
      </w:r>
    </w:p>
    <w:p>
      <w:pPr>
        <w:spacing w:after="0" w:line="1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If we or our SI partners do not effectively assist our customers in deploying our products, successfully help our customers quickly resolve post-deployment issues, assist our customers in migrating from self-managed licenses to subscription services, and provide effective ongoing support, our ability to renew existing agreements and sell additional products and services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products and services to these customers or to transition existing license customers to subscription services, a key strategy for the growth of our revenue and profitability. In addition, as we further expand our cloud-based products, our professional services and support organization will face new challenges, including hiring, training, and integrating a large number of new professional services personnel with experience in delivering high-quality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products and services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200" w:lineRule="exact"/>
        <w:rPr>
          <w:sz w:val="20"/>
          <w:szCs w:val="20"/>
          <w:color w:val="auto"/>
        </w:rPr>
      </w:pP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Cyence, a Software-as-a-Service company that applies data science and risk analytics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enable P&amp;C insurers to underwrite “21st century risks” such as terrorism, cybersecurity, and reputational risk, in November 2017. Each of our prior acquisitions was initially dilutive to earnings. Acquisitions and alliances may result in unforeseen operating difficulties and expenditures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 products may be challenging if we bundle such products with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19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continue the successful development of our global direct sales force and the expansion of our relationships with our strategic partners, sales of our products and services will suffer and our growth could be slower than we project.</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and services will suffer and our growth will be impeded.</w:t>
      </w: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SI partners help us reach additional customers. We believe our future growth also will depend on the retention and expansion of successful relationships with SI partners, including with SI partners that will focus on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products and services may compete directly against products and services that such leading SI partners support or market. Additionally, we are unable to control the quantity or quality of resources that our SI partners commit to implementing our products, or the quality or timeliness of such implementations, or the effects of the COVID-19 pandemic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our products and services to customers located outside the United States, and we are continuing to expand our international operations as part of our growth strategy. In fiscal years 2020, 2019, and 2018, $279.8 million, $272.9 million, and $243.1 million of our revenue, respectively, was from customers outside of the United States. Our current international operations and our plans to expand our international operations subject us to a variety of risks, including:</w:t>
      </w:r>
    </w:p>
    <w:p>
      <w:pPr>
        <w:spacing w:after="0" w:line="2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management, travel, infrastructure, and legal compliance costs associated with having multiple international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unique terms and conditions in contract negotiations imposed by customers in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contracts and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localize our contracts and our products and services for international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exposure to fluctuations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highly inflationary international economies, such as Argentina;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burdens and costs of complying with a wide variety of foreign laws and legal standards, including the General Data Protection Regulation in the European Union;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of 1977, as amended, the U.K. Bribery Act and other anti-corruption regulations, particularly in emerging market countries;</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by international staff with accounting practices generally accepted in the United States, including adherence to our accounting policies and internal controls;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 and export license requirements, tariffs, taxes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financial accounting, tax, and reporting burdens and complexities;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weaker protection of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and possibly overlapping tax regimes;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sanctions that may interfere with our ability to sell into particular countries, such as Russia;</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to our operations caused by epidemics or pandemics, such as COVID-19;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2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expanding operations effectively could harm our business.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products or investments in cloud operations. If we increase the size of our organization without experiencing an increase in sales of our products and services, we will experience reductions in our gross and operating margins and net income.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spacing w:after="0" w:line="20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Incorrect or improper use of our products and services or our failure to properly train customers on how to utilize our products and services could result in customer dissatisfaction and negatively affect our business, results of operations, financial condition, and growth prospects.</w:t>
      </w:r>
    </w:p>
    <w:p>
      <w:pPr>
        <w:spacing w:after="0" w:line="15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products and services are complex and are deployed in a wide variety of network environments. The proper use of our products and services requires training of the customer. If our products and services are not used correctly or as intended, inadequate performance may result. Our products and services may also be intentionally misused or abused by customers or their employees or third parties who are able to access or use our products and services. Because our customers rely on our products, services, and support to manage a wide range of operations, the incorrect or improper use of our products, our failure to properly train customers on how to efficiently and effectively use our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products and services.</w:t>
      </w:r>
    </w:p>
    <w:p>
      <w:pPr>
        <w:spacing w:after="0" w:line="2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if there is substantial turnover of customer personnel responsible for the use of our products and services, or if customer personnel are not well trained in the use of our products and services, customers may defer the deployment of our products, may deploy them in a more limited manner than originally anticipated, or may not deploy them at all. Further, if there is substantial turnover of the customer personnel responsible for use of our products and services, our ability to renew existing licenses and make additional sales may be substantially limited.</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need additional financing to execute on our current or future business strategies, including to develop new or enhance existing products and services, acquire businesses and technologies, or otherwise to respond to competitive pressures.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w:t>
      </w:r>
    </w:p>
    <w:p>
      <w:pPr>
        <w:sectPr>
          <w:pgSz w:w="11900" w:h="16838" w:orient="portrait"/>
          <w:cols w:equalWidth="0" w:num="1">
            <w:col w:w="11240"/>
          </w:cols>
          <w:pgMar w:left="320" w:top="287"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67" w:name="page68"/>
    <w:bookmarkEnd w:id="6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and services, or otherwise respond to competitive pressures would be significantly limited. Any of these factors could harm our results of operations.</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Risks Related to Data Security and Privacy, Intellectual Property, and Information Technology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products or cloud-based services experience data security breaches, and there is unauthorized access to our customers’ data, we may lose current or future customers and our reputation and business may be harmed.</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If our security measures are breached or unauthorized access to customer data is otherwise obtained, our cloud services may be perceived as not being secure, customers may reduce the use of or stop using our services, and we may incur significant liabilities and our reputation could be harmed.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 company. While we have taken, and are continually updating, our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by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adoption of our cloud-based services occurs, the amount of customer data, including customer personal information, that we manage, hold, and/or collect continues to increase. In addition, our products and services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w:t>
      </w:r>
    </w:p>
    <w:p>
      <w:pPr>
        <w:spacing w:after="0" w:line="2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passed into law on November 3, 2020 (but takes substantial effect on January 1, 2023), and the Court of Justice of the European Union's invalidation of the Privacy Shield framework in July 2020.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products and services and reduce overall demand.</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concerns regarding data privacy and/or security may cause our customers’ customers to resist providing the data and information necessary to allow our customers to use our products and services effectively. Even the perception that the privacy and/or security of personal information is not satisfactorily managed, or does not meet applicable legal, regulatory, and other requirements, could inhibit sales of our products or services, and could limit adoption of our solutions, resulting in a negative impact on our sales, reputation, and results from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Privacy concerns in the European Union and the U.K. are evolving and we may face fines and other penalties, as well as reputational harm, if we fail to comply with these evolving standards, and compliance with these standards may increase our expenses and adversely affect our business and results of operations.</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April 27, 2016 the European Union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and enforcement actions and as we continue to negotiate data processing agreements with our customers and business partners.</w:t>
      </w:r>
    </w:p>
    <w:p>
      <w:pPr>
        <w:spacing w:after="0" w:line="20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We are currently certified to the EU-U.S. Privacy Shield.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SCCs will face additional 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We are currently certified to the Swiss-U.S. Privacy Shield. On November 10, 2020, the European Data Protection Board ("EDPB"), issued recommendations on the additional safeguards required for SCCs to be valid. The EDPB's final guidance on data transfers is expected shortly and the European Commission has announced that it will publish new and updated SCCs in the coming months, with companies to have a one-year grace period before the new SCCs need to be put in place. These recent developments will require us to review and amend the legal mechanisms by which we make and receive personal data transfers to/in the United States. It is possible that the ability to transfer personal data from the EU to the United States will be restricted. We (and many other companies) may be required to adopt additional measures to accomplish and maintain legitimate means for the transfer and receipt of personal data from the EU to the United States and other countries. As data protection authorities continue to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Given our current transition to more cloud-based services and the current data protection landscape in the EU, we may be subject to greater risk of potential inquiries and/or enforcement actions.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206"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color w:val="auto"/>
        </w:rPr>
        <w:t>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 data exports. For example, the Information Commissioner's Office, the U.K. data protection regulator, has recently confirmed that it is developing bespoke SCCs for the U.K.. In addition, the U.K.’s withdrawal from the EU means that the U.K. will become a “third country” for the purposes of data transfers from the EU to the U.K. following the expiration of a six-month personal data transfer grace period from January 1, 2021. set out in the EU and U.K. Trade and Cooperation Agreement, unless a relevant adequacy decision is adopted in favor of the U.K. (which would allow data transfers without additional measures). On February 19, 2021, the EU Commission issued a draft adequacy decision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9" w:name="page70"/>
    <w:bookmarkEnd w:id="6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regarding the U.K., and it has recently indicated that it intends to release the final decision prior to the expiry of the data transfer grace period at the end of June. These changes may require us to find alternative solutions for the compliant transfer of personal data into the U.K.</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Anticipated further evolution of European Union regulations on this topic, including the impact of Brexit on these regulations in the U.K. and any related changes to the regulatory framework in the U.K. or other countries, may increase substantially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believe that our products and services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products or services,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0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or services that are alleged to infringe or misappropriate the intellectual property of others; expend additional development resources to redesign our products or services;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20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Real or perceived errors or failures in our products or implementation services may affect our reputation, cause us to lose customers and reduce sales and renewal rates which may harm our business and results of operations and subject us to liability for breach of warranty claims.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Because we offer complex products, undetected errors or failures may exist or occur, especially when products are first introduced or when new versions or updates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offerings after their introduction. Additionally, our Guidewire Cloud offerings rely on third-party hosting services, primarily Amazon Web Services ("AWS"). Any material disruption or slowdown in these services or the systems of third parties who we depend upon could cause outages or delays in our services, which could harm our reputation and adversely affect our results of operations.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provide our customers with upfront estimates regarding the duration, resources, and costs associated with the implementation of our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modification of existing contracts that could potentially result in reversals of previously recognized revenue, or a customer’s refusal to pay its contractually-obligated fees. In addition, time-consuming or difficult implementations may also increase the amount of services personnel we must allocate to each customer without commensurate compensation, thereby increasing our costs and adversely affecting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0" w:name="page71"/>
    <w:bookmarkEnd w:id="70"/>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results of operations.</w:t>
      </w:r>
    </w:p>
    <w:p>
      <w:pPr>
        <w:spacing w:after="0" w:line="23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9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products or services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customers rely on technology, services, and intellectual property of third parties, the loss of which could limit the functionality of our products and disrupt our business.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products and might require us to redesign our products.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1" w:name="page72"/>
    <w:bookmarkEnd w:id="7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services and technologies may use “open source” software, which may restrict how we use or distribute our services or require that we release the source code of certain products subject to those licenses.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22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i w:val="1"/>
          <w:iCs w:val="1"/>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 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 our consolidated financial statements to conform to United States Generally Accepted Accounting Principles ("GAAP"). These accounting principles are subject to interpretation by the Securities and Exchange Commission ("SEC"), Financial Accounting Standards Board ("FASB"), and various bodies formed to interpret and create accounting rules and regulations. New accounting standards, such as ASC 606 - Revenue from Contracts with Customers adopted in fiscal year 2019 or ASC 842 - Leases adopted in fiscal year 2020, or the guidance relating to interpretation and adoption of standards could have a significant effect on our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2" w:name="page73"/>
    <w:bookmarkEnd w:id="72"/>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results and could affect our business. Additionally, the FASB and the SEC are focused on the integrity of financial reporting, and our accounting policies are subject to scrutiny by regulators and the public.</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For example, the Emerging Issues Task Force of the FASB is considering changes that may impact the revenue guidance for the migration from term licenses to subscription services. In addition, were we to change our accounting estimates, including those related to the timing of revenue recognition and those used to allocate revenue between various performance obligations, our reported revenue and results of operations could be significantly impacted. For example, the following risks are associated with ASC 606:</w:t>
      </w:r>
    </w:p>
    <w:p>
      <w:pPr>
        <w:spacing w:after="0" w:line="21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investors’ misinterpretation of historic and future trends of our business and what they could mean for the underlying success of our business;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divergence between revenue and ARR and cash flow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explaining our historical results or new known trends.</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unsuccessful in adapting to the requirements of the new revenue standard, or if changes to our go-to-market strategy create new risks, then we may experience greater volatility in our quarterly and annual results, which may cause our stock price to decline.</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revenue recognition standards require significant judgment and estimates that impact our reported revenue and results of operations. Additionally, reported revenue has and will vary from the ARR and cash flow associated with each customer agreement. This potential difference and variability in the trends of reported amounts may cause volatility in our stock price.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future restatement of our financial statements may lead to additional risks and uncertainties, including regulatory, stockholder or other actions, loss of investor and counterparty confidence and negative impacts on our stock price.</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2019, we restated our previously issued consolidated financial statements for the fiscal years ended July 31, 2018 and 2017. As a result of this restatement, we incurred a number of additional costs and were subject to additional risks, including unanticipated costs for accounting and legal fees in connection with or related to the restatement. In addition, the attention of our management team was diverted by these efforts.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another restatement were to occur in the future, we would experience similar unanticipated costs and the attention of management would be diverted. We could also be subject to regulatory, stockholder, or other actions in connection with the past or any future restatement, which would, regardless of the outcome, consume management’s time and attention and may result in additional legal, accounting, and other costs. If we do not prevail in any such proceedings, we could be required to pay damages or settlement costs. In addition, the past or any future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21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continually undertake steps to improve our internal control over financial reporting as our business changes, we may not be successful in making the improvements and changes necessary to be able to identify and remediate control deficiencies or</w:t>
      </w:r>
    </w:p>
    <w:p>
      <w:pPr>
        <w:sectPr>
          <w:pgSz w:w="11900" w:h="16838" w:orient="portrait"/>
          <w:cols w:equalWidth="0" w:num="1">
            <w:col w:w="11240"/>
          </w:cols>
          <w:pgMar w:left="320" w:top="287"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3" w:name="page74"/>
    <w:bookmarkEnd w:id="73"/>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fiscal year 2018, management identified a material weakness in our internal control over financial reporting. If another material misstatement occurs in the future, we may fail to meet our future reporting obligations. For example, we may fail to file periodic reports in a timely manner or may need to restate our financial results, either of which may cause the price of our stock to decline. Any failure of our internal controls could also adversely affect the results of the periodic management evaluations and annual independent registered public accounting firm attestation reports regarding the effectiveness of our internal control over financial reporting that are required under Section 404 of the Sarbanes-Oxley Act. Effective internal controls are necessary for us to produce reliable financial reports and are important to help prevent financial fraud.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9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Jobs Act of 2017 ("the Tax Act") and the Coronavirus Aid, Relief, and Economic Security Act ("CARES Act").</w:t>
      </w:r>
    </w:p>
    <w:p>
      <w:pPr>
        <w:spacing w:after="0" w:line="2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1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 we are currently under examination by the California Franchise Tax Board for the state income tax returns filed for fiscal years 2018 and 2017. While we do not believe the audit will have a material impact on our results of operations, financial condition, or cash flows, we can offer no guarantee. If any issues addressed in the tax audit are resolved in a manner not consistent with our expectations, we may be required to adjust our provision for income tax in the period in which such resolution occurs, and our results of operations, financial condition, or cash flows could be harmed.</w:t>
      </w:r>
    </w:p>
    <w:p>
      <w:pPr>
        <w:spacing w:after="0" w:line="18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could result in securities class action litigation against us.</w:t>
      </w:r>
    </w:p>
    <w:p>
      <w:pPr>
        <w:spacing w:after="0" w:line="2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have and may continue to affect the market price of our common stock.</w:t>
      </w:r>
    </w:p>
    <w:p>
      <w:pPr>
        <w:spacing w:after="0" w:line="19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the past, many companies, including us, that have experienced volatility in the market price of their stock have been subject to securities class action litigation. In July 2020, one of our stockholders filed a putative securities class action complaint in the federal court for the Northern District of California, against us and certain of our current or former officers and directors, alleging misstatements and omissions in violation of Sections 10(b) and 20(a) of the Securities Exchange Act of 1934, as amended (the “Exchange Act”) and SEC Rule 10b-5. In October 2020, the suit was voluntarily dismissed without prejudice by plaintiff's counsel. We may become the target of additional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4" w:name="page75"/>
    <w:bookmarkEnd w:id="74"/>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9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21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23" w:lineRule="exact"/>
        <w:rPr>
          <w:rFonts w:ascii="Arial" w:cs="Arial" w:eastAsia="Arial" w:hAnsi="Arial"/>
          <w:sz w:val="17"/>
          <w:szCs w:val="17"/>
          <w:color w:val="auto"/>
        </w:rPr>
      </w:pPr>
    </w:p>
    <w:p>
      <w:pPr>
        <w:ind w:left="660" w:hanging="328"/>
        <w:spacing w:after="0" w:line="24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acquirer;</w:t>
      </w: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which could delay the ability of our stockholders to force consideration of a proposal or to take action, including the removal of directors; and</w:t>
      </w: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2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affirmative vote of the holders of at least 66 2/3%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spacing w:after="0" w:line="19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other employees to us or our stockholders;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(the “Delaware Forum Provision”).</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Delaware Forum Provision will not apply to any causes of action arising under the Securities Act of 1933, as amended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5" w:name="page76"/>
    <w:bookmarkEnd w:id="75"/>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it will enhance stockholder value, and share repurchases could affect the price of our common stock.</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October 2020, our board of directors authorized and approved a share repurchase program of up to $200 million of our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 The timing, pricing, and sizes of these repurchases will depend on a number of factors, including the market price of our common stock and general market and economic conditions. The stock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April 30, 2021,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w:t>
      </w:r>
    </w:p>
    <w:p>
      <w:pPr>
        <w:sectPr>
          <w:pgSz w:w="11900" w:h="16838" w:orient="portrait"/>
          <w:cols w:equalWidth="0" w:num="1">
            <w:col w:w="11240"/>
          </w:cols>
          <w:pgMar w:left="320" w:top="287"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6" w:name="page77"/>
    <w:bookmarkEnd w:id="76"/>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19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conditional conversion feature of the Convertible Senior Notes, if triggered, may adversely affect our financial condition and results of operations.</w:t>
      </w:r>
    </w:p>
    <w:p>
      <w:pPr>
        <w:spacing w:after="0" w:line="2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relating to our Convertible Senior Notes may affect the value of our common stock.</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w:t>
      </w:r>
    </w:p>
    <w:p>
      <w:pPr>
        <w:sectPr>
          <w:pgSz w:w="11900" w:h="16838" w:orient="portrait"/>
          <w:cols w:equalWidth="0" w:num="1">
            <w:col w:w="11240"/>
          </w:cols>
          <w:pgMar w:left="320" w:top="287"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7" w:name="page78"/>
    <w:bookmarkEnd w:id="77"/>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However, recently issued accounting guidance that will be effective for us on August 1, 2022 will no longer permit the use of the treasury stock</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method. In August 2020, the FASB issued ASU No. 2020-06, Debt-Debt with Conversion and Other Options (Subtopic 470-20) and Derivatives and Hedging - 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could adversely affect our diluted earnings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customers may defer or forego purchases of our products or services in the event of weakened global economic conditions, political transitions, and industry consolidation.</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General worldwide economic conditions remain unstable and prolonged economic uncertainties or downturns could harm our business operations or financial results. In particular, pursuant to a decision by referendum in June 2016, the United Kingdom ("U.K.") voted to withdraw from the European Union (“Brexit”). A trade and cooperation agreement, which addresses trade, economic arrangements, law enforcement, judicial cooperation and a governance framework including procedures for dispute resolution, among other things, was recently ratified by the European Parliament and the Council of the European Union to govern the U.K.'s future relationship with the European Union. Because the agreement merely sets forth a framework in many respects and will require complex additional bilateral negotiations between the U.K. and the European Union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European Union.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 In addition, the recent U.S. presidential election could lead to changes in economic conditions or economic uncertainties in the United States and globally.</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Further, other global events such as the imposition of various trade tariffs by the United States and China and the COVID-19 pandemic, have created and may continue to create global economic uncertainty, including inflationary pressures, in regions in which we have significant operations. These conditions may make it difficult for our customers and us to forecast and plan future business activities accurately, and could cause our customers to reevaluate their decision to purchase our products and services,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8" w:name="page79"/>
    <w:bookmarkEnd w:id="78"/>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financial and credit market fluctuations, could cause a decrease in corporate spending on enterprise software in general, and in the insurance industry specifically, and negatively affect the rate of growth of our business.</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increased pace of consolidation in the P&amp;C insurance industry may result in reduced overall spending on our products and services. Acquisitions of customers or potential customers can delay or cancel sales cycles and because we cannot predict the timing or duration of such acquisitions, our results of operations could be materially impacted.</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including managing employees and contractors remotely, or we may be required to pay increased compensation in order to do so.</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21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Because of the technical nature of our products and services and the dynamic market in which we compete, any failure to attract, integrate, and retain qualified direct sales, professional services, operations, and product development personnel, as well as our contract workers, could harm our ability to generate sales, deliver consulting services, manage our customers’ cloud environments, or successfully develop new products and enhancements of existing products.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Factors outside of our control, including, but not limited to, natural catastrophes and terrorism may adversely impact the P&amp;C insurance industry, preventing us from expanding or maintaining our existing customer base and increasing our revenue.</w:t>
      </w:r>
    </w:p>
    <w:p>
      <w:pPr>
        <w:spacing w:after="0" w:line="19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Global warming trends and other environmental factors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In recent years, for example, parts of the United States suffered extensive damage due to multiple hurricanes and fires and Australia</w:t>
      </w:r>
    </w:p>
    <w:p>
      <w:pPr>
        <w:sectPr>
          <w:pgSz w:w="11900" w:h="16838" w:orient="portrait"/>
          <w:cols w:equalWidth="0" w:num="1">
            <w:col w:w="11240"/>
          </w:cols>
          <w:pgMar w:left="320" w:top="287"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9" w:name="page80"/>
    <w:bookmarkEnd w:id="79"/>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experienced extensive damage due to fires.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and operating income, which could have an adverse effect on our stock price. We will continue to experience fluctuations in foreign currency exchange rates, which, if material, may harm our revenue or results of operations.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computer viruses.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corporate headquarters and the majority of our operations are located in the San Francisco Bay Area, a region known for seismic activity. A significant natural disaster, such as an earthquake, tsunami, fire, flood, epidemic, or pandemic, such as the COVID-19 pandemic, could have a material adverse impact on our business, results of operations, and financial condition. In addition, our information technology systems are vulnerable to computer viruses, break-ins, and similar disruptions from unauthorized tampering.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Repurchases of equity securities by the Company during the three months ended April 30, 2021 was as follows (in thousands, except share and per share amounts):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580" w:type="dxa"/>
            <w:vAlign w:val="bottom"/>
            <w:tcBorders>
              <w:top w:val="single" w:sz="8" w:color="auto"/>
              <w:left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spacing w:after="0"/>
              <w:rPr>
                <w:sz w:val="16"/>
                <w:szCs w:val="16"/>
                <w:color w:val="auto"/>
              </w:rPr>
            </w:pP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Total Number Of Shares</w:t>
            </w:r>
          </w:p>
        </w:tc>
        <w:tc>
          <w:tcPr>
            <w:tcW w:w="20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176"/>
        </w:trPr>
        <w:tc>
          <w:tcPr>
            <w:tcW w:w="3580" w:type="dxa"/>
            <w:vAlign w:val="bottom"/>
            <w:tcBorders>
              <w:left w:val="single" w:sz="8" w:color="auto"/>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vMerge w:val="continue"/>
          </w:tcPr>
          <w:p>
            <w:pPr>
              <w:spacing w:after="0"/>
              <w:rPr>
                <w:sz w:val="15"/>
                <w:szCs w:val="15"/>
                <w:color w:val="auto"/>
              </w:rPr>
            </w:pPr>
          </w:p>
        </w:tc>
        <w:tc>
          <w:tcPr>
            <w:tcW w:w="20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Value (in millions) of</w:t>
            </w:r>
          </w:p>
        </w:tc>
        <w:tc>
          <w:tcPr>
            <w:tcW w:w="0" w:type="dxa"/>
            <w:vAlign w:val="bottom"/>
          </w:tcPr>
          <w:p>
            <w:pPr>
              <w:spacing w:after="0"/>
              <w:rPr>
                <w:sz w:val="1"/>
                <w:szCs w:val="1"/>
                <w:color w:val="auto"/>
              </w:rPr>
            </w:pPr>
          </w:p>
        </w:tc>
      </w:tr>
      <w:tr>
        <w:trPr>
          <w:trHeight w:val="175"/>
        </w:trPr>
        <w:tc>
          <w:tcPr>
            <w:tcW w:w="3580" w:type="dxa"/>
            <w:vAlign w:val="bottom"/>
            <w:tcBorders>
              <w:left w:val="single" w:sz="8" w:color="auto"/>
              <w:right w:val="single" w:sz="8" w:color="auto"/>
            </w:tcBorders>
          </w:tcPr>
          <w:p>
            <w:pPr>
              <w:spacing w:after="0"/>
              <w:rPr>
                <w:sz w:val="15"/>
                <w:szCs w:val="15"/>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Average Price Paid</w:t>
            </w:r>
          </w:p>
        </w:tc>
        <w:tc>
          <w:tcPr>
            <w:tcW w:w="20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Purchased As Part Of</w:t>
            </w:r>
          </w:p>
        </w:tc>
        <w:tc>
          <w:tcPr>
            <w:tcW w:w="20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175"/>
        </w:trPr>
        <w:tc>
          <w:tcPr>
            <w:tcW w:w="3580" w:type="dxa"/>
            <w:vAlign w:val="bottom"/>
            <w:tcBorders>
              <w:left w:val="single" w:sz="8" w:color="auto"/>
              <w:right w:val="single" w:sz="8" w:color="auto"/>
            </w:tcBorders>
            <w:vMerge w:val="restart"/>
          </w:tcPr>
          <w:p>
            <w:pPr>
              <w:ind w:left="1540"/>
              <w:spacing w:after="0"/>
              <w:rPr>
                <w:sz w:val="20"/>
                <w:szCs w:val="20"/>
                <w:color w:val="auto"/>
              </w:rPr>
            </w:pPr>
            <w:r>
              <w:rPr>
                <w:rFonts w:ascii="Arial" w:cs="Arial" w:eastAsia="Arial" w:hAnsi="Arial"/>
                <w:sz w:val="18"/>
                <w:szCs w:val="18"/>
                <w:b w:val="1"/>
                <w:bCs w:val="1"/>
                <w:color w:val="auto"/>
              </w:rPr>
              <w:t>Period</w:t>
            </w:r>
          </w:p>
        </w:tc>
        <w:tc>
          <w:tcPr>
            <w:tcW w:w="1560" w:type="dxa"/>
            <w:vAlign w:val="bottom"/>
            <w:tcBorders>
              <w:right w:val="single" w:sz="8" w:color="auto"/>
            </w:tcBorders>
            <w:vMerge w:val="continue"/>
          </w:tcPr>
          <w:p>
            <w:pPr>
              <w:spacing w:after="0"/>
              <w:rPr>
                <w:sz w:val="15"/>
                <w:szCs w:val="15"/>
                <w:color w:val="auto"/>
              </w:rPr>
            </w:pPr>
          </w:p>
        </w:tc>
        <w:tc>
          <w:tcPr>
            <w:tcW w:w="1540" w:type="dxa"/>
            <w:vAlign w:val="bottom"/>
            <w:tcBorders>
              <w:right w:val="single" w:sz="8" w:color="auto"/>
            </w:tcBorders>
            <w:vMerge w:val="continue"/>
          </w:tcPr>
          <w:p>
            <w:pPr>
              <w:spacing w:after="0"/>
              <w:rPr>
                <w:sz w:val="15"/>
                <w:szCs w:val="15"/>
                <w:color w:val="auto"/>
              </w:rPr>
            </w:pPr>
          </w:p>
        </w:tc>
        <w:tc>
          <w:tcPr>
            <w:tcW w:w="20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20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Purchased Under The</w:t>
            </w:r>
          </w:p>
        </w:tc>
        <w:tc>
          <w:tcPr>
            <w:tcW w:w="0" w:type="dxa"/>
            <w:vAlign w:val="bottom"/>
          </w:tcPr>
          <w:p>
            <w:pPr>
              <w:spacing w:after="0"/>
              <w:rPr>
                <w:sz w:val="1"/>
                <w:szCs w:val="1"/>
                <w:color w:val="auto"/>
              </w:rPr>
            </w:pPr>
          </w:p>
        </w:tc>
      </w:tr>
      <w:tr>
        <w:trPr>
          <w:trHeight w:val="230"/>
        </w:trPr>
        <w:tc>
          <w:tcPr>
            <w:tcW w:w="3580" w:type="dxa"/>
            <w:vAlign w:val="bottom"/>
            <w:tcBorders>
              <w:left w:val="single" w:sz="8" w:color="auto"/>
              <w:right w:val="single" w:sz="8" w:color="auto"/>
            </w:tcBorders>
            <w:vMerge w:val="continue"/>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200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Plans Or Programs</w:t>
            </w:r>
            <w:r>
              <w:rPr>
                <w:rFonts w:ascii="Arial" w:cs="Arial" w:eastAsia="Arial" w:hAnsi="Arial"/>
                <w:sz w:val="23"/>
                <w:szCs w:val="23"/>
                <w:b w:val="1"/>
                <w:bCs w:val="1"/>
                <w:color w:val="auto"/>
                <w:w w:val="89"/>
                <w:vertAlign w:val="superscript"/>
              </w:rPr>
              <w:t>(1)</w:t>
            </w:r>
          </w:p>
        </w:tc>
        <w:tc>
          <w:tcPr>
            <w:tcW w:w="202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8"/>
              </w:rPr>
              <w:t>Plans or Programs</w:t>
            </w:r>
            <w:r>
              <w:rPr>
                <w:rFonts w:ascii="Arial" w:cs="Arial" w:eastAsia="Arial" w:hAnsi="Arial"/>
                <w:sz w:val="23"/>
                <w:szCs w:val="23"/>
                <w:b w:val="1"/>
                <w:bCs w:val="1"/>
                <w:color w:val="auto"/>
                <w:w w:val="88"/>
                <w:vertAlign w:val="superscript"/>
              </w:rPr>
              <w:t>(1)</w:t>
            </w:r>
          </w:p>
        </w:tc>
        <w:tc>
          <w:tcPr>
            <w:tcW w:w="0" w:type="dxa"/>
            <w:vAlign w:val="bottom"/>
          </w:tcPr>
          <w:p>
            <w:pPr>
              <w:spacing w:after="0"/>
              <w:rPr>
                <w:sz w:val="1"/>
                <w:szCs w:val="1"/>
                <w:color w:val="auto"/>
              </w:rPr>
            </w:pPr>
          </w:p>
        </w:tc>
      </w:tr>
      <w:tr>
        <w:trPr>
          <w:trHeight w:val="229"/>
        </w:trPr>
        <w:tc>
          <w:tcPr>
            <w:tcW w:w="35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February 1, 2021 – February 28, 2021</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37,084</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$117.04</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395,643</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$151,800</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March 1, 2021 – March 31, 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498,595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$103.58</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894,238</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$100,200</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1, 2021 – April 30, 2021</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229,103</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$104.38</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1,123,341</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$76,200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8"/>
        <w:spacing w:after="0"/>
        <w:tabs>
          <w:tab w:leader="none" w:pos="202"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On October 7, 2020, we announced that our board of directors authorized and approved a share repurchase program of up to $200.0 million of our outstanding stock. We began repurchasing shares under this program during the first quarter of fiscal year 2021. As of April 30, 2021, we had approximately $76.2 million remaining for future share repurchases under the share repurchase program. The stock repurchase program does not obligate us to repurchase any dollar amount or number of shares, and the program may be suspended or discontinued at any time. There is no stated expiration for the program.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0" w:name="page81"/>
    <w:bookmarkEnd w:id="80"/>
    <w:tbl>
      <w:tblPr>
        <w:tblLayout w:type="fixed"/>
        <w:tblInd w:w="73"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52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Exhibits</w:t>
            </w:r>
          </w:p>
        </w:tc>
        <w:tc>
          <w:tcPr>
            <w:tcW w:w="2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7040" w:type="dxa"/>
            <w:vAlign w:val="bottom"/>
            <w:gridSpan w:val="4"/>
          </w:tcPr>
          <w:p>
            <w:pPr>
              <w:ind w:left="120"/>
              <w:spacing w:after="0"/>
              <w:rPr>
                <w:sz w:val="20"/>
                <w:szCs w:val="20"/>
                <w:color w:val="auto"/>
              </w:rPr>
            </w:pPr>
            <w:r>
              <w:rPr>
                <w:rFonts w:ascii="Arial" w:cs="Arial" w:eastAsia="Arial" w:hAnsi="Arial"/>
                <w:sz w:val="18"/>
                <w:szCs w:val="18"/>
                <w:color w:val="auto"/>
              </w:rPr>
              <w:t>The exhibits listed below are filed or incorporated by reference as part of this Report.</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520" w:type="dxa"/>
            <w:vAlign w:val="bottom"/>
            <w:vMerge w:val="restart"/>
          </w:tcPr>
          <w:p>
            <w:pPr>
              <w:jc w:val="center"/>
              <w:ind w:left="728"/>
              <w:spacing w:after="0"/>
              <w:rPr>
                <w:sz w:val="20"/>
                <w:szCs w:val="20"/>
                <w:color w:val="auto"/>
              </w:rPr>
            </w:pPr>
            <w:r>
              <w:rPr>
                <w:rFonts w:ascii="Arial" w:cs="Arial" w:eastAsia="Arial" w:hAnsi="Arial"/>
                <w:sz w:val="14"/>
                <w:szCs w:val="14"/>
                <w:b w:val="1"/>
                <w:bCs w:val="1"/>
                <w:color w:val="auto"/>
                <w:w w:val="94"/>
              </w:rPr>
              <w:t>Incorporated by</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From</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Description</w:t>
            </w:r>
          </w:p>
        </w:tc>
        <w:tc>
          <w:tcPr>
            <w:tcW w:w="2520" w:type="dxa"/>
            <w:vAlign w:val="bottom"/>
          </w:tcPr>
          <w:p>
            <w:pPr>
              <w:jc w:val="center"/>
              <w:ind w:left="728"/>
              <w:spacing w:after="0" w:line="135" w:lineRule="exact"/>
              <w:rPr>
                <w:sz w:val="20"/>
                <w:szCs w:val="20"/>
                <w:color w:val="auto"/>
              </w:rPr>
            </w:pPr>
            <w:r>
              <w:rPr>
                <w:rFonts w:ascii="Arial" w:cs="Arial" w:eastAsia="Arial" w:hAnsi="Arial"/>
                <w:sz w:val="14"/>
                <w:szCs w:val="14"/>
                <w:b w:val="1"/>
                <w:bCs w:val="1"/>
                <w:color w:val="auto"/>
                <w:w w:val="93"/>
              </w:rPr>
              <w:t>Reference From</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Exhibit</w:t>
            </w:r>
          </w:p>
        </w:tc>
        <w:tc>
          <w:tcPr>
            <w:tcW w:w="9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186"/>
        </w:trPr>
        <w:tc>
          <w:tcPr>
            <w:tcW w:w="86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6"/>
                <w:szCs w:val="16"/>
                <w:color w:val="auto"/>
              </w:rPr>
            </w:pPr>
          </w:p>
        </w:tc>
        <w:tc>
          <w:tcPr>
            <w:tcW w:w="3260" w:type="dxa"/>
            <w:vAlign w:val="bottom"/>
            <w:vMerge w:val="continue"/>
          </w:tcPr>
          <w:p>
            <w:pPr>
              <w:spacing w:after="0"/>
              <w:rPr>
                <w:sz w:val="16"/>
                <w:szCs w:val="16"/>
                <w:color w:val="auto"/>
              </w:rPr>
            </w:pPr>
          </w:p>
        </w:tc>
        <w:tc>
          <w:tcPr>
            <w:tcW w:w="2520" w:type="dxa"/>
            <w:vAlign w:val="bottom"/>
          </w:tcPr>
          <w:p>
            <w:pPr>
              <w:jc w:val="center"/>
              <w:ind w:left="748"/>
              <w:spacing w:after="0"/>
              <w:rPr>
                <w:sz w:val="20"/>
                <w:szCs w:val="20"/>
                <w:color w:val="auto"/>
              </w:rPr>
            </w:pPr>
            <w:r>
              <w:rPr>
                <w:rFonts w:ascii="Arial" w:cs="Arial" w:eastAsia="Arial" w:hAnsi="Arial"/>
                <w:sz w:val="14"/>
                <w:szCs w:val="14"/>
                <w:b w:val="1"/>
                <w:bCs w:val="1"/>
                <w:color w:val="auto"/>
                <w:w w:val="97"/>
              </w:rPr>
              <w:t>Form</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13"/>
          </w:cols>
          <w:pgMar w:left="247" w:top="270" w:right="339" w:bottom="1440" w:gutter="0" w:footer="0" w:header="0"/>
        </w:sectPr>
      </w:pPr>
    </w:p>
    <w:tbl>
      <w:tblPr>
        <w:tblLayout w:type="fixed"/>
        <w:tblInd w:w="473"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0" w:type="dxa"/>
            <w:vAlign w:val="bottom"/>
            <w:tcBorders>
              <w:bottom w:val="single" w:sz="8" w:color="0000FF"/>
            </w:tcBorders>
          </w:tcPr>
          <w:p>
            <w:pPr>
              <w:jc w:val="center"/>
              <w:spacing w:after="0" w:line="192" w:lineRule="exact"/>
              <w:rPr>
                <w:rFonts w:ascii="Arial" w:cs="Arial" w:eastAsia="Arial" w:hAnsi="Arial"/>
                <w:sz w:val="18"/>
                <w:szCs w:val="18"/>
                <w:color w:val="0000FF"/>
                <w:w w:val="87"/>
              </w:rPr>
            </w:pPr>
            <w:hyperlink r:id="rId9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60" w:type="dxa"/>
            <w:vAlign w:val="bottom"/>
          </w:tcPr>
          <w:p>
            <w:pPr>
              <w:ind w:left="260"/>
              <w:spacing w:after="0" w:line="192" w:lineRule="exact"/>
              <w:rPr>
                <w:sz w:val="20"/>
                <w:szCs w:val="20"/>
                <w:color w:val="auto"/>
              </w:rPr>
            </w:pPr>
            <w:r>
              <w:rPr>
                <w:rFonts w:ascii="Arial" w:cs="Arial" w:eastAsia="Arial" w:hAnsi="Arial"/>
                <w:sz w:val="18"/>
                <w:szCs w:val="18"/>
                <w:color w:val="auto"/>
                <w:w w:val="98"/>
              </w:rPr>
              <w:t>Amended and Restated Certificate of Incorporation</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9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9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w w:val="97"/>
              </w:rPr>
              <w:t>Form of Common Stock certificate of the Registrant</w:t>
            </w:r>
          </w:p>
        </w:tc>
        <w:tc>
          <w:tcPr>
            <w:tcW w:w="0" w:type="dxa"/>
            <w:vAlign w:val="bottom"/>
          </w:tcPr>
          <w:p>
            <w:pPr>
              <w:spacing w:after="0"/>
              <w:rPr>
                <w:sz w:val="1"/>
                <w:szCs w:val="1"/>
                <w:color w:val="auto"/>
              </w:rPr>
            </w:pPr>
          </w:p>
        </w:tc>
      </w:tr>
      <w:tr>
        <w:trPr>
          <w:trHeight w:val="196"/>
        </w:trPr>
        <w:tc>
          <w:tcPr>
            <w:tcW w:w="560" w:type="dxa"/>
            <w:vAlign w:val="bottom"/>
            <w:gridSpan w:val="4"/>
            <w:vMerge w:val="restart"/>
          </w:tcPr>
          <w:p>
            <w:pPr>
              <w:jc w:val="center"/>
              <w:ind w:right="240"/>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260" w:type="dxa"/>
            <w:vAlign w:val="bottom"/>
          </w:tcPr>
          <w:p>
            <w:pPr>
              <w:ind w:left="260"/>
              <w:spacing w:after="0" w:line="196" w:lineRule="exact"/>
              <w:rPr>
                <w:sz w:val="20"/>
                <w:szCs w:val="20"/>
                <w:color w:val="auto"/>
              </w:rPr>
            </w:pPr>
            <w:r>
              <w:rPr>
                <w:rFonts w:ascii="Arial" w:cs="Arial" w:eastAsia="Arial" w:hAnsi="Arial"/>
                <w:sz w:val="18"/>
                <w:szCs w:val="18"/>
                <w:color w:val="auto"/>
                <w:w w:val="92"/>
              </w:rPr>
              <w:t>Certification of the Chief Executive Officer pursuant to</w:t>
            </w:r>
          </w:p>
        </w:tc>
        <w:tc>
          <w:tcPr>
            <w:tcW w:w="0" w:type="dxa"/>
            <w:vAlign w:val="bottom"/>
          </w:tcPr>
          <w:p>
            <w:pPr>
              <w:spacing w:after="0"/>
              <w:rPr>
                <w:sz w:val="1"/>
                <w:szCs w:val="1"/>
                <w:color w:val="auto"/>
              </w:rPr>
            </w:pPr>
          </w:p>
        </w:tc>
      </w:tr>
      <w:tr>
        <w:trPr>
          <w:trHeight w:val="94"/>
        </w:trPr>
        <w:tc>
          <w:tcPr>
            <w:tcW w:w="560" w:type="dxa"/>
            <w:vAlign w:val="bottom"/>
            <w:gridSpan w:val="4"/>
            <w:vMerge w:val="continue"/>
          </w:tcPr>
          <w:p>
            <w:pPr>
              <w:spacing w:after="0"/>
              <w:rPr>
                <w:sz w:val="8"/>
                <w:szCs w:val="8"/>
                <w:color w:val="auto"/>
              </w:rPr>
            </w:pPr>
          </w:p>
        </w:tc>
        <w:tc>
          <w:tcPr>
            <w:tcW w:w="4260" w:type="dxa"/>
            <w:vAlign w:val="bottom"/>
            <w:vMerge w:val="restart"/>
          </w:tcPr>
          <w:p>
            <w:pPr>
              <w:ind w:left="26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116"/>
        </w:trPr>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73" w:type="dxa"/>
        <w:tblCellMar>
          <w:top w:w="0" w:type="dxa"/>
          <w:left w:w="0" w:type="dxa"/>
          <w:bottom w:w="0" w:type="dxa"/>
          <w:right w:w="0" w:type="dxa"/>
        </w:tblCellMar>
      </w:tblPr>
      <w:tr>
        <w:trPr>
          <w:trHeight w:val="175"/>
        </w:trPr>
        <w:tc>
          <w:tcPr>
            <w:tcW w:w="560" w:type="dxa"/>
            <w:vAlign w:val="bottom"/>
            <w:gridSpan w:val="2"/>
            <w:vMerge w:val="restart"/>
          </w:tcPr>
          <w:p>
            <w:pPr>
              <w:jc w:val="right"/>
              <w:ind w:right="240"/>
              <w:spacing w:after="0"/>
              <w:rPr>
                <w:rFonts w:ascii="Arial" w:cs="Arial" w:eastAsia="Arial" w:hAnsi="Arial"/>
                <w:sz w:val="18"/>
                <w:szCs w:val="18"/>
                <w:color w:val="0000FF"/>
                <w:w w:val="85"/>
              </w:rPr>
            </w:pPr>
            <w:hyperlink w:anchor="page8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200" w:type="dxa"/>
            <w:vAlign w:val="bottom"/>
          </w:tcPr>
          <w:p>
            <w:pPr>
              <w:ind w:left="260"/>
              <w:spacing w:after="0" w:line="175" w:lineRule="exact"/>
              <w:rPr>
                <w:sz w:val="20"/>
                <w:szCs w:val="20"/>
                <w:color w:val="auto"/>
              </w:rPr>
            </w:pPr>
            <w:r>
              <w:rPr>
                <w:rFonts w:ascii="Arial" w:cs="Arial" w:eastAsia="Arial" w:hAnsi="Arial"/>
                <w:sz w:val="18"/>
                <w:szCs w:val="18"/>
                <w:color w:val="auto"/>
                <w:w w:val="92"/>
              </w:rPr>
              <w:t>Certification of the Chief Financial Officer pursuant to</w:t>
            </w:r>
          </w:p>
        </w:tc>
        <w:tc>
          <w:tcPr>
            <w:tcW w:w="0" w:type="dxa"/>
            <w:vAlign w:val="bottom"/>
          </w:tcPr>
          <w:p>
            <w:pPr>
              <w:spacing w:after="0"/>
              <w:rPr>
                <w:sz w:val="1"/>
                <w:szCs w:val="1"/>
                <w:color w:val="auto"/>
              </w:rPr>
            </w:pPr>
          </w:p>
        </w:tc>
      </w:tr>
      <w:tr>
        <w:trPr>
          <w:trHeight w:val="94"/>
        </w:trPr>
        <w:tc>
          <w:tcPr>
            <w:tcW w:w="560" w:type="dxa"/>
            <w:vAlign w:val="bottom"/>
            <w:gridSpan w:val="2"/>
            <w:vMerge w:val="continue"/>
          </w:tcPr>
          <w:p>
            <w:pPr>
              <w:spacing w:after="0"/>
              <w:rPr>
                <w:sz w:val="8"/>
                <w:szCs w:val="8"/>
                <w:color w:val="auto"/>
              </w:rPr>
            </w:pPr>
          </w:p>
        </w:tc>
        <w:tc>
          <w:tcPr>
            <w:tcW w:w="4200" w:type="dxa"/>
            <w:vAlign w:val="bottom"/>
            <w:vMerge w:val="restart"/>
          </w:tcPr>
          <w:p>
            <w:pPr>
              <w:ind w:left="26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116"/>
        </w:trPr>
        <w:tc>
          <w:tcPr>
            <w:tcW w:w="32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00" w:type="dxa"/>
        <w:tblCellMar>
          <w:top w:w="0" w:type="dxa"/>
          <w:left w:w="0" w:type="dxa"/>
          <w:bottom w:w="0" w:type="dxa"/>
          <w:right w:w="0" w:type="dxa"/>
        </w:tblCellMar>
      </w:tblPr>
      <w:tr>
        <w:trPr>
          <w:trHeight w:val="229"/>
        </w:trPr>
        <w:tc>
          <w:tcPr>
            <w:tcW w:w="1080" w:type="dxa"/>
            <w:vAlign w:val="bottom"/>
          </w:tcPr>
          <w:p>
            <w:pPr>
              <w:jc w:val="center"/>
              <w:ind w:right="55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March 5, 2020</w:t>
            </w:r>
          </w:p>
        </w:tc>
      </w:tr>
      <w:tr>
        <w:trPr>
          <w:trHeight w:val="230"/>
        </w:trPr>
        <w:tc>
          <w:tcPr>
            <w:tcW w:w="1080" w:type="dxa"/>
            <w:vAlign w:val="bottom"/>
          </w:tcPr>
          <w:p>
            <w:pPr>
              <w:jc w:val="center"/>
              <w:ind w:right="55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1520" w:type="dxa"/>
            <w:vAlign w:val="bottom"/>
          </w:tcPr>
          <w:p>
            <w:pPr>
              <w:jc w:val="right"/>
              <w:spacing w:after="0"/>
              <w:rPr>
                <w:sz w:val="20"/>
                <w:szCs w:val="20"/>
                <w:color w:val="auto"/>
              </w:rPr>
            </w:pPr>
            <w:r>
              <w:rPr>
                <w:rFonts w:ascii="Arial" w:cs="Arial" w:eastAsia="Arial" w:hAnsi="Arial"/>
                <w:sz w:val="18"/>
                <w:szCs w:val="18"/>
                <w:color w:val="auto"/>
              </w:rPr>
              <w:t>September 14,</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2020</w:t>
            </w:r>
          </w:p>
        </w:tc>
      </w:tr>
      <w:tr>
        <w:trPr>
          <w:trHeight w:val="230"/>
        </w:trPr>
        <w:tc>
          <w:tcPr>
            <w:tcW w:w="1080" w:type="dxa"/>
            <w:vAlign w:val="bottom"/>
          </w:tcPr>
          <w:p>
            <w:pPr>
              <w:jc w:val="center"/>
              <w:ind w:right="55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9,</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2012</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9" w:lineRule="exact"/>
        <w:rPr>
          <w:sz w:val="20"/>
          <w:szCs w:val="20"/>
          <w:color w:val="auto"/>
        </w:rPr>
      </w:pPr>
    </w:p>
    <w:p>
      <w:pPr>
        <w:sectPr>
          <w:pgSz w:w="11900" w:h="16838" w:orient="portrait"/>
          <w:cols w:equalWidth="0" w:num="2">
            <w:col w:w="5353" w:space="720"/>
            <w:col w:w="5240"/>
          </w:cols>
          <w:pgMar w:left="247" w:top="270" w:right="339" w:bottom="1440" w:gutter="0" w:footer="0" w:header="0"/>
          <w:type w:val="continuous"/>
        </w:sectPr>
      </w:pPr>
    </w:p>
    <w:tbl>
      <w:tblPr>
        <w:tblLayout w:type="fixed"/>
        <w:tblInd w:w="293" w:type="dxa"/>
        <w:tblCellMar>
          <w:top w:w="0" w:type="dxa"/>
          <w:left w:w="0" w:type="dxa"/>
          <w:bottom w:w="0" w:type="dxa"/>
          <w:right w:w="0" w:type="dxa"/>
        </w:tblCellMar>
      </w:tblPr>
      <w:tr>
        <w:trPr>
          <w:trHeight w:val="175"/>
        </w:trPr>
        <w:tc>
          <w:tcPr>
            <w:tcW w:w="840" w:type="dxa"/>
            <w:vAlign w:val="bottom"/>
            <w:gridSpan w:val="3"/>
            <w:vMerge w:val="restart"/>
          </w:tcPr>
          <w:p>
            <w:pPr>
              <w:jc w:val="center"/>
              <w:ind w:right="280"/>
              <w:spacing w:after="0"/>
              <w:rPr>
                <w:rFonts w:ascii="Arial" w:cs="Arial" w:eastAsia="Arial" w:hAnsi="Arial"/>
                <w:sz w:val="18"/>
                <w:szCs w:val="18"/>
                <w:color w:val="0000FF"/>
              </w:rPr>
            </w:pPr>
            <w:hyperlink w:anchor="page85">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560" w:type="dxa"/>
            <w:vAlign w:val="bottom"/>
          </w:tcPr>
          <w:p>
            <w:pPr>
              <w:ind w:left="160"/>
              <w:spacing w:after="0" w:line="175" w:lineRule="exact"/>
              <w:rPr>
                <w:sz w:val="20"/>
                <w:szCs w:val="20"/>
                <w:color w:val="auto"/>
              </w:rPr>
            </w:pPr>
            <w:r>
              <w:rPr>
                <w:rFonts w:ascii="Arial" w:cs="Arial" w:eastAsia="Arial" w:hAnsi="Arial"/>
                <w:sz w:val="18"/>
                <w:szCs w:val="18"/>
                <w:color w:val="auto"/>
                <w:w w:val="98"/>
              </w:rPr>
              <w:t>Certification of the Chief Executive Officer and the Chief</w:t>
            </w:r>
          </w:p>
        </w:tc>
        <w:tc>
          <w:tcPr>
            <w:tcW w:w="1600" w:type="dxa"/>
            <w:vAlign w:val="bottom"/>
            <w:vMerge w:val="restart"/>
          </w:tcPr>
          <w:p>
            <w:pPr>
              <w:jc w:val="center"/>
              <w:ind w:left="110"/>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89"/>
        </w:trPr>
        <w:tc>
          <w:tcPr>
            <w:tcW w:w="840" w:type="dxa"/>
            <w:vAlign w:val="bottom"/>
            <w:gridSpan w:val="3"/>
            <w:vMerge w:val="continue"/>
          </w:tcPr>
          <w:p>
            <w:pPr>
              <w:spacing w:after="0"/>
              <w:rPr>
                <w:sz w:val="16"/>
                <w:szCs w:val="16"/>
                <w:color w:val="auto"/>
              </w:rPr>
            </w:pPr>
          </w:p>
        </w:tc>
        <w:tc>
          <w:tcPr>
            <w:tcW w:w="4560" w:type="dxa"/>
            <w:vAlign w:val="bottom"/>
          </w:tcPr>
          <w:p>
            <w:pPr>
              <w:ind w:left="160"/>
              <w:spacing w:after="0" w:line="189" w:lineRule="exact"/>
              <w:rPr>
                <w:sz w:val="20"/>
                <w:szCs w:val="20"/>
                <w:color w:val="auto"/>
              </w:rPr>
            </w:pPr>
            <w:r>
              <w:rPr>
                <w:rFonts w:ascii="Arial" w:cs="Arial" w:eastAsia="Arial" w:hAnsi="Arial"/>
                <w:sz w:val="18"/>
                <w:szCs w:val="18"/>
                <w:color w:val="auto"/>
                <w:w w:val="94"/>
              </w:rPr>
              <w:t>Financial Officer pursuant to Section 906 of the Sarbanes-</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tcPr>
          <w:p>
            <w:pPr>
              <w:ind w:left="160"/>
              <w:spacing w:after="0" w:line="195" w:lineRule="exact"/>
              <w:rPr>
                <w:sz w:val="20"/>
                <w:szCs w:val="20"/>
                <w:color w:val="auto"/>
              </w:rPr>
            </w:pPr>
            <w:r>
              <w:rPr>
                <w:rFonts w:ascii="Arial" w:cs="Arial" w:eastAsia="Arial" w:hAnsi="Arial"/>
                <w:sz w:val="18"/>
                <w:szCs w:val="18"/>
                <w:color w:val="auto"/>
              </w:rPr>
              <w:t>Oxley Act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101.INS</w:t>
            </w:r>
          </w:p>
        </w:tc>
        <w:tc>
          <w:tcPr>
            <w:tcW w:w="4560" w:type="dxa"/>
            <w:vAlign w:val="bottom"/>
          </w:tcPr>
          <w:p>
            <w:pPr>
              <w:ind w:left="160"/>
              <w:spacing w:after="0"/>
              <w:rPr>
                <w:sz w:val="20"/>
                <w:szCs w:val="20"/>
                <w:color w:val="auto"/>
              </w:rPr>
            </w:pPr>
            <w:r>
              <w:rPr>
                <w:rFonts w:ascii="Arial" w:cs="Arial" w:eastAsia="Arial" w:hAnsi="Arial"/>
                <w:sz w:val="18"/>
                <w:szCs w:val="18"/>
                <w:color w:val="auto"/>
              </w:rPr>
              <w:t>Inline XBRL Instance Document</w:t>
            </w:r>
          </w:p>
        </w:tc>
        <w:tc>
          <w:tcPr>
            <w:tcW w:w="1600" w:type="dxa"/>
            <w:vAlign w:val="bottom"/>
          </w:tcPr>
          <w:p>
            <w:pPr>
              <w:jc w:val="center"/>
              <w:ind w:left="1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8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101.SCH</w:t>
            </w:r>
          </w:p>
        </w:tc>
        <w:tc>
          <w:tcPr>
            <w:tcW w:w="456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c>
          <w:tcPr>
            <w:tcW w:w="1600" w:type="dxa"/>
            <w:vAlign w:val="bottom"/>
          </w:tcPr>
          <w:p>
            <w:pPr>
              <w:jc w:val="center"/>
              <w:ind w:left="1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76"/>
        </w:trPr>
        <w:tc>
          <w:tcPr>
            <w:tcW w:w="84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w w:val="97"/>
              </w:rPr>
              <w:t>101.CAL</w:t>
            </w:r>
          </w:p>
        </w:tc>
        <w:tc>
          <w:tcPr>
            <w:tcW w:w="4560" w:type="dxa"/>
            <w:vAlign w:val="bottom"/>
          </w:tcPr>
          <w:p>
            <w:pPr>
              <w:ind w:left="160"/>
              <w:spacing w:after="0" w:line="176" w:lineRule="exact"/>
              <w:rPr>
                <w:sz w:val="20"/>
                <w:szCs w:val="20"/>
                <w:color w:val="auto"/>
              </w:rPr>
            </w:pPr>
            <w:r>
              <w:rPr>
                <w:rFonts w:ascii="Arial" w:cs="Arial" w:eastAsia="Arial" w:hAnsi="Arial"/>
                <w:sz w:val="18"/>
                <w:szCs w:val="18"/>
                <w:color w:val="auto"/>
                <w:w w:val="99"/>
              </w:rPr>
              <w:t>Inline XBRL Taxonomy Extension Calculation Linkbase</w:t>
            </w:r>
          </w:p>
        </w:tc>
        <w:tc>
          <w:tcPr>
            <w:tcW w:w="160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 w:type="dxa"/>
            <w:vAlign w:val="bottom"/>
            <w:gridSpan w:val="3"/>
          </w:tcPr>
          <w:p>
            <w:pPr>
              <w:jc w:val="center"/>
              <w:ind w:right="180"/>
              <w:spacing w:after="0" w:line="176" w:lineRule="exact"/>
              <w:rPr>
                <w:sz w:val="20"/>
                <w:szCs w:val="20"/>
                <w:color w:val="auto"/>
              </w:rPr>
            </w:pPr>
            <w:r>
              <w:rPr>
                <w:rFonts w:ascii="Arial" w:cs="Arial" w:eastAsia="Arial" w:hAnsi="Arial"/>
                <w:sz w:val="18"/>
                <w:szCs w:val="18"/>
                <w:color w:val="auto"/>
                <w:w w:val="92"/>
              </w:rPr>
              <w:t>101.DEF</w:t>
            </w:r>
          </w:p>
        </w:tc>
        <w:tc>
          <w:tcPr>
            <w:tcW w:w="4560" w:type="dxa"/>
            <w:vAlign w:val="bottom"/>
          </w:tcPr>
          <w:p>
            <w:pPr>
              <w:ind w:left="160"/>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160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w w:val="98"/>
              </w:rPr>
              <w:t>101.LAB</w:t>
            </w:r>
          </w:p>
        </w:tc>
        <w:tc>
          <w:tcPr>
            <w:tcW w:w="4560" w:type="dxa"/>
            <w:vAlign w:val="bottom"/>
          </w:tcPr>
          <w:p>
            <w:pPr>
              <w:ind w:left="160"/>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160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w w:val="88"/>
              </w:rPr>
              <w:t>101.PRE</w:t>
            </w:r>
          </w:p>
        </w:tc>
        <w:tc>
          <w:tcPr>
            <w:tcW w:w="4560" w:type="dxa"/>
            <w:vAlign w:val="bottom"/>
          </w:tcPr>
          <w:p>
            <w:pPr>
              <w:ind w:left="160"/>
              <w:spacing w:after="0" w:line="176" w:lineRule="exact"/>
              <w:rPr>
                <w:sz w:val="20"/>
                <w:szCs w:val="20"/>
                <w:color w:val="auto"/>
              </w:rPr>
            </w:pPr>
            <w:r>
              <w:rPr>
                <w:rFonts w:ascii="Arial" w:cs="Arial" w:eastAsia="Arial" w:hAnsi="Arial"/>
                <w:sz w:val="18"/>
                <w:szCs w:val="18"/>
                <w:color w:val="auto"/>
                <w:w w:val="97"/>
              </w:rPr>
              <w:t>Inline XBRL Taxonomy Extension Presentation Linkbase</w:t>
            </w:r>
          </w:p>
        </w:tc>
        <w:tc>
          <w:tcPr>
            <w:tcW w:w="160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104</w:t>
            </w:r>
          </w:p>
        </w:tc>
        <w:tc>
          <w:tcPr>
            <w:tcW w:w="300" w:type="dxa"/>
            <w:vAlign w:val="bottom"/>
          </w:tcPr>
          <w:p>
            <w:pPr>
              <w:spacing w:after="0"/>
              <w:rPr>
                <w:sz w:val="15"/>
                <w:szCs w:val="15"/>
                <w:color w:val="auto"/>
              </w:rPr>
            </w:pPr>
          </w:p>
        </w:tc>
        <w:tc>
          <w:tcPr>
            <w:tcW w:w="4560" w:type="dxa"/>
            <w:vAlign w:val="bottom"/>
          </w:tcPr>
          <w:p>
            <w:pPr>
              <w:ind w:left="160"/>
              <w:spacing w:after="0" w:line="176" w:lineRule="exact"/>
              <w:rPr>
                <w:sz w:val="20"/>
                <w:szCs w:val="20"/>
                <w:color w:val="auto"/>
              </w:rPr>
            </w:pPr>
            <w:r>
              <w:rPr>
                <w:rFonts w:ascii="Arial" w:cs="Arial" w:eastAsia="Arial" w:hAnsi="Arial"/>
                <w:sz w:val="18"/>
                <w:szCs w:val="18"/>
                <w:color w:val="auto"/>
              </w:rPr>
              <w:t>Cover Page Interactive Data File (formatted as Inline</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560" w:type="dxa"/>
            <w:vAlign w:val="bottom"/>
          </w:tcPr>
          <w:p>
            <w:pPr>
              <w:ind w:left="160"/>
              <w:spacing w:after="0" w:line="176" w:lineRule="exact"/>
              <w:rPr>
                <w:sz w:val="20"/>
                <w:szCs w:val="20"/>
                <w:color w:val="auto"/>
              </w:rPr>
            </w:pPr>
            <w:r>
              <w:rPr>
                <w:rFonts w:ascii="Arial" w:cs="Arial" w:eastAsia="Arial" w:hAnsi="Arial"/>
                <w:sz w:val="18"/>
                <w:szCs w:val="18"/>
                <w:color w:val="auto"/>
              </w:rPr>
              <w:t>XBRL with applicable taxonomy extension information</w:t>
            </w:r>
          </w:p>
        </w:tc>
        <w:tc>
          <w:tcPr>
            <w:tcW w:w="160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contained in Exhibits 101)</w:t>
            </w: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93" w:hanging="493"/>
        <w:spacing w:after="0" w:line="259" w:lineRule="auto"/>
        <w:tabs>
          <w:tab w:leader="none" w:pos="3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270" w:right="339" w:bottom="1440" w:gutter="0" w:footer="0" w:header="0"/>
          <w:type w:val="continuous"/>
        </w:sectPr>
      </w:pPr>
    </w:p>
    <w:bookmarkStart w:id="81" w:name="page82"/>
    <w:bookmarkEnd w:id="81"/>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80" w:val="left"/>
          <w:tab w:leader="none" w:pos="5320" w:val="left"/>
        </w:tabs>
        <w:rPr>
          <w:sz w:val="20"/>
          <w:szCs w:val="20"/>
          <w:color w:val="auto"/>
        </w:rPr>
      </w:pPr>
      <w:r>
        <w:rPr>
          <w:rFonts w:ascii="Arial" w:cs="Arial" w:eastAsia="Arial" w:hAnsi="Arial"/>
          <w:sz w:val="18"/>
          <w:szCs w:val="18"/>
          <w:color w:val="auto"/>
        </w:rPr>
        <w:t>Date:</w:t>
        <w:tab/>
        <w:t>June 2, 2021</w:t>
      </w:r>
      <w:r>
        <w:rPr>
          <w:sz w:val="20"/>
          <w:szCs w:val="20"/>
          <w:color w:val="auto"/>
        </w:rPr>
        <w:tab/>
      </w:r>
      <w:r>
        <w:rPr>
          <w:rFonts w:ascii="Arial" w:cs="Arial" w:eastAsia="Arial" w:hAnsi="Arial"/>
          <w:sz w:val="18"/>
          <w:szCs w:val="18"/>
          <w:b w:val="1"/>
          <w:bCs w:val="1"/>
          <w:color w:val="auto"/>
        </w:rPr>
        <w:t>GUIDEWIRE SOFTWARE, INC.</w:t>
      </w:r>
    </w:p>
    <w:p>
      <w:pPr>
        <w:spacing w:after="0" w:line="297"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1203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Jeff Cooper</w:t>
      </w:r>
    </w:p>
    <w:p>
      <w:pPr>
        <w:spacing w:after="0" w:line="18"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Chief Financial Officer</w:t>
      </w:r>
    </w:p>
    <w:p>
      <w:pPr>
        <w:ind w:left="57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720"/>
          </w:cols>
          <w:pgMar w:left="320" w:top="287" w:right="8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1300" w:right="220" w:hanging="320"/>
        <w:spacing w:after="0" w:line="342" w:lineRule="auto"/>
        <w:tabs>
          <w:tab w:leader="none" w:pos="12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w w:val="86"/>
              </w:rPr>
              <w:t>Date:June 2, 2021</w:t>
            </w:r>
          </w:p>
        </w:tc>
        <w:tc>
          <w:tcPr>
            <w:tcW w:w="2680" w:type="dxa"/>
            <w:vAlign w:val="bottom"/>
          </w:tcPr>
          <w:p>
            <w:pPr>
              <w:ind w:left="222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MIKE ROSENBAUM</w:t>
            </w:r>
          </w:p>
        </w:tc>
      </w:tr>
      <w:tr>
        <w:trPr>
          <w:trHeight w:val="222"/>
        </w:trPr>
        <w:tc>
          <w:tcPr>
            <w:tcW w:w="3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Mike Rosenbaum</w:t>
            </w:r>
          </w:p>
        </w:tc>
      </w:tr>
      <w:tr>
        <w:trPr>
          <w:trHeight w:val="230"/>
        </w:trPr>
        <w:tc>
          <w:tcPr>
            <w:tcW w:w="3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230"/>
        </w:trPr>
        <w:tc>
          <w:tcPr>
            <w:tcW w:w="3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Jeff Cooper, certify that:</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1300" w:right="220" w:hanging="320"/>
        <w:spacing w:after="0" w:line="342" w:lineRule="auto"/>
        <w:tabs>
          <w:tab w:leader="none" w:pos="129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June 2, 2021</w:t>
            </w:r>
          </w:p>
        </w:tc>
        <w:tc>
          <w:tcPr>
            <w:tcW w:w="2720" w:type="dxa"/>
            <w:vAlign w:val="bottom"/>
          </w:tcPr>
          <w:p>
            <w:pPr>
              <w:ind w:left="228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JEFF COOPER</w:t>
            </w:r>
          </w:p>
        </w:tc>
      </w:tr>
      <w:tr>
        <w:trPr>
          <w:trHeight w:val="222"/>
        </w:trPr>
        <w:tc>
          <w:tcPr>
            <w:tcW w:w="38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Jeff Cooper</w:t>
            </w:r>
          </w:p>
        </w:tc>
      </w:tr>
      <w:tr>
        <w:trPr>
          <w:trHeight w:val="229"/>
        </w:trPr>
        <w:tc>
          <w:tcPr>
            <w:tcW w:w="38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In connection with the Quarterly Report on Form 10-Q of Guidewire Software, Inc. for the quarterly period ended April 30, 2021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June 2, 2021</w:t>
            </w:r>
          </w:p>
        </w:tc>
        <w:tc>
          <w:tcPr>
            <w:tcW w:w="2640" w:type="dxa"/>
            <w:vAlign w:val="bottom"/>
          </w:tcPr>
          <w:p>
            <w:pPr>
              <w:ind w:left="20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MIKE ROSENBAUM</w:t>
            </w:r>
          </w:p>
        </w:tc>
      </w:tr>
      <w:tr>
        <w:trPr>
          <w:trHeight w:val="222"/>
        </w:trPr>
        <w:tc>
          <w:tcPr>
            <w:tcW w:w="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Mike Rosenbaum</w:t>
            </w:r>
          </w:p>
        </w:tc>
      </w:tr>
      <w:tr>
        <w:trPr>
          <w:trHeight w:val="229"/>
        </w:trPr>
        <w:tc>
          <w:tcPr>
            <w:tcW w:w="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353"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In connection with the Quarterly Report on Form 10-Q of Guidewire Software, Inc. for the quarterly period ended April 30, 2021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June 2, 2021</w:t>
            </w:r>
          </w:p>
        </w:tc>
        <w:tc>
          <w:tcPr>
            <w:tcW w:w="2640" w:type="dxa"/>
            <w:vAlign w:val="bottom"/>
          </w:tcPr>
          <w:p>
            <w:pPr>
              <w:ind w:left="20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JEFF COOPER</w:t>
            </w:r>
          </w:p>
        </w:tc>
      </w:tr>
      <w:tr>
        <w:trPr>
          <w:trHeight w:val="222"/>
        </w:trPr>
        <w:tc>
          <w:tcPr>
            <w:tcW w:w="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Jeff Cooper</w:t>
            </w:r>
          </w:p>
        </w:tc>
      </w:tr>
      <w:tr>
        <w:trPr>
          <w:trHeight w:val="230"/>
        </w:trPr>
        <w:tc>
          <w:tcPr>
            <w:tcW w:w="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Roman"/>
      <w:start w:val="1"/>
    </w:lvl>
  </w:abstractNum>
  <w:abstractNum w:abstractNumId="4">
    <w:nsid w:val="431BD7B7"/>
    <w:multiLevelType w:val="hybridMultilevel"/>
    <w:lvl w:ilvl="0">
      <w:lvlJc w:val="left"/>
      <w:lvlText w:val="%1."/>
      <w:numFmt w:val="lowerRoman"/>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9"/>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5"/>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96" Type="http://schemas.openxmlformats.org/officeDocument/2006/relationships/hyperlink" Target="http://www.sec.gov/Archives/edgar/data/1528396/000152839620000012/a31-guidewirexarcertif.htm" TargetMode="External"/><Relationship Id="rId97" Type="http://schemas.openxmlformats.org/officeDocument/2006/relationships/hyperlink" Target="http://www.sec.gov/Archives/edgar/data/1528396/000152839616000070/ex31guidewire-arbylaws2016.htm" TargetMode="External"/><Relationship Id="rId98"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2021-06-03T05:10:41Z</dcterms:created>
  <dcterms:modified xsi:type="dcterms:W3CDTF">2021-06-03T05:10:41Z</dcterms:modified>
</cp:coreProperties>
</file>