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93" w:lineRule="exact"/>
        <w:rPr>
          <w:rFonts w:ascii="MS PGothic" w:cs="MS PGothic" w:eastAsia="MS PGothic" w:hAnsi="MS PGothic"/>
          <w:sz w:val="21"/>
          <w:szCs w:val="21"/>
          <w:color w:val="auto"/>
        </w:rPr>
      </w:pPr>
    </w:p>
    <w:p>
      <w:pPr>
        <w:ind w:left="384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October 31, 2019</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80" w:lineRule="exact"/>
        <w:rPr>
          <w:sz w:val="24"/>
          <w:szCs w:val="24"/>
          <w:color w:val="auto"/>
        </w:rPr>
      </w:pPr>
    </w:p>
    <w:p>
      <w:pPr>
        <w:ind w:left="3860"/>
        <w:spacing w:after="0"/>
        <w:tabs>
          <w:tab w:leader="none" w:pos="6760" w:val="left"/>
          <w:tab w:leader="none" w:pos="7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001-35394</w:t>
      </w:r>
    </w:p>
    <w:p>
      <w:pPr>
        <w:spacing w:after="0" w:line="3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Guidewire Software,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36-4468504</w:t>
            </w:r>
          </w:p>
        </w:tc>
      </w:tr>
      <w:tr>
        <w:trPr>
          <w:trHeight w:val="184"/>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3"/>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0"/>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6"/>
                <w:szCs w:val="16"/>
                <w:b w:val="1"/>
                <w:bCs w:val="1"/>
                <w:color w:val="auto"/>
              </w:rPr>
              <w:t>2850 S. Delaware St., Suite 400</w:t>
            </w:r>
          </w:p>
        </w:tc>
        <w:tc>
          <w:tcPr>
            <w:tcW w:w="302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94403</w:t>
            </w:r>
          </w:p>
        </w:tc>
      </w:tr>
      <w:tr>
        <w:trPr>
          <w:trHeight w:val="212"/>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6"/>
                <w:szCs w:val="16"/>
                <w:b w:val="1"/>
                <w:bCs w:val="1"/>
                <w:color w:val="auto"/>
              </w:rPr>
              <w:t>San Mateo, California</w:t>
            </w:r>
          </w:p>
        </w:tc>
        <w:tc>
          <w:tcPr>
            <w:tcW w:w="3020" w:type="dxa"/>
            <w:vAlign w:val="bottom"/>
          </w:tcPr>
          <w:p>
            <w:pPr>
              <w:spacing w:after="0"/>
              <w:rPr>
                <w:sz w:val="18"/>
                <w:szCs w:val="18"/>
                <w:color w:val="auto"/>
              </w:rPr>
            </w:pPr>
          </w:p>
        </w:tc>
      </w:tr>
      <w:tr>
        <w:trPr>
          <w:trHeight w:val="214"/>
        </w:trPr>
        <w:tc>
          <w:tcPr>
            <w:tcW w:w="4560" w:type="dxa"/>
            <w:vAlign w:val="bottom"/>
          </w:tcPr>
          <w:p>
            <w:pPr>
              <w:jc w:val="center"/>
              <w:ind w:right="180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20" w:type="dxa"/>
            <w:vAlign w:val="bottom"/>
          </w:tcPr>
          <w:p>
            <w:pPr>
              <w:jc w:val="center"/>
              <w:ind w:left="1823"/>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357-9100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00"/>
          </w:cols>
          <w:pgMar w:left="240" w:top="229" w:right="259" w:bottom="1440" w:gutter="0" w:footer="0" w:header="0"/>
        </w:sectPr>
      </w:pPr>
    </w:p>
    <w:p>
      <w:pPr>
        <w:spacing w:after="0" w:line="63"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63" w:lineRule="exact"/>
        <w:rPr>
          <w:sz w:val="24"/>
          <w:szCs w:val="24"/>
          <w:color w:val="auto"/>
        </w:rPr>
      </w:pPr>
    </w:p>
    <w:p>
      <w:pPr>
        <w:sectPr>
          <w:pgSz w:w="11900" w:h="16838" w:orient="portrait"/>
          <w:cols w:equalWidth="0" w:num="3">
            <w:col w:w="3860" w:space="720"/>
            <w:col w:w="1700" w:space="720"/>
            <w:col w:w="4400"/>
          </w:cols>
          <w:pgMar w:left="240" w:top="229" w:right="25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GWRE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280" w:space="720"/>
            <w:col w:w="1920" w:space="720"/>
            <w:col w:w="3760"/>
          </w:cols>
          <w:pgMar w:left="240" w:top="229" w:right="259" w:bottom="1440" w:gutter="0" w:footer="0" w:header="0"/>
          <w:type w:val="continuous"/>
        </w:sectPr>
      </w:pPr>
    </w:p>
    <w:p>
      <w:pPr>
        <w:spacing w:after="0" w:line="199" w:lineRule="exact"/>
        <w:rPr>
          <w:sz w:val="24"/>
          <w:szCs w:val="24"/>
          <w:color w:val="auto"/>
        </w:rPr>
      </w:pPr>
    </w:p>
    <w:p>
      <w:pPr>
        <w:ind w:firstLine="44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620" w:val="left"/>
          <w:tab w:leader="none" w:pos="13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4" w:lineRule="exact"/>
        <w:rPr>
          <w:sz w:val="24"/>
          <w:szCs w:val="24"/>
          <w:color w:val="auto"/>
        </w:rPr>
      </w:pPr>
    </w:p>
    <w:p>
      <w:pPr>
        <w:ind w:right="60" w:firstLine="44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4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line="20" w:lineRule="exact"/>
              <w:rPr>
                <w:sz w:val="1"/>
                <w:szCs w:val="1"/>
                <w:color w:val="auto"/>
              </w:rPr>
            </w:pPr>
          </w:p>
        </w:tc>
        <w:tc>
          <w:tcPr>
            <w:tcW w:w="540" w:type="dxa"/>
            <w:vAlign w:val="bottom"/>
            <w:vMerge w:val="restart"/>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6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vMerge w:val="continue"/>
          </w:tcPr>
          <w:p>
            <w:pPr>
              <w:spacing w:after="0"/>
              <w:rPr>
                <w:sz w:val="24"/>
                <w:szCs w:val="24"/>
                <w:color w:val="auto"/>
              </w:rPr>
            </w:pP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18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0"/>
          <w:szCs w:val="20"/>
          <w:color w:val="auto"/>
        </w:rPr>
      </w:pPr>
    </w:p>
    <w:p>
      <w:pPr>
        <w:ind w:left="460" w:right="154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November 30, 2019, the registrant had 82,579,682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180" w:type="dxa"/>
            <w:vAlign w:val="bottom"/>
            <w:gridSpan w:val="18"/>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0" w:type="dxa"/>
            <w:vAlign w:val="bottom"/>
            <w:gridSpan w:val="8"/>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gridSpan w:val="6"/>
          </w:tcPr>
          <w:p>
            <w:pPr>
              <w:jc w:val="center"/>
              <w:ind w:right="50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1160" w:type="dxa"/>
            <w:vAlign w:val="bottom"/>
            <w:gridSpan w:val="17"/>
          </w:tcPr>
          <w:p>
            <w:pPr>
              <w:spacing w:after="0"/>
              <w:rPr>
                <w:rFonts w:ascii="Times New Roman" w:cs="Times New Roman" w:eastAsia="Times New Roman" w:hAnsi="Times New Roman"/>
                <w:sz w:val="18"/>
                <w:szCs w:val="18"/>
                <w:b w:val="1"/>
                <w:bCs w:val="1"/>
                <w:color w:val="0000FF"/>
              </w:rPr>
            </w:pPr>
            <w:hyperlink w:anchor="page4">
              <w:r>
                <w:rPr>
                  <w:rFonts w:ascii="Times New Roman" w:cs="Times New Roman" w:eastAsia="Times New Roman" w:hAnsi="Times New Roman"/>
                  <w:sz w:val="18"/>
                  <w:szCs w:val="18"/>
                  <w:b w:val="1"/>
                  <w:bCs w:val="1"/>
                  <w:color w:val="0000FF"/>
                </w:rPr>
                <w:t>Part I – 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20" w:type="dxa"/>
            <w:vAlign w:val="bottom"/>
            <w:gridSpan w:val="15"/>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Financial Statements (unaudited):</w:t>
              </w:r>
            </w:hyperlink>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20" w:type="dxa"/>
            <w:vAlign w:val="bottom"/>
            <w:gridSpan w:val="15"/>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 xml:space="preserve">Condensed Consolidated Balance Sheets as of October </w:t>
              </w:r>
            </w:hyperlink>
            <w:r>
              <w:rPr>
                <w:rFonts w:ascii="Times New Roman" w:cs="Times New Roman" w:eastAsia="Times New Roman" w:hAnsi="Times New Roman"/>
                <w:sz w:val="18"/>
                <w:szCs w:val="18"/>
                <w:color w:val="0000FF"/>
              </w:rPr>
              <w:t xml:space="preserve">31, </w:t>
            </w:r>
            <w:hyperlink w:anchor="page5">
              <w:r>
                <w:rPr>
                  <w:rFonts w:ascii="Times New Roman" w:cs="Times New Roman" w:eastAsia="Times New Roman" w:hAnsi="Times New Roman"/>
                  <w:sz w:val="18"/>
                  <w:szCs w:val="18"/>
                  <w:color w:val="0000FF"/>
                </w:rPr>
                <w:t xml:space="preserve">2019 and July 31, </w:t>
              </w:r>
            </w:hyperlink>
            <w:r>
              <w:rPr>
                <w:rFonts w:ascii="Times New Roman" w:cs="Times New Roman" w:eastAsia="Times New Roman" w:hAnsi="Times New Roman"/>
                <w:sz w:val="18"/>
                <w:szCs w:val="18"/>
                <w:color w:val="0000FF"/>
              </w:rPr>
              <w:t>2019</w:t>
            </w:r>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760" w:type="dxa"/>
            <w:vAlign w:val="bottom"/>
            <w:gridSpan w:val="12"/>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 xml:space="preserve">Condensed Consolidated Statements of Operations for the Three Months Ended October </w:t>
              </w:r>
            </w:hyperlink>
            <w:r>
              <w:rPr>
                <w:rFonts w:ascii="Times New Roman" w:cs="Times New Roman" w:eastAsia="Times New Roman" w:hAnsi="Times New Roman"/>
                <w:sz w:val="18"/>
                <w:szCs w:val="18"/>
                <w:color w:val="0000FF"/>
                <w:w w:val="99"/>
              </w:rPr>
              <w:t xml:space="preserve">31, </w:t>
            </w:r>
            <w:hyperlink w:anchor="page5">
              <w:r>
                <w:rPr>
                  <w:rFonts w:ascii="Times New Roman" w:cs="Times New Roman" w:eastAsia="Times New Roman" w:hAnsi="Times New Roman"/>
                  <w:sz w:val="18"/>
                  <w:szCs w:val="18"/>
                  <w:color w:val="0000FF"/>
                  <w:w w:val="99"/>
                </w:rPr>
                <w:t>2019 and 2018</w:t>
              </w:r>
            </w:hyperlink>
          </w:p>
        </w:tc>
        <w:tc>
          <w:tcPr>
            <w:tcW w:w="2460" w:type="dxa"/>
            <w:vAlign w:val="bottom"/>
            <w:gridSpan w:val="3"/>
          </w:tcPr>
          <w:p>
            <w:pPr>
              <w:spacing w:after="0"/>
              <w:rPr>
                <w:sz w:val="22"/>
                <w:szCs w:val="22"/>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20" w:type="dxa"/>
            <w:vAlign w:val="bottom"/>
            <w:gridSpan w:val="15"/>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 xml:space="preserve">Condensed Consolidated Statements of Comprehensive Income (Loss) for the Three Months Ended October </w:t>
              </w:r>
            </w:hyperlink>
            <w:r>
              <w:rPr>
                <w:rFonts w:ascii="Times New Roman" w:cs="Times New Roman" w:eastAsia="Times New Roman" w:hAnsi="Times New Roman"/>
                <w:sz w:val="18"/>
                <w:szCs w:val="18"/>
                <w:color w:val="0000FF"/>
              </w:rPr>
              <w:t xml:space="preserve">31, </w:t>
            </w:r>
            <w:hyperlink w:anchor="page6">
              <w:r>
                <w:rPr>
                  <w:rFonts w:ascii="Times New Roman" w:cs="Times New Roman" w:eastAsia="Times New Roman" w:hAnsi="Times New Roman"/>
                  <w:sz w:val="18"/>
                  <w:szCs w:val="18"/>
                  <w:color w:val="0000FF"/>
                </w:rPr>
                <w:t>2019 and 2018</w:t>
              </w:r>
            </w:hyperlink>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20" w:type="dxa"/>
            <w:vAlign w:val="bottom"/>
            <w:gridSpan w:val="1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 xml:space="preserve">Condensed Consolidated Statement of Changes in Stockholders’ Equity for the Three Months Ended October </w:t>
              </w:r>
            </w:hyperlink>
            <w:r>
              <w:rPr>
                <w:rFonts w:ascii="Times New Roman" w:cs="Times New Roman" w:eastAsia="Times New Roman" w:hAnsi="Times New Roman"/>
                <w:sz w:val="18"/>
                <w:szCs w:val="18"/>
                <w:color w:val="0000FF"/>
              </w:rPr>
              <w:t xml:space="preserve">31, </w:t>
            </w:r>
            <w:hyperlink w:anchor="page7">
              <w:r>
                <w:rPr>
                  <w:rFonts w:ascii="Times New Roman" w:cs="Times New Roman" w:eastAsia="Times New Roman" w:hAnsi="Times New Roman"/>
                  <w:sz w:val="18"/>
                  <w:szCs w:val="18"/>
                  <w:color w:val="0000FF"/>
                </w:rPr>
                <w:t>2019 and 2018</w:t>
              </w:r>
            </w:hyperlink>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60" w:type="dxa"/>
            <w:vAlign w:val="bottom"/>
            <w:gridSpan w:val="14"/>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 xml:space="preserve">Condensed Consolidated Statements of Cash Flows for the Three Months Ended October </w:t>
              </w:r>
            </w:hyperlink>
            <w:r>
              <w:rPr>
                <w:rFonts w:ascii="Times New Roman" w:cs="Times New Roman" w:eastAsia="Times New Roman" w:hAnsi="Times New Roman"/>
                <w:sz w:val="18"/>
                <w:szCs w:val="18"/>
                <w:color w:val="0000FF"/>
              </w:rPr>
              <w:t xml:space="preserve">31, </w:t>
            </w:r>
            <w:hyperlink w:anchor="page8">
              <w:r>
                <w:rPr>
                  <w:rFonts w:ascii="Times New Roman" w:cs="Times New Roman" w:eastAsia="Times New Roman" w:hAnsi="Times New Roman"/>
                  <w:sz w:val="18"/>
                  <w:szCs w:val="18"/>
                  <w:color w:val="0000FF"/>
                </w:rPr>
                <w:t>2019 and 2018</w:t>
              </w:r>
            </w:hyperlink>
          </w:p>
        </w:tc>
        <w:tc>
          <w:tcPr>
            <w:tcW w:w="960" w:type="dxa"/>
            <w:vAlign w:val="bottom"/>
          </w:tcPr>
          <w:p>
            <w:pPr>
              <w:spacing w:after="0"/>
              <w:rPr>
                <w:sz w:val="22"/>
                <w:szCs w:val="22"/>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0" w:type="dxa"/>
            <w:vAlign w:val="bottom"/>
            <w:gridSpan w:val="8"/>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Condensed Consolidated Financial Statements</w:t>
              </w:r>
            </w:hyperlink>
          </w:p>
        </w:tc>
        <w:tc>
          <w:tcPr>
            <w:tcW w:w="3760" w:type="dxa"/>
            <w:vAlign w:val="bottom"/>
            <w:gridSpan w:val="4"/>
          </w:tcPr>
          <w:p>
            <w:pPr>
              <w:spacing w:after="0"/>
              <w:rPr>
                <w:sz w:val="22"/>
                <w:szCs w:val="22"/>
                <w:color w:val="auto"/>
              </w:rPr>
            </w:pPr>
          </w:p>
        </w:tc>
        <w:tc>
          <w:tcPr>
            <w:tcW w:w="2460" w:type="dxa"/>
            <w:vAlign w:val="bottom"/>
            <w:gridSpan w:val="3"/>
          </w:tcPr>
          <w:p>
            <w:pPr>
              <w:spacing w:after="0"/>
              <w:rPr>
                <w:sz w:val="22"/>
                <w:szCs w:val="22"/>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6460" w:type="dxa"/>
            <w:vAlign w:val="bottom"/>
            <w:gridSpan w:val="11"/>
          </w:tcPr>
          <w:p>
            <w:pPr>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3760" w:type="dxa"/>
            <w:vAlign w:val="bottom"/>
            <w:gridSpan w:val="4"/>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6460" w:type="dxa"/>
            <w:vAlign w:val="bottom"/>
            <w:gridSpan w:val="11"/>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Quantitative and Qualitative Disclosures about Market Risk</w:t>
              </w:r>
            </w:hyperlink>
          </w:p>
        </w:tc>
        <w:tc>
          <w:tcPr>
            <w:tcW w:w="3760" w:type="dxa"/>
            <w:vAlign w:val="bottom"/>
            <w:gridSpan w:val="4"/>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49">
              <w:r>
                <w:rPr>
                  <w:rFonts w:ascii="Times New Roman" w:cs="Times New Roman" w:eastAsia="Times New Roman" w:hAnsi="Times New Roman"/>
                  <w:sz w:val="18"/>
                  <w:szCs w:val="18"/>
                  <w:color w:val="0000FF"/>
                  <w:w w:val="88"/>
                </w:rPr>
                <w:t>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4.</w:t>
            </w: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4300" w:type="dxa"/>
            <w:vAlign w:val="bottom"/>
            <w:gridSpan w:val="9"/>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Controls and Procedures</w:t>
              </w:r>
            </w:hyperlink>
          </w:p>
        </w:tc>
        <w:tc>
          <w:tcPr>
            <w:tcW w:w="5920" w:type="dxa"/>
            <w:vAlign w:val="bottom"/>
            <w:gridSpan w:val="6"/>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50">
              <w:r>
                <w:rPr>
                  <w:rFonts w:ascii="Times New Roman" w:cs="Times New Roman" w:eastAsia="Times New Roman" w:hAnsi="Times New Roman"/>
                  <w:sz w:val="18"/>
                  <w:szCs w:val="18"/>
                  <w:color w:val="0000FF"/>
                  <w:w w:val="88"/>
                </w:rPr>
                <w:t>48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160" w:type="dxa"/>
            <w:vAlign w:val="bottom"/>
            <w:gridSpan w:val="6"/>
          </w:tcPr>
          <w:p>
            <w:pPr>
              <w:spacing w:after="0"/>
              <w:rPr>
                <w:rFonts w:ascii="Times New Roman" w:cs="Times New Roman" w:eastAsia="Times New Roman" w:hAnsi="Times New Roman"/>
                <w:sz w:val="18"/>
                <w:szCs w:val="18"/>
                <w:b w:val="1"/>
                <w:bCs w:val="1"/>
                <w:color w:val="0000FF"/>
                <w:w w:val="99"/>
              </w:rPr>
            </w:pPr>
            <w:hyperlink w:anchor="page50">
              <w:r>
                <w:rPr>
                  <w:rFonts w:ascii="Times New Roman" w:cs="Times New Roman" w:eastAsia="Times New Roman" w:hAnsi="Times New Roman"/>
                  <w:sz w:val="18"/>
                  <w:szCs w:val="18"/>
                  <w:b w:val="1"/>
                  <w:bCs w:val="1"/>
                  <w:color w:val="0000FF"/>
                  <w:w w:val="99"/>
                </w:rPr>
                <w:t>Part II – Other Information</w:t>
              </w:r>
            </w:hyperlink>
          </w:p>
        </w:tc>
        <w:tc>
          <w:tcPr>
            <w:tcW w:w="9000" w:type="dxa"/>
            <w:vAlign w:val="bottom"/>
            <w:gridSpan w:val="11"/>
          </w:tcPr>
          <w:p>
            <w:pPr>
              <w:spacing w:after="0"/>
              <w:rPr>
                <w:sz w:val="22"/>
                <w:szCs w:val="22"/>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50">
              <w:r>
                <w:rPr>
                  <w:rFonts w:ascii="Times New Roman" w:cs="Times New Roman" w:eastAsia="Times New Roman" w:hAnsi="Times New Roman"/>
                  <w:sz w:val="18"/>
                  <w:szCs w:val="18"/>
                  <w:color w:val="0000FF"/>
                  <w:w w:val="88"/>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gridSpan w:val="5"/>
          </w:tcPr>
          <w:p>
            <w:pPr>
              <w:spacing w:after="0"/>
              <w:rPr>
                <w:rFonts w:ascii="Times New Roman" w:cs="Times New Roman" w:eastAsia="Times New Roman" w:hAnsi="Times New Roman"/>
                <w:sz w:val="18"/>
                <w:szCs w:val="18"/>
                <w:color w:val="0000FF"/>
                <w:w w:val="97"/>
              </w:rPr>
            </w:pPr>
            <w:hyperlink w:anchor="page51">
              <w:r>
                <w:rPr>
                  <w:rFonts w:ascii="Times New Roman" w:cs="Times New Roman" w:eastAsia="Times New Roman" w:hAnsi="Times New Roman"/>
                  <w:sz w:val="18"/>
                  <w:szCs w:val="18"/>
                  <w:color w:val="0000FF"/>
                  <w:w w:val="97"/>
                </w:rPr>
                <w:t>Legal Proceedings</w:t>
              </w:r>
            </w:hyperlink>
          </w:p>
        </w:tc>
        <w:tc>
          <w:tcPr>
            <w:tcW w:w="8880" w:type="dxa"/>
            <w:vAlign w:val="bottom"/>
            <w:gridSpan w:val="10"/>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51">
              <w:r>
                <w:rPr>
                  <w:rFonts w:ascii="Times New Roman" w:cs="Times New Roman" w:eastAsia="Times New Roman" w:hAnsi="Times New Roman"/>
                  <w:sz w:val="18"/>
                  <w:szCs w:val="18"/>
                  <w:color w:val="0000FF"/>
                  <w:w w:val="88"/>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1A.</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8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340" w:type="dxa"/>
            <w:vAlign w:val="bottom"/>
            <w:gridSpan w:val="5"/>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Risk Factors</w:t>
              </w:r>
            </w:hyperlink>
          </w:p>
        </w:tc>
        <w:tc>
          <w:tcPr>
            <w:tcW w:w="8880" w:type="dxa"/>
            <w:vAlign w:val="bottom"/>
            <w:gridSpan w:val="10"/>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51">
              <w:r>
                <w:rPr>
                  <w:rFonts w:ascii="Times New Roman" w:cs="Times New Roman" w:eastAsia="Times New Roman" w:hAnsi="Times New Roman"/>
                  <w:sz w:val="18"/>
                  <w:szCs w:val="18"/>
                  <w:color w:val="0000FF"/>
                  <w:w w:val="88"/>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32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600" w:type="dxa"/>
            <w:vAlign w:val="bottom"/>
            <w:gridSpan w:val="2"/>
          </w:tcPr>
          <w:p>
            <w:pPr>
              <w:spacing w:after="0"/>
              <w:rPr>
                <w:rFonts w:ascii="Times New Roman" w:cs="Times New Roman" w:eastAsia="Times New Roman" w:hAnsi="Times New Roman"/>
                <w:sz w:val="18"/>
                <w:szCs w:val="18"/>
                <w:color w:val="0000FF"/>
                <w:w w:val="96"/>
              </w:rPr>
            </w:pPr>
            <w:hyperlink w:anchor="page71">
              <w:r>
                <w:rPr>
                  <w:rFonts w:ascii="Times New Roman" w:cs="Times New Roman" w:eastAsia="Times New Roman" w:hAnsi="Times New Roman"/>
                  <w:sz w:val="18"/>
                  <w:szCs w:val="18"/>
                  <w:color w:val="0000FF"/>
                  <w:w w:val="96"/>
                </w:rPr>
                <w:t>Exhibits</w:t>
              </w:r>
            </w:hyperlink>
          </w:p>
        </w:tc>
        <w:tc>
          <w:tcPr>
            <w:tcW w:w="300" w:type="dxa"/>
            <w:vAlign w:val="bottom"/>
          </w:tcPr>
          <w:p>
            <w:pPr>
              <w:spacing w:after="0"/>
              <w:rPr>
                <w:sz w:val="24"/>
                <w:szCs w:val="24"/>
                <w:color w:val="auto"/>
              </w:rPr>
            </w:pPr>
          </w:p>
        </w:tc>
        <w:tc>
          <w:tcPr>
            <w:tcW w:w="9320" w:type="dxa"/>
            <w:vAlign w:val="bottom"/>
            <w:gridSpan w:val="12"/>
          </w:tcPr>
          <w:p>
            <w:pPr>
              <w:spacing w:after="0"/>
              <w:rPr>
                <w:sz w:val="24"/>
                <w:szCs w:val="24"/>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71">
              <w:r>
                <w:rPr>
                  <w:rFonts w:ascii="Times New Roman" w:cs="Times New Roman" w:eastAsia="Times New Roman" w:hAnsi="Times New Roman"/>
                  <w:sz w:val="18"/>
                  <w:szCs w:val="18"/>
                  <w:color w:val="0000FF"/>
                  <w:w w:val="88"/>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gridSpan w:val="2"/>
          </w:tcPr>
          <w:p>
            <w:pPr>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Signatures</w:t>
              </w:r>
            </w:hyperlink>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gridSpan w:val="3"/>
          </w:tcPr>
          <w:p>
            <w:pPr>
              <w:jc w:val="right"/>
              <w:ind w:right="60"/>
              <w:spacing w:after="0"/>
              <w:rPr>
                <w:rFonts w:ascii="Times New Roman" w:cs="Times New Roman" w:eastAsia="Times New Roman" w:hAnsi="Times New Roman"/>
                <w:sz w:val="18"/>
                <w:szCs w:val="18"/>
                <w:color w:val="0000FF"/>
                <w:w w:val="88"/>
              </w:rPr>
            </w:pPr>
            <w:hyperlink w:anchor="page72">
              <w:r>
                <w:rPr>
                  <w:rFonts w:ascii="Times New Roman" w:cs="Times New Roman" w:eastAsia="Times New Roman" w:hAnsi="Times New Roman"/>
                  <w:sz w:val="18"/>
                  <w:szCs w:val="18"/>
                  <w:color w:val="0000FF"/>
                  <w:w w:val="88"/>
                </w:rPr>
                <w:t>71</w:t>
              </w:r>
            </w:hyperlink>
          </w:p>
        </w:tc>
        <w:tc>
          <w:tcPr>
            <w:tcW w:w="0" w:type="dxa"/>
            <w:vAlign w:val="bottom"/>
          </w:tcPr>
          <w:p>
            <w:pPr>
              <w:spacing w:after="0"/>
              <w:rPr>
                <w:sz w:val="1"/>
                <w:szCs w:val="1"/>
                <w:color w:val="auto"/>
              </w:rPr>
            </w:pPr>
          </w:p>
        </w:tc>
      </w:tr>
      <w:tr>
        <w:trPr>
          <w:trHeight w:val="125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4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1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prospects of the property &amp; casualty (“P&amp;C”) insurance industry and our company;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developing market for subscription services and uncertainties attendant on emerging sales and delivery models;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trends in future sales, including the mix of licensing and subscription models and seasonality;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competitive environment and changes thereto;</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competitive attributes of our software applications and delivery models;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challenges to further increase sales outside of the United States;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research and development investment and efforts;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expenses to be incurred, and benefits to be achieved from our acquisitions;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gross and operating margins and factors that affect such margins;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provision for tax liabilities, judgments related to revenue recognition, and other critical accounting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new accounting standards and any contractual changes we have made in anticipation of such changes;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market risks, including geographical and political events that may negatively impact our customers; and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satisfy future liquidity requirements.</w:t>
      </w:r>
    </w:p>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0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_____________</w:t>
      </w:r>
    </w:p>
    <w:p>
      <w:pPr>
        <w:spacing w:after="0" w:line="200" w:lineRule="exact"/>
        <w:rPr>
          <w:sz w:val="20"/>
          <w:szCs w:val="20"/>
          <w:color w:val="auto"/>
        </w:rPr>
      </w:pPr>
    </w:p>
    <w:p>
      <w:pPr>
        <w:spacing w:after="0" w:line="36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2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254,101</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832,127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870,136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$1,319 and $1,441,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138,443</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59,778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36,728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39,251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35,566</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1,189,725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1,334,974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213,524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65,809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90,673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66,542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340,877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90,308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2,199,024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2,166,963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34,255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73,365</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85,845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108,304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16,348</w:t>
            </w:r>
          </w:p>
        </w:tc>
        <w:tc>
          <w:tcPr>
            <w:tcW w:w="0" w:type="dxa"/>
            <w:vAlign w:val="bottom"/>
          </w:tcPr>
          <w:p>
            <w:pPr>
              <w:spacing w:after="0"/>
              <w:rPr>
                <w:sz w:val="1"/>
                <w:szCs w:val="1"/>
                <w:color w:val="auto"/>
              </w:rPr>
            </w:pPr>
          </w:p>
        </w:tc>
      </w:tr>
      <w:tr>
        <w:trPr>
          <w:trHeight w:val="237"/>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164,686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232,272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317,322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23,527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19,641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613,499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592,762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1,417,037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1,391,904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190,047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1,585,525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1,574,201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2,199,024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2,166,963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7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75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5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shares and per share amounts)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82,423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94,680</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21,003</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53,616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64,572</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180,255</w:t>
            </w:r>
          </w:p>
        </w:tc>
        <w:tc>
          <w:tcPr>
            <w:tcW w:w="0" w:type="dxa"/>
            <w:vAlign w:val="bottom"/>
          </w:tcPr>
          <w:p>
            <w:pPr>
              <w:spacing w:after="0"/>
              <w:rPr>
                <w:sz w:val="1"/>
                <w:szCs w:val="1"/>
                <w:color w:val="auto"/>
              </w:rPr>
            </w:pPr>
          </w:p>
        </w:tc>
      </w:tr>
      <w:tr>
        <w:trPr>
          <w:trHeight w:val="22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13,330</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53,366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64,410</w:t>
            </w:r>
          </w:p>
        </w:tc>
        <w:tc>
          <w:tcPr>
            <w:tcW w:w="0" w:type="dxa"/>
            <w:vAlign w:val="bottom"/>
          </w:tcPr>
          <w:p>
            <w:pPr>
              <w:spacing w:after="0"/>
              <w:rPr>
                <w:sz w:val="1"/>
                <w:szCs w:val="1"/>
                <w:color w:val="auto"/>
              </w:rPr>
            </w:pPr>
          </w:p>
        </w:tc>
      </w:tr>
      <w:tr>
        <w:trPr>
          <w:trHeight w:val="237"/>
        </w:trPr>
        <w:tc>
          <w:tcPr>
            <w:tcW w:w="8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80,856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81,608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58,627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81,350</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17,135</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76,154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98,647</w:t>
            </w:r>
          </w:p>
        </w:tc>
        <w:tc>
          <w:tcPr>
            <w:tcW w:w="0" w:type="dxa"/>
            <w:vAlign w:val="bottom"/>
          </w:tcPr>
          <w:p>
            <w:pPr>
              <w:spacing w:after="0"/>
              <w:rPr>
                <w:sz w:val="1"/>
                <w:szCs w:val="1"/>
                <w:color w:val="auto"/>
              </w:rPr>
            </w:pPr>
          </w:p>
        </w:tc>
      </w:tr>
      <w:tr>
        <w:trPr>
          <w:trHeight w:val="22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45,496</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32,319</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18,345</w:t>
            </w:r>
          </w:p>
        </w:tc>
        <w:tc>
          <w:tcPr>
            <w:tcW w:w="0" w:type="dxa"/>
            <w:vAlign w:val="bottom"/>
          </w:tcPr>
          <w:p>
            <w:pPr>
              <w:spacing w:after="0"/>
              <w:rPr>
                <w:sz w:val="1"/>
                <w:szCs w:val="1"/>
                <w:color w:val="auto"/>
              </w:rPr>
            </w:pPr>
          </w:p>
        </w:tc>
      </w:tr>
      <w:tr>
        <w:trPr>
          <w:trHeight w:val="237"/>
        </w:trPr>
        <w:tc>
          <w:tcPr>
            <w:tcW w:w="8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100,751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96,160</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6,309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80" w:type="dxa"/>
            <w:vAlign w:val="bottom"/>
            <w:gridSpan w:val="2"/>
            <w:vMerge w:val="continue"/>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82,360,891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80,821,227</w:t>
            </w:r>
          </w:p>
        </w:tc>
        <w:tc>
          <w:tcPr>
            <w:tcW w:w="0" w:type="dxa"/>
            <w:vAlign w:val="bottom"/>
          </w:tcPr>
          <w:p>
            <w:pPr>
              <w:spacing w:after="0"/>
              <w:rPr>
                <w:sz w:val="1"/>
                <w:szCs w:val="1"/>
                <w:color w:val="auto"/>
              </w:rPr>
            </w:pPr>
          </w:p>
        </w:tc>
      </w:tr>
      <w:tr>
        <w:trPr>
          <w:trHeight w:val="27"/>
        </w:trPr>
        <w:tc>
          <w:tcPr>
            <w:tcW w:w="87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82,360,891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82,209,988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1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7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1"/>
        </w:trPr>
        <w:tc>
          <w:tcPr>
            <w:tcW w:w="12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October</w:t>
            </w:r>
          </w:p>
        </w:tc>
      </w:tr>
      <w:tr>
        <w:trPr>
          <w:trHeight w:val="238"/>
        </w:trPr>
        <w:tc>
          <w:tcPr>
            <w:tcW w:w="1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8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900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6,309</w:t>
            </w:r>
          </w:p>
        </w:tc>
      </w:tr>
      <w:tr>
        <w:trPr>
          <w:trHeight w:val="24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r>
      <w:tr>
        <w:trPr>
          <w:trHeight w:val="243"/>
        </w:trPr>
        <w:tc>
          <w:tcPr>
            <w:tcW w:w="9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9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 (expense) on unrealized gains (losses) on 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9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gains (losses) included in net income (loss)</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0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r>
      <w:tr>
        <w:trPr>
          <w:trHeight w:val="237"/>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5,344</w:t>
            </w:r>
          </w:p>
        </w:tc>
      </w:tr>
      <w:tr>
        <w:trPr>
          <w:trHeight w:val="27"/>
        </w:trPr>
        <w:tc>
          <w:tcPr>
            <w:tcW w:w="12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12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GUIDEWIRE SOFTWARE,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CHANGES IN STOCKHOLDERS’ EQUITY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unaudited, in thousands except share amounts</w:t>
      </w:r>
      <w:r>
        <w:rPr>
          <w:rFonts w:ascii="Times New Roman" w:cs="Times New Roman" w:eastAsia="Times New Roman" w:hAnsi="Times New Roman"/>
          <w:sz w:val="16"/>
          <w:szCs w:val="16"/>
          <w:b w:val="1"/>
          <w:b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40" w:type="dxa"/>
            <w:vAlign w:val="bottom"/>
            <w:gridSpan w:val="6"/>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0"/>
                <w:szCs w:val="10"/>
                <w:color w:val="auto"/>
              </w:rPr>
            </w:pPr>
          </w:p>
        </w:tc>
        <w:tc>
          <w:tcPr>
            <w:tcW w:w="166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200" w:type="dxa"/>
            <w:vAlign w:val="bottom"/>
          </w:tcPr>
          <w:p>
            <w:pPr>
              <w:spacing w:after="0"/>
              <w:rPr>
                <w:sz w:val="10"/>
                <w:szCs w:val="10"/>
                <w:color w:val="auto"/>
              </w:rPr>
            </w:pPr>
          </w:p>
        </w:tc>
        <w:tc>
          <w:tcPr>
            <w:tcW w:w="10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120" w:type="dxa"/>
            <w:vAlign w:val="bottom"/>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2019</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82,140,883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1,391,904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190,047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1,574,201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(14,991)</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21,698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8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Issuance of common stock upon vesting of Restricted Stock</w:t>
            </w:r>
          </w:p>
        </w:tc>
        <w:tc>
          <w:tcPr>
            <w:tcW w:w="9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411,825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Units (“RSUs”)</w:t>
            </w: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24,765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24,765</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 net of tax</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8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Reclassification adjustment for realized gain on available-</w:t>
            </w:r>
          </w:p>
        </w:tc>
        <w:tc>
          <w:tcPr>
            <w:tcW w:w="40" w:type="dxa"/>
            <w:vAlign w:val="bottom"/>
          </w:tcPr>
          <w:p>
            <w:pPr>
              <w:spacing w:after="0"/>
              <w:rPr>
                <w:sz w:val="13"/>
                <w:szCs w:val="13"/>
                <w:color w:val="auto"/>
              </w:rPr>
            </w:pPr>
          </w:p>
        </w:tc>
        <w:tc>
          <w:tcPr>
            <w:tcW w:w="10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for-sale securities, included in net loss</w:t>
            </w: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Adoption of Accounting Standards Update ("ASU") 2018-02</w:t>
            </w:r>
          </w:p>
        </w:tc>
        <w:tc>
          <w:tcPr>
            <w:tcW w:w="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2019</w:t>
            </w:r>
          </w:p>
        </w:tc>
        <w:tc>
          <w:tcPr>
            <w:tcW w:w="98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82,574,406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1,417,037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(6,683)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175,163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1,585,525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7"/>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Borders>
              <w:bottom w:val="single" w:sz="8" w:color="auto"/>
            </w:tcBorders>
            <w:gridSpan w:val="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0"/>
                <w:szCs w:val="10"/>
                <w:color w:val="auto"/>
              </w:rPr>
            </w:pPr>
          </w:p>
        </w:tc>
        <w:tc>
          <w:tcPr>
            <w:tcW w:w="166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200" w:type="dxa"/>
            <w:vAlign w:val="bottom"/>
          </w:tcPr>
          <w:p>
            <w:pPr>
              <w:spacing w:after="0"/>
              <w:rPr>
                <w:sz w:val="10"/>
                <w:szCs w:val="10"/>
                <w:color w:val="auto"/>
              </w:rPr>
            </w:pPr>
          </w:p>
        </w:tc>
        <w:tc>
          <w:tcPr>
            <w:tcW w:w="10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120" w:type="dxa"/>
            <w:vAlign w:val="bottom"/>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July 31, 2018</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80,611,698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1,296,380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124,976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1,413,616</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6,309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372,079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23,210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84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Cancellation of common stock issued as part of Cyence</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(48,968)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w:t>
            </w: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available-for-sale securities, net of tax</w:t>
            </w:r>
          </w:p>
        </w:tc>
        <w:tc>
          <w:tcPr>
            <w:tcW w:w="4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Adoption of new accounting standard (Topic 606)</w:t>
            </w:r>
          </w:p>
        </w:tc>
        <w:tc>
          <w:tcPr>
            <w:tcW w:w="40" w:type="dxa"/>
            <w:vAlign w:val="bottom"/>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44,339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44,339</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October 31, 2018</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81,009,507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1,320,279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175,624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1,487,198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4"/>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(14,991)</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9,652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3,156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2,986</w:t>
            </w:r>
          </w:p>
        </w:tc>
      </w:tr>
      <w:tr>
        <w:trPr>
          <w:trHeight w:val="22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24,558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23,335</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Charges to bad debt and revenue reserves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r>
      <w:tr>
        <w:trPr>
          <w:trHeight w:val="22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income tax</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Accretion of discount on available-for-sale securities, net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(1,790)</w:t>
            </w:r>
          </w:p>
        </w:tc>
      </w:tr>
      <w:tr>
        <w:trPr>
          <w:trHeight w:val="224"/>
        </w:trPr>
        <w:tc>
          <w:tcPr>
            <w:tcW w:w="8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non-cash items affecting net income (loss)</w:t>
            </w:r>
          </w:p>
        </w:tc>
        <w:tc>
          <w:tcPr>
            <w:tcW w:w="2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374</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58,567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28,200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(23,103)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(25,661)</w:t>
            </w:r>
          </w:p>
        </w:tc>
      </w:tr>
      <w:tr>
        <w:trPr>
          <w:trHeight w:val="224"/>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3,898</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2,340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(7,931)</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(39,780)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(29,048)</w:t>
            </w:r>
          </w:p>
        </w:tc>
      </w:tr>
      <w:tr>
        <w:trPr>
          <w:trHeight w:val="224"/>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(32,736)</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(1,691)</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(18,138)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(27,247)</w:t>
            </w: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(406,762)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(253,469)</w:t>
            </w:r>
          </w:p>
        </w:tc>
      </w:tr>
      <w:tr>
        <w:trPr>
          <w:trHeight w:val="224"/>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maturities of available-for-sale securities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360,237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238,389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(2,945)</w:t>
            </w:r>
          </w:p>
        </w:tc>
      </w:tr>
      <w:tr>
        <w:trPr>
          <w:trHeight w:val="224"/>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(57,496)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(18,484)</w:t>
            </w: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689</w:t>
            </w:r>
          </w:p>
        </w:tc>
      </w:tr>
      <w:tr>
        <w:trPr>
          <w:trHeight w:val="224"/>
        </w:trPr>
        <w:tc>
          <w:tcPr>
            <w:tcW w:w="82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w:t>
            </w: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(45,818)</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254,101</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437,140</w:t>
            </w:r>
          </w:p>
        </w:tc>
      </w:tr>
      <w:tr>
        <w:trPr>
          <w:trHeight w:val="24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179,089</w:t>
            </w:r>
          </w:p>
        </w:tc>
        <w:tc>
          <w:tcPr>
            <w:tcW w:w="1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391,322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4"/>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income taxes, net of tax refunds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1,061</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853</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Accruals for purchase of property and equipment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5,167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1,591</w:t>
            </w:r>
          </w:p>
        </w:tc>
      </w:tr>
      <w:tr>
        <w:trPr>
          <w:trHeight w:val="224"/>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Accruals for capitalized software costs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10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ind w:left="340" w:right="5180" w:hanging="332"/>
        <w:spacing w:after="0" w:line="354" w:lineRule="auto"/>
        <w:tabs>
          <w:tab w:leader="none" w:pos="25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Company and Summary of Significant Accounting Policies and Estimates </w:t>
      </w:r>
      <w:r>
        <w:rPr>
          <w:rFonts w:ascii="Times New Roman" w:cs="Times New Roman" w:eastAsia="Times New Roman" w:hAnsi="Times New Roman"/>
          <w:sz w:val="18"/>
          <w:szCs w:val="18"/>
          <w:b w:val="1"/>
          <w:bCs w:val="1"/>
          <w:i w:val="1"/>
          <w:iCs w:val="1"/>
          <w:color w:val="auto"/>
        </w:rPr>
        <w:t>Company</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an industry platform, which combines software, services, and a partner ecosystem to enable its customers to run, differentiate, and grow their business. The Company's software products and solutions support core insurance operations, provide insights and enable smarter decision-making, and support digital engagement with customers and agents across the insurance life-cycle. The Company and its system integrator partners provide professional services to implement the Company's software, and the Company offers post-production software support. The Company’s customers are primarily property and casualty insurance carriers.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note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2019, as amended by the Company's Annual Report on Form 10-K/A for the fiscal year ended July 31, 2019 (collectively, the "Annual Report on Form 10-K"). There have been no changes in the Company’s significant accounting policies from those that were disclosed in the Company’s consolidated financial statements included in the Company’s Annual Report on Form 10-K, except for changes to operating lease recognition resulting from the adoption of ASU No. 2016-02, “Leases”, Accounting Standards Codification 842 ("ASC 842").</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Immaterial Revisions to Interim Condensed Consolidated Financial Statements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3, 2019, the Company filed Amendment No. 1 to its Annual Report on Form 10-K for the fiscal year ended July 31, 2018 (the “2018 Form 10-K/A”). In addition to the correction of errors primarily related to a misapplication of the vendor specific objective evidence ("VSOE") provisions of the prior revenue recognition guidance applicable to certain customer contracts under ASC 605, the Company also corrected the previously filed consolidated financial statements for the year ended July 31, 2018 for errors related to professional services arrangements (the “other corrections”) that were deemed immaterial when they were originally identified. The other corrections resulted in immaterial revisions to professional services revenue, cost of revenue - services, and related tax and balance sheet items in the interim condensed consolidated financial statements as of and for the period ended October 31, 2018, which are presented herein as revised.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allowance for doubtful accounts and revenue reserves, valuation allowance for deferred tax assets, stock-based compensation, annual bonus attainment, income tax uncertainties, fair value of convertible senior notes, valuation of goodwill and intangible assets,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presented as other income (expense) in the condensed consolidated statements of operations.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All investments are recorded at fair value with unrealized holding gains and losses included in accumulated other comprehensive income (loss) in the accompanying condensed consolidated balance sheets.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70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7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43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70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3 to 5 years</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432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0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Shorter of 10 years or remaining lease term</w:t>
            </w:r>
          </w:p>
        </w:tc>
      </w:tr>
      <w:tr>
        <w:trPr>
          <w:trHeight w:val="27"/>
        </w:trPr>
        <w:tc>
          <w:tcPr>
            <w:tcW w:w="432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condensed consolidated statements of operations as incurred.</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qualifying costs incurred for computer software developed for internal use, the Company begins to capitalize costs to develop software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life of the related assets, generally estimated to be three to five years. Costs incurred prior to meeting these capitalization criteria and costs incurred for training and maintenance are expensed as incurred and recorded in research and development expense on the Company’s condensed consolidated statements of operations. Capitalized software development costs are recorded in property and equipment on the Company’s condensed consolidated balance sheets.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 2019, the Company adopted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1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are included in operating lease assets, other current liabilities, and lease liabilities on the condensed consolidated balance sheets.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Intangible Assets, and Goodwill</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two-step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and circumstances, the Company determines that it is more likely than not that the fair value of a reporting unit is greater than its carrying amount, then the two-step goodwill impairment test is not performed. There have been no goodwill impairments during the periods presented.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uses its best estimates and assumptions to assign fair value to the tangible and intangible assets acquired and liabilities assumed at the acquisition date. Goodwill is calculated as the difference between the acquisition 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condensed consolidated statements of operations.</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and accounts receivable. The Company maintains its cash, cash equivalents, and investments with high quality financial institutions. The Company is exposed to credit risk for cash held in financial institutions in the event of a default to the extent that such amounts recorded on the condensed consolidated balance sheets are in excess of amounts that are insured by the Federal Deposit Insurance Corporation.</w:t>
      </w:r>
    </w:p>
    <w:p>
      <w:pPr>
        <w:spacing w:after="0" w:line="126"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No customer individually accounted for 10% or more of the Company’s revenue for the three months ended October 31, 2019 or 2018. No customer individually accounted for 10% or more of the Company’s accounts receivable as of October 31, 2019 and July 31, 2019.</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 and Revenue Reserves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invoiced amounts and do not bear interest. While the Company does not require collateral, the Company performs ongoing credit evaluations of its customers. The Company maintains an allowance for doubtful accounts based upon the expected collectability of its accounts receivable. The expectation of collectability is based on historical loss patterns, the number of days that billings are past due, and an evaluation of the potential risk of loss associated with delinquent accounts.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revenue is derived from contracts with customers. The majority of the Company’s revenue is derived from licensing arrangements that can span multiple years, subscriptions to our cloud services, and implementation and other professional services arrangements. The Company accounts for revenue in accordance with Accounting Standards Codification 606, Revenue from Contracts with Customers ("ASC 606"), which the Company adopted on August 1, 2018. The Company recorded a net increase to opening retained earnings of $44.3 million as of August 1, 2018 due to the cumulative impact of adopting ASC 606 using the modified retrospective method. Refer to Note 1 to the consolidated financial statements included in the Company’s 2018 Form 10-K/A for a description of the Company’s revenue recognition policy prior to August 1, 2018.</w:t>
      </w:r>
    </w:p>
    <w:p>
      <w:pPr>
        <w:spacing w:after="0" w:line="13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 in the contract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or products that will be transferred to the customer that are both:</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distinct in the context of the contract, whereby the transfer of the services or products is separately identifiable from other promises in the contract.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which represent the performance obligations of the Company:</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Self-managed software licenses related to term or perpetual agreements;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activities that consist of email and phone support, bug fixes, and unspecified software updates and upgrades released when, and if, available during the maintenance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related to the Company’s Software-as-a-Service (“SaaS”) offerings;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the implementation and configuration of the Company’s software, reimbursable travel, and training.</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Term licenses generally have a two-year initial term with a customer option to renew on an annual basis after the initial term. Maintenance for term licenses follows the same contract periods. Subscriptions are typically sold with a three- to five-year initial term with a customer option to renew on an annual basis after the initial term. Professional services typically are time and materials contracts that last for an average period of approximately one year.</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and products to the customer. Variable consideration is estimated and included in the transaction price if, in the Company’s judgment, it is probable that there will not be a significant future reversal of cumulative revenue under the contract.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maintenance, implementation services or training services. Some of the Company’s performance obligations, such as maintenance,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Recognition of revenue when, or as, the Company satisfies a performance obligation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at a point in time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Self-managed software licenses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over a period of time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Subscriptions, maintenance activities, and professional service arrangements comprise the majority of distinct performance obligations that are satisfied over a period of time.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arrangements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subscription arrangements is recognized ratably over the subscription period using a time-based measure of progress as customers receive the benefits from their subscriptions over the contractually agreed-upon term. The Company’s subscription periods are generally three to five years. Consideration from subscription arrangements is typically billed in advance on an annual basis over the contract period.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maintenance activities associated with self-managed licenses is a stand-ready obligation, which is recognized over the contractually agreed-upon term using a time-based measure of progress as customers receive benefits from the availability of support technicians over the support period. Consideration for maintenance activities is typically billed in advance on an annual basis. The Company’s maintenance activities are consistently priced as a percentage of the associated self-managed software license.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professional service arrangements is recognized over the respective service period as the underlying services are performed.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substantially all of the Company’s professional service contracts, services are separately identifiable performance obligations for which related revenue and costs are recognized according to when each respective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Balance Sheet Presentation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Contracts with customers are reflected in the condensed consolidated balance sheets as follows:</w:t>
      </w:r>
    </w:p>
    <w:p>
      <w:pPr>
        <w:spacing w:after="0" w:line="225"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represents amounts billed to customers in accordance with contract terms for which payment has not yet been received. It is presented net of the allowance for doubtful accounts and revenue reserves as part of current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Unbilled accounts receivable, net represents amounts that are unbilled due to agreed-upon contractual terms in which billing occurs subsequent to revenue recognition. This situation typically occurs when the Company transfers control of time-based software licenses to customers up-front, but invoices customers annually over the term of the license, which is typically two years. Unbilled accounts receivable is classified as either current or non-current based on the duration of remaining time between the date of the condensed consolidated balance sheets and the anticipated due date of the underlying receivables. Under ASC 606, this balance represents contract assets. As of October 31, 2019, there was no allowance for doubtful accounts associated with unbilled accounts receivable.</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include deferred commissions and their related payroll taxes, royalties, and referral fees. The short-term portion is presented as prepaid and other current assets. The long-term portion is presented as other assets.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net represents amounts that have been invoiced and for which the Company has the right to bill, but that have not been recognized as revenue because the related goods or services have not been transferred. Deferred revenue that will be realized during the 12-month period following the date of the condensed consolidated balance sheets is recorded as current. The remaining deferred revenue is recorded as non-current. Under ASC 606, this balance represents contract liabilities.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on the consolidated balance sheets.</w:t>
      </w:r>
    </w:p>
    <w:p>
      <w:pPr>
        <w:spacing w:after="0" w:line="207"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Customer acquisition costs are capitalized only if the costs are incrementally incurred to obtain a customer contract, and mainly consist of sales commissions paid to sales personnel and their related payroll taxes, and referral fees.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to fulfill a contract, or fulfillment costs, mainly consist of royalties payable to third-party software providers that support both the Company’s software offerings and support services.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costs are expensed as incurred and amounts incurred were not material during the three months ended October 31, 2019 and 2018.</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for a specified performance period or specified performance periods, service periods, and in select cases, subject to certain performance conditions (“TSR PSUs”). RSAs, RSUs, PSUs, and TSR PSUs are collectively referred to as “Stock Awards.”</w:t>
      </w:r>
    </w:p>
    <w:p>
      <w:pPr>
        <w:spacing w:after="0" w:line="4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w:t>
      </w:r>
    </w:p>
    <w:p>
      <w:pPr>
        <w:spacing w:after="0" w:line="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as income tax expense in its condensed consolidated statement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2019, the Company adopted ASC 842 using the modified retrospective transition approach by applying the new standard to all leases existing at the date of initial application. Results and disclosure requirements for reporting periods beginning after August 1, 2019 are presented under ASC 842, while prior period amounts have not been adjusted and continue to be reported in accordance with our historical accounting under ASC 840, Leases ("ASC 840").</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the package of practical expedients permitted under the transition guidance, such that, for any leases that existed prior to August 1, 2019, the Company did not reassess the lease classification, whether contracts are or contain embedded leases, and the capitalization of initial direct costs. The Company also elected to combine lease and non-lease components for all leases and to keep leases with an initial term of 12 months or less off the balance sheet and recognize the associated lease payments in the condensed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adoption, the Company recognized total operating lease assets of $93.0 million, with corresponding lease liabilities of $111.7 million on the condensed consolidated balance sheets. The operating lease assets include adjustments for prepayments and lease incentives. The adoption did not impact opening retained earnings.</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Statement, Reporting Comprehensive Income (Topic 220): Reclassification of Certain Effects from Accumulated Other Comprehensive Income</w:t>
      </w:r>
    </w:p>
    <w:p>
      <w:pPr>
        <w:spacing w:after="0" w:line="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2018, the Financial Accounting Standard Board ("FASB") issued ASU No. 2018-02, Income Statement, Reporting Comprehensive Income (Topic 220): Reclassification of Certain Effects from Accumulated Other Comprehensive Income, which allows a reclassification of stranded tax effects from accumulated other comprehensive income to retained earnings, as a result of the Tax Act. The adoption had an immaterial impact on retained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Goodwill and Other (Subtopic 350-40): Customer’s Accounting for Implementation Costs Incurred in a Cloud Computing Arrangement that is a Service Contract (“ASU 2018-15”), which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350-40. ASU 2018-15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Instruments-Credit Losses (Topic 326): Measurement of Credit Losses on Financial Instruments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ASU 2016-13 is effective for fiscal years, and interim periods within those years, beginning after December 15, 2019, with early adoption permitted. The Company is in the process of evaluating the impact of adopting the new standard for its 2021 fiscal year and subsequent periods.</w:t>
      </w:r>
    </w:p>
    <w:p>
      <w:pPr>
        <w:spacing w:after="0" w:line="21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are or will be applicable to the Company did not, or are not expected to, have a material impact on the Company's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 Revenue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 by revenue type and by geography is as follows (in thousands):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2019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License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2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3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37,328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98,443</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1,760</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14,785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37"/>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Americas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16,574</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40,747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116,716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EMEA</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6,049</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11,115</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EMEA</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21,049</w:t>
            </w:r>
          </w:p>
        </w:tc>
        <w:tc>
          <w:tcPr>
            <w:tcW w:w="0" w:type="dxa"/>
            <w:vAlign w:val="bottom"/>
          </w:tcPr>
          <w:p>
            <w:pPr>
              <w:spacing w:after="0"/>
              <w:rPr>
                <w:sz w:val="1"/>
                <w:szCs w:val="1"/>
                <w:color w:val="auto"/>
              </w:rPr>
            </w:pPr>
          </w:p>
        </w:tc>
      </w:tr>
      <w:tr>
        <w:trPr>
          <w:trHeight w:val="243"/>
        </w:trPr>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APAC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4,506</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19,245</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53,616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157,010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1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License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2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3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95,095</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14,699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37"/>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48,077</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113,384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EMEA</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28,739</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EMEA</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41,057</w:t>
            </w: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APAC</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25,814</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180,255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 by major product or service type is as follows (in thousands):</w:t>
            </w: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9"/>
        </w:trPr>
        <w:tc>
          <w:tcPr>
            <w:tcW w:w="7180" w:type="dxa"/>
            <w:vAlign w:val="bottom"/>
          </w:tcPr>
          <w:p>
            <w:pPr>
              <w:spacing w:after="0"/>
              <w:rPr>
                <w:sz w:val="24"/>
                <w:szCs w:val="24"/>
                <w:color w:val="auto"/>
              </w:rPr>
            </w:pPr>
          </w:p>
        </w:tc>
        <w:tc>
          <w:tcPr>
            <w:tcW w:w="3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00" w:type="dxa"/>
            <w:vAlign w:val="bottom"/>
          </w:tcPr>
          <w:p>
            <w:pPr>
              <w:spacing w:after="0"/>
              <w:rPr>
                <w:sz w:val="24"/>
                <w:szCs w:val="24"/>
                <w:color w:val="auto"/>
              </w:rPr>
            </w:pPr>
          </w:p>
        </w:tc>
      </w:tr>
      <w:tr>
        <w:trPr>
          <w:trHeight w:val="27"/>
        </w:trPr>
        <w:tc>
          <w:tcPr>
            <w:tcW w:w="7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0" w:type="dxa"/>
            <w:vAlign w:val="bottom"/>
          </w:tcPr>
          <w:p>
            <w:pPr>
              <w:spacing w:after="0"/>
              <w:rPr>
                <w:sz w:val="20"/>
                <w:szCs w:val="20"/>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and subscription</w:t>
            </w:r>
          </w:p>
        </w:tc>
        <w:tc>
          <w:tcPr>
            <w:tcW w:w="1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 license</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54,178</w:t>
            </w:r>
          </w:p>
        </w:tc>
        <w:tc>
          <w:tcPr>
            <w:tcW w:w="100" w:type="dxa"/>
            <w:vAlign w:val="bottom"/>
          </w:tcPr>
          <w:p>
            <w:pPr>
              <w:spacing w:after="0"/>
              <w:rPr>
                <w:sz w:val="21"/>
                <w:szCs w:val="21"/>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79,337</w:t>
            </w:r>
          </w:p>
        </w:tc>
      </w:tr>
      <w:tr>
        <w:trPr>
          <w:trHeight w:val="27"/>
        </w:trPr>
        <w:tc>
          <w:tcPr>
            <w:tcW w:w="7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Subscription</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28,196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15,343</w:t>
            </w:r>
          </w:p>
        </w:tc>
      </w:tr>
      <w:tr>
        <w:trPr>
          <w:trHeight w:val="243"/>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Perpetual license</w:t>
            </w: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Maintenance</w:t>
            </w: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21,003</w:t>
            </w:r>
          </w:p>
        </w:tc>
      </w:tr>
      <w:tr>
        <w:trPr>
          <w:trHeight w:val="243"/>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53,616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64,572</w:t>
            </w:r>
          </w:p>
        </w:tc>
      </w:tr>
      <w:tr>
        <w:trPr>
          <w:trHeight w:val="27"/>
        </w:trPr>
        <w:tc>
          <w:tcPr>
            <w:tcW w:w="7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7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157,010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180,255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049"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 - Related Balance Sheet Amounts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on the condensed consolidated balance sheets as follows (in thousands):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40" w:type="dxa"/>
            <w:vAlign w:val="bottom"/>
          </w:tcPr>
          <w:p>
            <w:pPr>
              <w:spacing w:after="0"/>
              <w:rPr>
                <w:sz w:val="20"/>
                <w:szCs w:val="20"/>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October 31, 2019</w:t>
            </w:r>
          </w:p>
        </w:tc>
      </w:tr>
      <w:tr>
        <w:trPr>
          <w:trHeight w:val="27"/>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69,206</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320" w:type="dxa"/>
            <w:vAlign w:val="bottom"/>
          </w:tcPr>
          <w:p>
            <w:pPr>
              <w:spacing w:after="0"/>
              <w:rPr>
                <w:sz w:val="23"/>
                <w:szCs w:val="23"/>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29,313</w:t>
            </w:r>
          </w:p>
        </w:tc>
      </w:tr>
      <w:tr>
        <w:trPr>
          <w:trHeight w:val="24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(107,122)</w:t>
            </w:r>
          </w:p>
        </w:tc>
      </w:tr>
      <w:tr>
        <w:trPr>
          <w:trHeight w:val="27"/>
        </w:trPr>
        <w:tc>
          <w:tcPr>
            <w:tcW w:w="7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current portion of contract costs in the amount of $7.2 million is included in prepaid and other current assets on the Company’s condensed consolidated balance sheets. The non-current portion of contract costs in the amount of $22.1 million is included in other assets on the Company’s condensed consolidated balance sheets. The Company amortized $1.4 million and $1.0 million of contract costs during the three months ended October 31, 2019 and 2018, respectively.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2019, the Company recognized revenue of $32.1 million related to the Company’s deferred revenue balance reported as of July 31, 2019.</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allocated to performance obligations either not satisfied or partially satisfied was $380.0 million as of October 31, 2019. Subscription services are typically satisfied over three to five years, maintenance services are generally satisfied within one year, and professional services are typically satisfied within one year.</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7"/>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85,720</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165,218</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651,550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654,074</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148,313</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60,309</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14,975</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37,545</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r>
      <w:tr>
        <w:trPr>
          <w:trHeight w:val="27"/>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1,264,299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1,267,218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939"/>
        </w:trPr>
        <w:tc>
          <w:tcPr>
            <w:tcW w:w="128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8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55,879</w:t>
            </w: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239,333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239,333</w:t>
            </w:r>
          </w:p>
        </w:tc>
      </w:tr>
      <w:tr>
        <w:trPr>
          <w:trHeight w:val="27"/>
        </w:trPr>
        <w:tc>
          <w:tcPr>
            <w:tcW w:w="4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667,588</w:t>
            </w: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6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130,595</w:t>
            </w:r>
          </w:p>
        </w:tc>
      </w:tr>
      <w:tr>
        <w:trPr>
          <w:trHeight w:val="27"/>
        </w:trPr>
        <w:tc>
          <w:tcPr>
            <w:tcW w:w="4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50,796</w:t>
            </w: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115,711</w:t>
            </w: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1,258,361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1,259,902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investments with unrealized losses, aggregated by investment category and the length of time that individual securities have been in an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Gross</w:t>
            </w:r>
          </w:p>
        </w:tc>
      </w:tr>
      <w:tr>
        <w:trPr>
          <w:trHeight w:val="216"/>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Unrealized</w:t>
            </w:r>
          </w:p>
        </w:tc>
      </w:tr>
      <w:tr>
        <w:trPr>
          <w:trHeight w:val="238"/>
        </w:trPr>
        <w:tc>
          <w:tcPr>
            <w:tcW w:w="390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35,118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2019, the Company had 11 investments in a gross unrealized loss position. The unrealized losses on its available-for-sale securities were primarily a result of unfavorable changes in interest rates subsequent to the initial purchase of these securities. The Company does not intend to sell, nor does it believe it will need to sell, these securities before recovering the associated unrealized losses. The Company does not consider any portion of the unrealized losses at October 31, 2019 to be other-than-temporarily impaired, nor are any unrealized losses considered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12 Months or Greater</w:t>
            </w:r>
          </w:p>
        </w:tc>
        <w:tc>
          <w:tcPr>
            <w:tcW w:w="46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85,720</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165,218</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460,386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193,688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654,074</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148,313</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60,309</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14,975</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37,545</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101,064</w:t>
            </w:r>
          </w:p>
        </w:tc>
      </w:tr>
      <w:tr>
        <w:trPr>
          <w:trHeight w:val="27"/>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966,421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300,797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1,267,218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Accounting guidance for fair value measurements defines a three-level valuation hierarchy for disclosures as follows: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1—Unadjusted quoted prices in active markets for identical assets or liabilities;</w:t>
      </w:r>
    </w:p>
    <w:p>
      <w:pPr>
        <w:spacing w:after="0" w:line="104"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0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on a recurring basis, by level within the fair value hierarchy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33,230</w:t>
            </w:r>
          </w:p>
        </w:tc>
        <w:tc>
          <w:tcPr>
            <w:tcW w:w="12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33,230</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r>
      <w:tr>
        <w:trPr>
          <w:trHeight w:val="237"/>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33,230</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134,294</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36,780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36,780</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131,988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131,988</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460,386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460,386</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130,612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130,612</w:t>
            </w: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22,338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22,338</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14,975</w:t>
            </w: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35,048</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832,127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832,127</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48,940</w:t>
            </w:r>
          </w:p>
        </w:tc>
      </w:tr>
      <w:tr>
        <w:trPr>
          <w:trHeight w:val="24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193,688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193,688</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17,701</w:t>
            </w: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37,971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37,971</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2,497</w:t>
            </w:r>
          </w:p>
        </w:tc>
      </w:tr>
      <w:tr>
        <w:trPr>
          <w:trHeight w:val="237"/>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300,797</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300,797</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1,166,154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1,267,218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56,132</w:t>
            </w:r>
          </w:p>
        </w:tc>
        <w:tc>
          <w:tcPr>
            <w:tcW w:w="120" w:type="dxa"/>
            <w:vAlign w:val="bottom"/>
          </w:tcPr>
          <w:p>
            <w:pPr>
              <w:spacing w:after="0"/>
              <w:rPr>
                <w:sz w:val="21"/>
                <w:szCs w:val="21"/>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56,132</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4,398</w:t>
            </w:r>
          </w:p>
        </w:tc>
      </w:tr>
      <w:tr>
        <w:trPr>
          <w:trHeight w:val="243"/>
        </w:trPr>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115,712</w:t>
            </w: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176,242</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39,166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39,166</w:t>
            </w:r>
          </w:p>
        </w:tc>
      </w:tr>
      <w:tr>
        <w:trPr>
          <w:trHeight w:val="243"/>
        </w:trPr>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183,201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183,201</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477,169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477,169</w:t>
            </w:r>
          </w:p>
        </w:tc>
      </w:tr>
      <w:tr>
        <w:trPr>
          <w:trHeight w:val="24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123,600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123,600</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47,000</w:t>
            </w:r>
          </w:p>
        </w:tc>
      </w:tr>
      <w:tr>
        <w:trPr>
          <w:trHeight w:val="23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870,136</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870,136</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16,713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16,713</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186,021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186,021</w:t>
            </w:r>
          </w:p>
        </w:tc>
      </w:tr>
      <w:tr>
        <w:trPr>
          <w:trHeight w:val="243"/>
        </w:trPr>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6,994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6,994</w:t>
            </w: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3,796</w:t>
            </w:r>
          </w:p>
        </w:tc>
      </w:tr>
      <w:tr>
        <w:trPr>
          <w:trHeight w:val="23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investment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213,524</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213,524</w:t>
            </w: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4"/>
        </w:trPr>
        <w:tc>
          <w:tcPr>
            <w:tcW w:w="5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115,712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1,144,190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1,259,902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0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Senior Notes was $476.0 million at October 31, 2019 and $454.1 million at July 31, 2019.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46" w:lineRule="exact"/>
        <w:rPr>
          <w:sz w:val="20"/>
          <w:szCs w:val="20"/>
          <w:color w:val="auto"/>
        </w:rPr>
      </w:pPr>
    </w:p>
    <w:p>
      <w:pPr>
        <w:ind w:left="340" w:right="9120" w:hanging="332"/>
        <w:spacing w:after="0" w:line="383" w:lineRule="auto"/>
        <w:tabs>
          <w:tab w:leader="none" w:pos="19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Accounts Receivables</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consists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80,799</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revenue reserves</w:t>
            </w:r>
          </w:p>
        </w:tc>
        <w:tc>
          <w:tcPr>
            <w:tcW w:w="300" w:type="dxa"/>
            <w:vAlign w:val="bottom"/>
          </w:tcPr>
          <w:p>
            <w:pPr>
              <w:spacing w:after="0"/>
              <w:rPr>
                <w:sz w:val="21"/>
                <w:szCs w:val="21"/>
                <w:color w:val="auto"/>
              </w:rPr>
            </w:pPr>
          </w:p>
        </w:tc>
        <w:tc>
          <w:tcPr>
            <w:tcW w:w="19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79,480</w:t>
            </w:r>
          </w:p>
        </w:tc>
        <w:tc>
          <w:tcPr>
            <w:tcW w:w="460" w:type="dxa"/>
            <w:vAlign w:val="bottom"/>
            <w:tcBorders>
              <w:bottom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138,443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 and Revenue Reserves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Changes to the allowance for doubtful accounts and revenue reserves consists of the following (in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July 31, 2019</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 to bad debt and revenue reserves</w:t>
            </w: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Write-offs, net</w:t>
            </w:r>
          </w:p>
        </w:tc>
        <w:tc>
          <w:tcPr>
            <w:tcW w:w="3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October 31, 2019</w:t>
            </w:r>
          </w:p>
        </w:tc>
        <w:tc>
          <w:tcPr>
            <w:tcW w:w="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40" w:type="dxa"/>
            <w:vAlign w:val="bottom"/>
          </w:tcPr>
          <w:p>
            <w:pPr>
              <w:spacing w:after="0"/>
              <w:rPr>
                <w:sz w:val="24"/>
                <w:szCs w:val="24"/>
                <w:color w:val="auto"/>
              </w:rPr>
            </w:pP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7,015</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9,595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39,251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35,566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40" w:type="dxa"/>
            <w:vAlign w:val="bottom"/>
          </w:tcPr>
          <w:p>
            <w:pPr>
              <w:spacing w:after="0"/>
              <w:rPr>
                <w:sz w:val="23"/>
                <w:szCs w:val="23"/>
                <w:color w:val="auto"/>
              </w:rPr>
            </w:pPr>
          </w:p>
        </w:tc>
        <w:tc>
          <w:tcPr>
            <w:tcW w:w="1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17,799</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7,374</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48,191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98,697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(32,888)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67,440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2019 and July 31, 2019, no property and equipment was pledged as collateral. Depreciation expense, excluding the amortization of software development costs, was $3.5 million and $1.9 million for each of the three months ended October 31, 2019 and 2018, respectively.</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capitalizes software development costs for technology applications that the Company will offer solely as cloud-based subscriptions,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approximately $0.3 million and $0.2 million in amortization expense in cost of revenue - license and subscription on the accompanying condensed consolidated statements of operations during the three months ended October 31, 2019 and 2018, respectively.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during the three months ended October 31, 2019 was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July 31, 2019</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340,877</w:t>
            </w:r>
          </w:p>
        </w:tc>
      </w:tr>
      <w:tr>
        <w:trPr>
          <w:trHeight w:val="243"/>
        </w:trPr>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carrying value</w:t>
            </w:r>
          </w:p>
        </w:tc>
        <w:tc>
          <w:tcPr>
            <w:tcW w:w="7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October 31, 2019</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340,877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are amortized over their estimated useful lives. Intangible assets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July 31, 2019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2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5"/>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Acquired technology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93,600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58,914</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34,686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53,970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39,630</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contracts and related</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relationships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14,050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21,650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23,134</w:t>
            </w:r>
          </w:p>
        </w:tc>
        <w:tc>
          <w:tcPr>
            <w:tcW w:w="0" w:type="dxa"/>
            <w:vAlign w:val="bottom"/>
          </w:tcPr>
          <w:p>
            <w:pPr>
              <w:spacing w:after="0"/>
              <w:rPr>
                <w:sz w:val="1"/>
                <w:szCs w:val="1"/>
                <w:color w:val="auto"/>
              </w:rPr>
            </w:pPr>
          </w:p>
        </w:tc>
      </w:tr>
      <w:tr>
        <w:trPr>
          <w:trHeight w:val="243"/>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 relationships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43"/>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Order backlog</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7,567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140,700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81,325</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59,375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74,158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66,542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$7.2 million and $7.3 million for the three months ended October 31, 2019 and 2018, respectively. The future amortization expense for existing intangible assets as of October 31, 2019, based on their current useful lives,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Future Amortization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 (remainder of fiscal year)</w:t>
            </w: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59,375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22,117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investment</w:t>
            </w:r>
          </w:p>
        </w:tc>
        <w:tc>
          <w:tcPr>
            <w:tcW w:w="3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43,322</w:t>
            </w: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45,554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other assets includes a strategic equity investment in a privately-held company. The strategic investment is a non-marketable equity security, in which the Company does not have a controlling interest or the ability to exercise significant influence. This investment does not have a readily determinable market value. The Company records this strategic investment at cost less impairment and adjusts the carrying value of the asset for subsequent observable price changes. As of October 31, 2019 and July 31, 2019, there were no changes in the investment’s carrying value of $10.7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Employee Compensation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employee compensation consists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84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Salaries, payroll taxes and benefits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employee compensation</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33,494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6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16,348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(Loss) Per Share</w:t>
      </w:r>
    </w:p>
    <w:p>
      <w:pPr>
        <w:spacing w:after="0" w:line="108" w:lineRule="exact"/>
        <w:rPr>
          <w:sz w:val="20"/>
          <w:szCs w:val="20"/>
          <w:color w:val="auto"/>
        </w:rPr>
      </w:pPr>
    </w:p>
    <w:p>
      <w:pPr>
        <w:jc w:val="both"/>
        <w:ind w:right="160"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(in thousands, except share and per share amounts):</w:t>
      </w: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(14,991)</w:t>
            </w:r>
          </w:p>
        </w:tc>
        <w:tc>
          <w:tcPr>
            <w:tcW w:w="140" w:type="dxa"/>
            <w:vAlign w:val="bottom"/>
          </w:tcPr>
          <w:p>
            <w:pPr>
              <w:spacing w:after="0"/>
              <w:rPr>
                <w:sz w:val="23"/>
                <w:szCs w:val="23"/>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6,309</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CCEEFF"/>
            </w:tcBorders>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82,360,891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80,821,227</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Weighted average effect of dilutive stock options</w:t>
            </w:r>
          </w:p>
        </w:tc>
        <w:tc>
          <w:tcPr>
            <w:tcW w:w="1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317,378</w:t>
            </w:r>
          </w:p>
        </w:tc>
        <w:tc>
          <w:tcPr>
            <w:tcW w:w="0" w:type="dxa"/>
            <w:vAlign w:val="bottom"/>
          </w:tcPr>
          <w:p>
            <w:pPr>
              <w:spacing w:after="0"/>
              <w:rPr>
                <w:sz w:val="1"/>
                <w:szCs w:val="1"/>
                <w:color w:val="auto"/>
              </w:rPr>
            </w:pPr>
          </w:p>
        </w:tc>
      </w:tr>
      <w:tr>
        <w:trPr>
          <w:trHeight w:val="243"/>
        </w:trPr>
        <w:tc>
          <w:tcPr>
            <w:tcW w:w="6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Weighted average effect of dilutive stock awards</w:t>
            </w:r>
          </w:p>
        </w:tc>
        <w:tc>
          <w:tcPr>
            <w:tcW w:w="126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1,071,383</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82,360,891</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82,209,988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 shares outstanding of potential common stock were excluded from the computation of diluted loss per share for the periods presented because including them would have been anti-dilutive:</w:t>
      </w:r>
    </w:p>
    <w:p>
      <w:pPr>
        <w:spacing w:after="0" w:line="15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24765</wp:posOffset>
            </wp:positionV>
            <wp:extent cx="287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206,919</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2,028,908</w:t>
            </w:r>
          </w:p>
        </w:tc>
        <w:tc>
          <w:tcPr>
            <w:tcW w:w="120" w:type="dxa"/>
            <w:vAlign w:val="bottom"/>
          </w:tcPr>
          <w:p>
            <w:pPr>
              <w:spacing w:after="0"/>
              <w:rPr>
                <w:sz w:val="21"/>
                <w:szCs w:val="21"/>
                <w:color w:val="auto"/>
              </w:rPr>
            </w:pPr>
          </w:p>
        </w:tc>
        <w:tc>
          <w:tcPr>
            <w:tcW w:w="22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497,069</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diluted net income per share, if applicable. The conversion spread will have a dilutive impact on net income (loss) per share of common stock when the average market price of the Company’s common stock for a given period exceeds the conversion price of $113.75 per share for the Convertible Senior Notes. During the three months ended October 31, 2019, the Company’s weighted average common stock price was below the conversion price of the Convertible Senior Notes.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Senior Notes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unsecured obligations of the Company, and interest is payable semi-annually in arrears at a rate of 1.25% per year, on March 15th and September 15th of each year, from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its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accounting for the issuance of the Convertible Senior Notes, the Company separated the Convertible Senior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Senior Notes as a whole. The excess of the principal amount of the Convertible Senior Notes over its carrying amount is amortized to interest expense using the effective interest method over the term of the Convertible Senior Notes. The equity component of the Convertible Senior Notes is recorded as the difference between the initial proceeds less the fair value of the liability component and will not be remeasured as long as it continues to meet the requirements for equity classification. The equity component is net of issuance costs and recorded as additional paid-in capital in stockholders’ equity.</w:t>
      </w: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carrying value of the liability component, unamortized debt discount and issuance costs of the Convertible Senior Notes was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60" w:type="dxa"/>
            <w:vAlign w:val="bottom"/>
          </w:tcPr>
          <w:p>
            <w:pPr>
              <w:spacing w:after="0"/>
              <w:rPr>
                <w:sz w:val="24"/>
                <w:szCs w:val="24"/>
                <w:color w:val="auto"/>
              </w:rPr>
            </w:pPr>
          </w:p>
        </w:tc>
        <w:tc>
          <w:tcPr>
            <w:tcW w:w="18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July 31, 2019</w:t>
            </w:r>
          </w:p>
        </w:tc>
      </w:tr>
      <w:tr>
        <w:trPr>
          <w:trHeight w:val="34"/>
        </w:trPr>
        <w:tc>
          <w:tcPr>
            <w:tcW w:w="20" w:type="dxa"/>
            <w:vAlign w:val="bottom"/>
          </w:tcPr>
          <w:p>
            <w:pPr>
              <w:spacing w:after="0"/>
              <w:rPr>
                <w:sz w:val="2"/>
                <w:szCs w:val="2"/>
                <w:color w:val="auto"/>
              </w:rPr>
            </w:pPr>
          </w:p>
        </w:tc>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400,000</w:t>
            </w:r>
          </w:p>
        </w:tc>
      </w:tr>
      <w:tr>
        <w:trPr>
          <w:trHeight w:val="243"/>
        </w:trPr>
        <w:tc>
          <w:tcPr>
            <w:tcW w:w="2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w:t>
            </w:r>
          </w:p>
        </w:tc>
        <w:tc>
          <w:tcPr>
            <w:tcW w:w="2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71,342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74,213</w:t>
            </w:r>
          </w:p>
        </w:tc>
      </w:tr>
      <w:tr>
        <w:trPr>
          <w:trHeight w:val="243"/>
        </w:trPr>
        <w:tc>
          <w:tcPr>
            <w:tcW w:w="20" w:type="dxa"/>
            <w:vAlign w:val="bottom"/>
          </w:tcPr>
          <w:p>
            <w:pPr>
              <w:spacing w:after="0"/>
              <w:rPr>
                <w:sz w:val="21"/>
                <w:szCs w:val="21"/>
                <w:color w:val="auto"/>
              </w:rPr>
            </w:pPr>
          </w:p>
        </w:tc>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8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8,465</w:t>
            </w:r>
          </w:p>
        </w:tc>
      </w:tr>
      <w:tr>
        <w:trPr>
          <w:trHeight w:val="27"/>
        </w:trPr>
        <w:tc>
          <w:tcPr>
            <w:tcW w:w="20" w:type="dxa"/>
            <w:vAlign w:val="bottom"/>
          </w:tcPr>
          <w:p>
            <w:pPr>
              <w:spacing w:after="0"/>
              <w:rPr>
                <w:sz w:val="2"/>
                <w:szCs w:val="2"/>
                <w:color w:val="auto"/>
              </w:rPr>
            </w:pPr>
          </w:p>
        </w:tc>
        <w:tc>
          <w:tcPr>
            <w:tcW w:w="6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320,477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317,322</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Convertible Senior Notes (in thousands, except for percentages):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8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4"/>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780" w:type="dxa"/>
            <w:vAlign w:val="bottom"/>
            <w:tcBorders>
              <w:bottom w:val="single" w:sz="8" w:color="CCEEFF"/>
            </w:tcBorders>
            <w:gridSpan w:val="3"/>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00" w:type="dxa"/>
            <w:vAlign w:val="bottom"/>
            <w:tcBorders>
              <w:top w:val="single" w:sz="8" w:color="auto"/>
              <w:bottom w:val="single" w:sz="8" w:color="auto"/>
            </w:tcBorders>
          </w:tcPr>
          <w:p>
            <w:pPr>
              <w:spacing w:after="0"/>
              <w:rPr>
                <w:sz w:val="22"/>
                <w:szCs w:val="2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 of the liability component</w:t>
            </w: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Capped Call</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as a reduction of the Company’s additional paid-in capital in the accompanying condensed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domestic and international office facilities, and equipment, with lease periods expiring between fiscal years 2020 and 2030. Some leases include one or more options to renew. Lease renewals are not assumed in the determination of the lease term until the exercise of the renewals are deemed to be reasonably certain.</w:t>
      </w:r>
    </w:p>
    <w:p>
      <w:pPr>
        <w:sectPr>
          <w:pgSz w:w="11900" w:h="16838" w:orient="portrait"/>
          <w:cols w:equalWidth="0" w:num="1">
            <w:col w:w="11420"/>
          </w:cols>
          <w:pgMar w:left="240" w:top="108" w:right="239" w:bottom="1440" w:gutter="0" w:footer="0" w:header="0"/>
        </w:sect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Components of operating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1233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18"/>
          <w:szCs w:val="18"/>
          <w:color w:val="auto"/>
          <w:vertAlign w:val="superscript"/>
        </w:rPr>
        <w:t>(1)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123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operating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406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8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3,909</w:t>
      </w:r>
    </w:p>
    <w:p>
      <w:pPr>
        <w:spacing w:after="0" w:line="6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1,523</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06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06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6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1406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440" w:space="720"/>
            <w:col w:w="2260"/>
          </w:cols>
          <w:pgMar w:left="240" w:top="108" w:right="239" w:bottom="1440" w:gutter="0" w:footer="0" w:header="0"/>
          <w:type w:val="continuous"/>
        </w:sectPr>
      </w:pPr>
    </w:p>
    <w:p>
      <w:pPr>
        <w:ind w:left="140" w:hanging="132"/>
        <w:spacing w:after="0"/>
        <w:tabs>
          <w:tab w:leader="none" w:pos="1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Lease expense for leases with an initial term of 12 months or less is excluded from the table above and was $0.3 million for the three months ended October 31, 2019.</w:t>
      </w:r>
    </w:p>
    <w:p>
      <w:pPr>
        <w:sectPr>
          <w:pgSz w:w="11900" w:h="16838" w:orient="portrait"/>
          <w:cols w:equalWidth="0" w:num="1">
            <w:col w:w="11420"/>
          </w:cols>
          <w:pgMar w:left="240" w:top="1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expense for all worldwide facilities and equipment, which was recognized on a straight-line basis over the terms of the various leases, was $2.4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million for the three months ended October 31, 2018, based on the previous lease accounting standard.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operating lease payments as of October 31, 2019 were as follows (in thousands):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July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(remaining of fiscal year)</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9,773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16,329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15,003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13,369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74,499</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142,084</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(30,133)</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9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111,951</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 (in thousands, except for lease term and discount rate):</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9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90,673</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43"/>
        </w:trPr>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105,624</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111,951</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43"/>
        </w:trPr>
        <w:tc>
          <w:tcPr>
            <w:tcW w:w="9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and non-cash information related to operating leases was as follows (in thousands):</w:t>
      </w:r>
    </w:p>
    <w:p>
      <w:pPr>
        <w:spacing w:after="0" w:line="302"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8"/>
          <w:szCs w:val="18"/>
          <w:b w:val="1"/>
          <w:bCs w:val="1"/>
          <w:color w:val="auto"/>
        </w:rPr>
        <w:t>October 31, 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86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1,383</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Company’s contractual obligations and commitments other than in the ordinary course of business since the Company’s fiscal year ended July 31, 2019. See the Annual Report on Form 10-K for the fiscal year ended July 31, 2019 for additional information regarding the Company’s contractual obligations.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 is immaterial. The Company has not recorded any accrual for claims as of October 31, 2019 or July 31, 2019. The Company expenses legal fees in the period in which they are incurred.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contracts (“Software Licenses”). Each Software License contains the terms of the contractual arrangement with the customer and generally includes certain provisions for defending the customer against any claims that the Company’s software infringes upon a patent, copyright, trademark, or other proprietary right of a third party. Software Licenses also indemnify the customer against losses, expenses, and liabilities from damages that may be assessed against the customer in the event the Company’s software is found to infringe upon such third-party rights.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October 31, 2019 or July 31, 2019. For several reasons, including the lack of prior indemnification claims and the lack of a monetary liability limit for certain infringement cases under various Software Licenses, the Company cannot estimate the amount of potential future payments, if any, related to indemnification provisions.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 and Shareholders’ Equity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9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8"/>
          <w:szCs w:val="18"/>
          <w:color w:val="auto"/>
        </w:rPr>
        <w:t>Stock-based compensation expense related to options and Stock Awards is included in the Company’s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23,210</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12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23,335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was charged to the following categories: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license and subscription revenue</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maintenance revenue</w:t>
            </w:r>
          </w:p>
        </w:tc>
        <w:tc>
          <w:tcPr>
            <w:tcW w:w="12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6,406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23,335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unrecognized stock-based compensation cost related to options and Stock Awards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 of October 31, 2019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Expected Recognition</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Unrecognized 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248,838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250,708</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06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3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 summary of the Company’s Stock Awards activity under the Company’s equity incentive plans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Stock Awards Outstanding</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Stock Awards</w:t>
            </w:r>
          </w:p>
        </w:tc>
        <w:tc>
          <w:tcPr>
            <w:tcW w:w="100" w:type="dxa"/>
            <w:vAlign w:val="bottom"/>
          </w:tcPr>
          <w:p>
            <w:pPr>
              <w:spacing w:after="0"/>
              <w:rPr>
                <w:sz w:val="21"/>
                <w:szCs w:val="21"/>
                <w:color w:val="auto"/>
              </w:rPr>
            </w:pPr>
          </w:p>
        </w:tc>
        <w:tc>
          <w:tcPr>
            <w:tcW w:w="2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c>
          <w:tcPr>
            <w:tcW w:w="4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Aggregate Intrinsic Value</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30"/>
              <w:spacing w:after="0" w:line="230" w:lineRule="exact"/>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2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2,384,673</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85.20</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243,427</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1,119,035</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(440,693)</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49,684</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(196,791)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2019</w:t>
            </w:r>
          </w:p>
        </w:tc>
        <w:tc>
          <w:tcPr>
            <w:tcW w:w="2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2,866,224</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323,138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to vest as of October 31, 2019</w:t>
            </w:r>
          </w:p>
        </w:tc>
        <w:tc>
          <w:tcPr>
            <w:tcW w:w="2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2,866,224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323,138</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firstLine="8"/>
        <w:spacing w:after="0" w:line="282" w:lineRule="auto"/>
        <w:tabs>
          <w:tab w:leader="none" w:pos="132"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Aggregate intrinsic value at each period end represents the total market value of Stock Awards at the Company’s closing stock price of $112.74 and $102.08 on October 31, 2019 and July 31, 2019, respectively. Aggregate intrinsic value for released Stock Awards represents the total market value of released Stock Awards at date of release.</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executives and employees of the Company received PSUs and TSR PSUs in addition to RSUs. The PSUs included performance-based conditions and vest over a four-year period. The TSR PSUs are subject to total shareholder return rankings relative to the software companies in the S&amp;P Index for a specified performance period or specified performance periods, and vest at the end of three years. In select cases, certain TSR PSUs are also subject to performance-based conditions. The Company recognized stock-based compensation of $3.4 million and $3.7 million related to these performance-based and market-based stock awards for the three months ended October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90"/>
        </w:trPr>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1"/>
        </w:trPr>
        <w:tc>
          <w:tcPr>
            <w:tcW w:w="6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plans is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14"/>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r>
      <w:tr>
        <w:trPr>
          <w:trHeight w:val="216"/>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(1)</w:t>
            </w:r>
          </w:p>
        </w:tc>
      </w:tr>
      <w:tr>
        <w:trPr>
          <w:trHeight w:val="27"/>
        </w:trPr>
        <w:tc>
          <w:tcPr>
            <w:tcW w:w="1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2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2019</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216,727</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14,733</w:t>
            </w:r>
          </w:p>
        </w:tc>
      </w:tr>
      <w:tr>
        <w:trPr>
          <w:trHeight w:val="24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(21,698)</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1,873</w:t>
            </w:r>
          </w:p>
        </w:tc>
      </w:tr>
      <w:tr>
        <w:trPr>
          <w:trHeight w:val="24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9"/>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2019</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194,772</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14,939</w:t>
            </w: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4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October 31, 2019</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194,772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14,939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89"/>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October 31, 2019</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166,414</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12,055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right="20" w:firstLine="8"/>
        <w:spacing w:after="0" w:line="282" w:lineRule="auto"/>
        <w:tabs>
          <w:tab w:leader="none" w:pos="132"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Aggregate intrinsic value at each period end represents the difference between the Company’s closing stock prices of $112.74 and $102.08 on October 31, 2019 and July 31, 2019, respectively, and the exercise price of outstanding options. Aggregate intrinsic value for exercised options represents the difference between the Company’s stock price at date of exercise and the exercise price.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Awards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TSR PSUs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TSR PSUs is estimated at the date of grant using the Monte Carlo simulation model which included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9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r>
      <w:tr>
        <w:trPr>
          <w:trHeight w:val="27"/>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4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the Company</w:t>
            </w:r>
          </w:p>
        </w:tc>
        <w:tc>
          <w:tcPr>
            <w:tcW w:w="194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volatility of the peer companies in the S&amp;P Index</w:t>
            </w: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r>
    </w:tbl>
    <w:p>
      <w:pPr>
        <w:spacing w:after="0" w:line="3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TSR PSUs that may ultimately vest will vary based on the relative performance of the Company’s total shareholder return rankings relative to the software companies in the S&amp;P Index for a specified performance period or specified performance periods. The Monte Carlo methodology incorporates into the valuation all possible outcomes, including that the Company’s relative performance may result in no shares vesting. As a result, stock-based compensation expense is recognized regardless of the ultimate achievement of the plan’s performance metrics. The expense will be reversed only in the event that a grantee is terminated prior to satisfying the requisite service period.</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subset of TSR PSUs, the number of shares that may ultimately vest will vary based on the achievement of certain Company specific financial performance metrics in addition to the Company’s total shareholder return condition noted above. As a result, the expense recognized will fluctuate based on the Company’s estimated financial performance relative to the target financial performance metrics.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 and Public Equity Offering</w:t>
      </w:r>
    </w:p>
    <w:p>
      <w:pPr>
        <w:spacing w:after="0" w:line="10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As of October 31, 2019 and July 31, 2019, the Company was authorized to issue 500,000,000 shares of common stock with a par value of $0.0001 per share and, of these, 82,574,406 and 82,140,883 shares of common stock were issued and outstanding, respectively. Per the terms of the Company’s 2011 Stock Plan, on January first of each year, an additional number of shares equal to 5% of the number of shares of common stock issued and outstanding on the preceding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is added to the Company’s 2011 Stock Plan reserve. As of October 31, 2019 and July 31, 2019, the Company had reserved shares of common stock for future issuance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July 31, 2019</w:t>
            </w: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stock options to purchase common stock</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194,772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216,727</w:t>
            </w:r>
          </w:p>
        </w:tc>
      </w:tr>
      <w:tr>
        <w:trPr>
          <w:trHeight w:val="243"/>
        </w:trPr>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 of stock awards</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2,866,224</w:t>
            </w:r>
          </w:p>
        </w:tc>
        <w:tc>
          <w:tcPr>
            <w:tcW w:w="10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2,384,673</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 available under stock plans</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23,812,787</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24,776,361</w:t>
            </w:r>
          </w:p>
        </w:tc>
      </w:tr>
      <w:tr>
        <w:trPr>
          <w:trHeight w:val="264"/>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26,873,783</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27,377,761</w:t>
            </w:r>
          </w:p>
        </w:tc>
      </w:tr>
      <w:tr>
        <w:trPr>
          <w:trHeight w:val="21"/>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The Company recognized an income tax benefit of $6.7 million and $2.7 million for the three months ended October 31, 2019 and 2018, respectively. The Company was in an income position in the three months ended October 31, 2018, but recognized a tax benefit of $2.7 million in that period as a result of excess tax benefits associated with employee stock based compensation. The increase in income tax benefit for the three months ended October 31, 2019 compared to the same period a year ago was primarily due to a loss position before income taxes in the current period compared to an income position before income taxes for the same period a year ago. The effective tax rate of 31% for the three months ended October 31, 2019, differs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31, 2019, unrecognized tax benefits increased by $0.3 million. As of October 31, 2019, the Company had unrecognized tax benefits of $6.6 million that, if recognized, would affect the Company’s effective tax rate.</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 2019, the Internal Revenue Service (“IRS”) issued final regulations and additional proposed regulations related to the base erosion and anti-abuse tax ("BEAT"), which the Company is in the process of evaluating. The impact of these regulations, which will be reflected in the financial statements for the three months ending January 31, 2020, on the Company's tax provision may be material.</w:t>
      </w:r>
    </w:p>
    <w:p>
      <w:pPr>
        <w:spacing w:after="0" w:line="21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Treasury Department, IRS, and other standard-setting bodies will continue to interpret or issue guidance on how provisions of the Tax Act will be applied or otherwise administered. The Company continues to obtain, analyze, and interpret guidance as it is issued and will revise its estimates as additional information becomes available. Any legislative changes, including any other new or proposed U.S. Department of the Treasury regulations that have yet to be issued, may result in income tax adjustments, which could be material to our provision for income taxes and effective tax rate in the period any such changes are enacted.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term license, perpetual license, subscription, maintenance, and services offerings, while all other financial information is reviewed on a consolidated basis. The Company’s principal operations and decision-making functions are located in the United States.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long-lived assets, including intangibles and goodwill, net by geographic region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1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00" w:type="dxa"/>
            <w:vAlign w:val="bottom"/>
          </w:tcPr>
          <w:p>
            <w:pPr>
              <w:spacing w:after="0"/>
              <w:rPr>
                <w:sz w:val="24"/>
                <w:szCs w:val="24"/>
                <w:color w:val="auto"/>
              </w:rPr>
            </w:pPr>
          </w:p>
        </w:tc>
        <w:tc>
          <w:tcPr>
            <w:tcW w:w="17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July 31, 2019</w:t>
            </w:r>
          </w:p>
        </w:tc>
      </w:tr>
      <w:tr>
        <w:trPr>
          <w:trHeight w:val="27"/>
        </w:trPr>
        <w:tc>
          <w:tcPr>
            <w:tcW w:w="7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462,609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468,545</w:t>
            </w:r>
          </w:p>
        </w:tc>
      </w:tr>
      <w:tr>
        <w:trPr>
          <w:trHeight w:val="243"/>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4,633</w:t>
            </w:r>
          </w:p>
        </w:tc>
      </w:tr>
      <w:tr>
        <w:trPr>
          <w:trHeight w:val="27"/>
        </w:trPr>
        <w:tc>
          <w:tcPr>
            <w:tcW w:w="7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467,692</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473,228</w:t>
            </w:r>
          </w:p>
        </w:tc>
      </w:tr>
      <w:tr>
        <w:trPr>
          <w:trHeight w:val="27"/>
        </w:trPr>
        <w:tc>
          <w:tcPr>
            <w:tcW w:w="12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
        </w:trPr>
        <w:tc>
          <w:tcPr>
            <w:tcW w:w="12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firstLine="44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provide a technology platform, composed of software, services, and a partner ecosystem for the global Property and Casualty ("P&amp;C") insurance industry.</w:t>
      </w:r>
    </w:p>
    <w:p>
      <w:pPr>
        <w:spacing w:after="0" w:line="108"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Guidewire InsurancePlatform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consists of the Guidewire Cloud and customer self-managed applications to support core operations, data management and analytics, and digital engagement, and is connected to numerous data sources and third-party applications. Our applications are designed to work together to strengthen our customers’ ability to adapt and succeed in a rapidly changing market. Guidewire InsuranceSuite™ and Guidewire InsuranceNow</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provide core transactional systems of record supporting the entire insurance life-cycle, including product definition, distribution, underwriting, policy-holder services, and claims management. Guidewire InsuranceSuite is a highly configurable and scalable system primarily comprised of three applications (PolicyCenter, BillingCenter, and ClaimCenter) that can be licensed separately or together and can be self-managed or deployed in the cloud. Guidewire InsuranceNow is a cloud-based system that offers policy, billing, and claims management functionality to insurers that prefer an all-in-one solution. Our data and analytics applications enable insurers to manage data more effectively, gain insights into their business, and underwrite new and evolving risks. Our digital engagement applications enable digital sales, omni-channel service and enhanced claims experiences for policyholders, agents, vendor partners, and field personnel. To support P&amp;C insurers globally, we have localized, and will continue to localize, our software for use in a variety of international regulatory, language, and currency environments.</w:t>
      </w:r>
    </w:p>
    <w:p>
      <w:pPr>
        <w:spacing w:after="0" w:line="14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sell our products to a wide variety of global P&amp;C insurers ranging from some of the largest global insurance carriers or their subsidiaries to national and regional carriers. Our customer engagement is led by our direct sales team and supported by our system integrator (“SI”) partners. We maintain and continue to grow our sales and marketing efforts globally, and maintain regional sales centers in the Americas, Europe and Asia. Strong customer relationships are a key driver of our success given the long-term nature of our engagements and the importance of customer references for new sales. We continue to focus on deepening our customer relationships through continued successful product implementations, robust product support, strategic engagement on new products and technologies, and ongoing account management.</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sales cycles for new and existing customers remain protracted as customers are deliberate and the decision making and product evaluation process is long. These evaluation periods can extend further if the customer purchases multiple products or assesses the benefits of a cloud-based subscription in addition to our more traditional self-managed licensing models. Sales to new customers also involve extensive customer due diligence and reference checks. We must earn credibility with each successful implementation as we expand our sales operations, market products that have been acquired or newly introduced, and expand the ways we deliver our software. The success of our sales efforts relies on continued improvements and enhancements to our current products, the introduction of new products, efficient operation of our cloud infrastructure, and the continued development of relevant local content and the automated tools that we believe are optimal for updating that content.</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date, we have primarily licensed our software under term license contracts. We generally price our licenses based on the amount of direct written premiums (“DWP”) that will be managed by our solutions. Our term license and maintenance fees are typically invoiced annually in advance. Substantially all term licenses are sold with an initial two-year committed term with optional annual renewals commencing after the initial term. A small portion of our revenue is derived from perpetual licenses. Term and perpetual license revenue are typically recognized when software is made available to the customer, provided that all other revenue recognition criteria have been met.</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offer cloud-based subscriptions. Generally, these subscriptions have an initial term of three to five years, and are typically billed annually in advance, although in some instances additional fees may be assessed in arrears as customers increase their DWP. Revenue derived from these subscriptions is recognized ratably over the contractual term beginning after the subscription is effectively provisioned, which is the date our software service is made available to customers. We anticipate that subscriptions will increase as a percentage of annual new sales over time. As a result of the ratable recognition of revenue associated with subscriptions, a significant shift from term licenses to subscriptions will adversely affect our reported revenue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As this sales model matures, we may decide to change certain contract terms to remain competitive or otherwise meet market demands.</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services teams and SI partners to meet our customers’ implementation needs. Our services organization is comprised of on-site, near-shore, and off-shore technical experts. The services organization seeks to ensure that teams with the right combination of product and language skills are used in the most efficient way. Our partnerships with leading SIs allow us to increase efficiency and scale while reducing customer implementation costs. Our extensive relationships with SIs and industry partners have strengthened and expanded in line with the interest in and adoption of our products and services. We encourage our partners to co-market, pursue joint sales initiatives, and drive broader adoption of our technology, helping us grow our business more efficiently. We continue to grow our services organization and invest time and resources to increase the number of qualified consultants employed by our SI partners, develop relationships with new SIs in existing and new markets, and ensure that all partners are qualified to assist with implementing our products.</w:t>
      </w:r>
    </w:p>
    <w:p>
      <w:pPr>
        <w:spacing w:after="0" w:line="13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 a more ratable revenue recognition model, increasing the overall adoption of our products, and managing the infrastructure for our cloud-based customers. In response to these and other risks we might face, we continue to invest in many areas of our business. Our investments in sales and marketing align with our goal of winning new customers in both existing and new markets, and enable us to maintain a persistent, consultative relationship with our existing customers. Our investments in product development are designed to meet the evolving needs of our customers. Our investments in services are designed to ensure customer success, both with self-managed and cloud-based solutions. Our investments in cloud operations are focused on managing the infrastructure for our cloud-based customers in a secure, efficient, and cost-effective manner.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historically experienced seasonal variations in our license and subscription revenue as a result of increased customer orders in our second and fourth fiscal quarters. We generally see a modest increase in orders in our second fiscal quarter, which is the quarter ending January 31, due to customer buying patterns. We also see significantly increased orders in our fourth fiscal quarter, which is the quarter ending July 31, due to efforts by our sales team to achieve annual incentives. This seasonal pattern, however, may be absent in any given year. Additionally, the adoption of new revenue guidance in fiscal 2019, also referred to as ASC 606, could heighten or change the seasonal impact on our new term licenses that are multi-year in nature with more revenue recognized upfront upon delivery of our software. For example, in the first quarter of fiscal year 2019, we experienced license revenue growth due to a 10-year term license deal under which revenue was recognized upfront in the first quarter of fiscal year 2019 under ASC 606, which overshadowed the usual positive seasonal impact in our second quarter of fiscal year 2019 and set up a challenging comparable period for the first quarter of fiscal year 2020. On an annual basis, our maintenance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due to the ratable nature of these arrangements. The seasonal nature of our sales and the concentration of such sales in our fiscal fourth quarter increases this impact.</w:t>
      </w:r>
    </w:p>
    <w:p>
      <w:pPr>
        <w:spacing w:after="0" w:line="137"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professional staff. Because we pay our services professionals the same amount throughout the year, our gross margins on our services revenue is usually lower in these quarters. This seasonal pattern, however, may be absent in any given year.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including Free Cash Flow and Annual Recurring Revenue ("ARR"). For a further discussion of how we use key metrics and certain non-GAAP financial measures, see “Non-GAAP Financial Measures.”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Free cash flow was impacted by $7.9 million and $0.3 million related to the build out and furnishing of our corporate headquarters in San Mateo, California for the three months ended October 31, 2019 and 2018, respectively. For a further discussion of our operating cash flows, see “Liquidity and Capital Resources -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37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78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Pr>
          <w:p>
            <w:pPr>
              <w:spacing w:after="0"/>
              <w:rPr>
                <w:sz w:val="18"/>
                <w:szCs w:val="18"/>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(18,138)</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(27,247)</w:t>
            </w: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capital expenditures</w:t>
            </w:r>
          </w:p>
        </w:tc>
        <w:tc>
          <w:tcPr>
            <w:tcW w:w="13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(10,971)</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(3,404)</w:t>
            </w:r>
          </w:p>
        </w:tc>
      </w:tr>
      <w:tr>
        <w:trPr>
          <w:trHeight w:val="33"/>
        </w:trPr>
        <w:tc>
          <w:tcPr>
            <w:tcW w:w="6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Free cash flow</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(29,109)</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(30,651)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use Annual Recurring Revenue (“ARR”) to identify the annualized recurring value of active customer contracts at the end of a reporting period. ARR includes the annualized recurring value of term licenses, subscription agreements, maintenance contracts, and hosting contracts. All components of the licensing and usage arrangements that are not expected to recur (primarily perpetual licenses and services) are excluded. If a customer contract contains invoicing amounts that change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reported quarterly ARR results for fiscal year 2020 are based on actual currency rates at the end of fiscal year 2019, held constant throughout the year. ARR was $463 million as of October 31, 2019, up from $460 million as of July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particularly critical to fiscal years 2020 and 2019.</w:t>
      </w:r>
    </w:p>
    <w:p>
      <w:pPr>
        <w:spacing w:after="0" w:line="212" w:lineRule="exact"/>
        <w:rPr>
          <w:sz w:val="20"/>
          <w:szCs w:val="20"/>
          <w:color w:val="auto"/>
        </w:rPr>
      </w:pPr>
    </w:p>
    <w:p>
      <w:pPr>
        <w:jc w:val="both"/>
        <w:ind w:firstLine="446"/>
        <w:spacing w:after="0" w:line="250" w:lineRule="auto"/>
        <w:rPr>
          <w:sz w:val="20"/>
          <w:szCs w:val="20"/>
          <w:color w:val="auto"/>
        </w:rPr>
      </w:pPr>
      <w:r>
        <w:rPr>
          <w:rFonts w:ascii="Times New Roman" w:cs="Times New Roman" w:eastAsia="Times New Roman" w:hAnsi="Times New Roman"/>
          <w:sz w:val="18"/>
          <w:szCs w:val="18"/>
          <w:color w:val="auto"/>
        </w:rPr>
        <w:t>While we continue to evaluate our significant accounting policies to determine which ones involve the most judgment and complexity, there have been no changes to our significant accounting policies as described in our Annual Report on Form 10-K for the fiscal year ended July 31, 2019 that have had a material impact on our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related notes except for the adoption of ASU No. 2016-02, Leases (Topic 842) and subsequent amendments to the initial guidance: ASU No. 2017-13, ASU No. 2018-10, and ASU No. 2018-11 (collectively, “ASC 842”).</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revenue is derived from contracts with customers. The majority of our revenue is derived from licensing arrangements that can span multiple years, subscriptions for our cloud services, and implementation and other professional services arrangements. On August 1, 2018, we adopted ASC 606 using the modified retrospective method and recorded a net cumulative effect adjustment of $44.3 million.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condensed consolidated financial statements included in this Quarterly Report on Form 10-Q</w:t>
      </w:r>
      <w:r>
        <w:rPr>
          <w:rFonts w:ascii="Times New Roman" w:cs="Times New Roman" w:eastAsia="Times New Roman" w:hAnsi="Times New Roman"/>
          <w:sz w:val="18"/>
          <w:szCs w:val="18"/>
          <w:i w:val="1"/>
          <w:iCs w:val="1"/>
          <w:color w:val="auto"/>
        </w:rPr>
        <w:t>.</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transaction price, the allocation thereof to the performance obligations identified in the contract and the timing of revenue recognition.</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estimates and assumptions requiring significant judgment under our revenue policy in accordance with ASC 606 are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and products to our customer. Variable consideration is estimated and included in the transaction price if, in our judgment, it is probable that there will not be a significant future reversal of cumulative revenue under the contract.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DWP or a customer’s Gross Written Premium (“GWP”). When consideration is subject to variable installments, we estimate variable consideration using the expected value method based on historical DWP or GWP usage to the extent that a significant revenue reversal is not probable to occur. When consideration is subject to a customer termination right, we estimate the total transaction price using the most likely method, and defer consideration associated with the customer’s termination right until it expires.</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our standard contracting and billing practices. For example, our typical time-based licenses have a two-year initial term with the final payment due at the end of the first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our contracts contain multiple performance obligations, such as when licenses are sold with maintenance, implementation services or training services. Additionally, as customers transition to subscription services, our customers may be under contract for both self-managed licenses and subscription services for a period of time, which may require an allocation of the transaction price to each performance obligation. Some of our performance obligations, such as maintenance,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use the residual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operating results for any period should not be considered indicative of results for any future period. This information should be read in conjunction with the consolidated financial statements and notes thereto included in our Annual Report on Form 10-K for the fiscal year ended July 31, 2019.</w:t>
      </w:r>
    </w:p>
    <w:p>
      <w:pPr>
        <w:spacing w:after="0" w:line="9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4"/>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8"/>
                <w:szCs w:val="18"/>
                <w:color w:val="auto"/>
              </w:rPr>
            </w:pPr>
          </w:p>
        </w:tc>
      </w:tr>
      <w:tr>
        <w:trPr>
          <w:trHeight w:val="238"/>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8"/>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82,423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94,680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21,003</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64,572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157,010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180,255</w:t>
            </w: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13,330</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53,366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64,410</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7"/>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80,856</w:t>
            </w:r>
          </w:p>
        </w:tc>
        <w:tc>
          <w:tcPr>
            <w:tcW w:w="1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81,608</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auto"/>
            </w:tcBorders>
          </w:tcPr>
          <w:p>
            <w:pPr>
              <w:spacing w:after="0"/>
              <w:rPr>
                <w:sz w:val="20"/>
                <w:szCs w:val="20"/>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58,627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81,350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17,277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17,135</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76,154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98,647</w:t>
            </w: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46,496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45,496</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32,319</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18,345</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7"/>
        </w:trPr>
        <w:tc>
          <w:tcPr>
            <w:tcW w:w="6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100,751</w:t>
            </w:r>
          </w:p>
        </w:tc>
        <w:tc>
          <w:tcPr>
            <w:tcW w:w="16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96,160</w:t>
            </w:r>
          </w:p>
        </w:tc>
        <w:tc>
          <w:tcPr>
            <w:tcW w:w="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auto"/>
            </w:tcBorders>
          </w:tcPr>
          <w:p>
            <w:pPr>
              <w:spacing w:after="0"/>
              <w:rPr>
                <w:sz w:val="20"/>
                <w:szCs w:val="20"/>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2,487</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6,851</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3,605</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9"/>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(14,991)</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6,309</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derive our revenue from licensing our software applications, subscriptions to our cloud-delivered software, providing maintenance support, and delivering professional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Subscription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substantial majority of our license and subscription revenue consists of term license fees. We also recognize revenue from sales of subscriptions and perpetual licenses. Our term license revenue is primarily generated through annual license fees that recur during the term of the contract. A substantial majority of our term licenses have been sold under a two-year initial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with optional annual renewals after the initial term. However, in the future, we may enter into term license arrangements with our customers that have an initial term of more than two years. Term license revenue for the initial term of the customer agreement is generally fully recognized upon delivery of the software, which accelerates the timing of revenue recognition compared to the timing of billings to customers.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 limited number of cases, we license our software on a perpetual basis. Perpetual license revenue is generally recognized upon delivery.</w:t>
      </w:r>
    </w:p>
    <w:p>
      <w:pPr>
        <w:spacing w:after="0" w:line="10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is recognized ratably over the term of the arrangement, beginning at the point in time our provisioning process has been completed and access has been made available to the customer. The initial term of such arrangements is generally from three to five years, which is generally longer than the initial term of our term license arrangements. Subscription agreements also contain optional annual renewals commencing upon the expiration of the initial contract term.</w:t>
      </w:r>
    </w:p>
    <w:p>
      <w:pPr>
        <w:spacing w:after="0" w:line="5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generally price our software based on the amount of DWP that will be managed by our software. A majority of our term license customers are billed annually in advance, and we currently bill our subscription customers similarly. We invoice our perpetual license customers either in full at contract signing or on an installment basis.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maintenance revenue is generally recognized over the committed maintenance term. Our maintenance fees are typically priced as a fixed percentage of the associated license fees. We invoice a majority of our customers annually in advance.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services revenue is primarily derived from implementation services performed for our customers, reimbursable travel expenses, and training fees. A substantial majority of our services engagements generate revenue on a time and materials basis and revenue is recognized upon providing our services.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3"/>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a % of 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a % of total</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8"/>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license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(25,159)</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12,853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3"/>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Perpetual license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(10,956)</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84"/>
        </w:trPr>
        <w:tc>
          <w:tcPr>
            <w:tcW w:w="2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180,255</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(23,245)</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Not meaningful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Subscription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license and subscription revenue primarily consists of term license revenue, subscriptions and, to a lesser extent, perpetual licenses. While term licenses are currently our predominant licensing model, we anticipate subscriptions will continue to grow as a percentage of annual sales in future periods. Due to the ratable recognition of subscription revenue, growth in subscription revenue will lag behind the growth of subscription orders and will impact the comparative growth of our reported revenue. If we complete a higher percentage of subscription deals in a given period, our short-term growth rates will be negatively impacted.</w:t>
      </w:r>
    </w:p>
    <w:p>
      <w:pPr>
        <w:spacing w:after="0" w:line="21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Term license revenue decreased by $25.2 million during the three months ended October 31, 2019, compared to the same period a year ago, primarily due to two large term license deals completed in the first quarter of the prior fiscal year, which represented $23.6 million of revenue. One of those deals was a ten-year term license contract, under which we recognized $14.5 million of term license revenue during the three months ended October 31, 2018. There were no large deals similar to these 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period. The current period activity is more reflective of normal seasonal patterns with increased subscriptions as a percentage of new deals.</w:t>
      </w:r>
    </w:p>
    <w:p>
      <w:pPr>
        <w:spacing w:after="0" w:line="252"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Subscription revenue increased by $12.9 million during the three months ended October 31, 2019, compared to the same period a year ago. The increase is primarily attributable to $12.6 million in subscription revenue from new orders for our Guidewire InsuranceSuite via Guidewire Cloud offerings since the same period a year ago.</w:t>
      </w:r>
    </w:p>
    <w:p>
      <w:pPr>
        <w:spacing w:after="0" w:line="203"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Perpetual license revenue remained relatively flat during the three months ended October 31, 2019, compared to the same period a year ago. We expect perpetual license revenue to continue to represent a small percentage of our total license and subscription revenue. We also expect perpetual license revenue to potentially be volatile across quarters due to the large amount of perpetual revenue that may be generated from a single customer order.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Revenue</w:t>
      </w:r>
    </w:p>
    <w:p>
      <w:pPr>
        <w:spacing w:after="0" w:line="106"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Maintenance revenue associated with term and perpetual licenses slightly decreased during the three months ended October 31, 2019, compared to the same period a year ago, due to increased subscriptions orders as a percentage of total orders and customers entering into transition agreements to move from term license to subscription services. Maintenance related to subscription arrangements is included in subscription revenue, as maintenance is not quoted or priced separately from the subscription services. As a result, we expect an increase in the mix of subscription orders in the future will continue to reduce the growth in or result in lower maintenance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0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Services revenue decreased $11.0 million during the three months ended October 31, 2019, compared to the same period a year ago. The decrease is primarily driven by decreases in professional services relating to certain large Guidewire InsuranceSuite via Guidewire Cloud implementations that have been completed.</w:t>
      </w:r>
    </w:p>
    <w:p>
      <w:pPr>
        <w:spacing w:after="0" w:line="5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work closely with our network of third-party SI partners to facilitate new sales and implementations of both our self-managed products and subscription services. We believe this model will continue to serve us well, and we intend to continue to expand our network of SI partners and the number of certified consultants with whom we work so we can leverage our SI partners more effectively, especially for future subscription implementations. Certain initial implementations of Guidewire InsuranceSuite via Guidewire Cloud required greater levels of participation by our services professionals due to our obligation to manage the subscription environment which requires greater familiarity with configurations and integrations. However, certain more recent implementations of Guidewire InsuranceSuite via Guidewire Cloud rely on our SI partners to lead the implementation efforts. As the number of implementations led by our SI partners increase, our services revenue will decrease.</w:t>
      </w:r>
    </w:p>
    <w:p>
      <w:pPr>
        <w:spacing w:after="0" w:line="54"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We also expect modestly higher levels of variability in our services revenue. As we continue to expand into new markets and new product categories, we have, and we expect to, enter into contracts that may require us to delay the recognition of services revenue and associated costs until we are able to meet certain contractual obligations, including customer acceptance criteria or the delivery of new products, and contracts that are fixed in value, which may take more effort to complete than originally anticipated.</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08"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Our cost of license and subscription revenue primarily consists of personnel costs for our production services employees, cloud infrastructure costs, amortization of our acquired intangible assets, and royalty fees paid to third parties. Our cost of maintenance revenue primarily consists of personnel costs for our technical support team. Our cost of services revenue primarily consists of personnel costs for our professional service employees, third-party contractors, and travel-related costs. In instances where we have primary responsibility for the delivery of services, subcontractor fees are expensed as cost of services revenue. In each case, personnel costs include salaries, bonuses, benefits, and stock-based compensation.</w:t>
      </w:r>
    </w:p>
    <w:p>
      <w:pPr>
        <w:spacing w:after="0" w:line="130"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We allocate overhead such as facilities, information technology support, information security, and other administrative costs to all functional departments based on headcount. As such, these overhead expenses are reflected in cost of revenue and each functional operating expense. Overhead expenses have increased primarily due to the costs related to our new headquarters and additional information security requirements as we transition to the cloud.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0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subscription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10,466</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(11,044)</w:t>
            </w:r>
          </w:p>
        </w:tc>
        <w:tc>
          <w:tcPr>
            <w:tcW w:w="5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80,856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81,608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5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55"/>
        </w:trPr>
        <w:tc>
          <w:tcPr>
            <w:tcW w:w="4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license and subscription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1,029</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maintenance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89"/>
        </w:trPr>
        <w:tc>
          <w:tcPr>
            <w:tcW w:w="42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5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$10.5 million increase in cost of license and subscription revenue during the three months ended October 31, 2019, compared to the same period a year ago, was primarily attributable to increases of $6.8 million in cloud operations personnel expenses, $2.3 million in cloud infrastructure costs incurred in order to support the growth of our subscription and cloud offerings, and $1.0 million in professional services. We anticipate higher cost of license and subscription revenue as we continue to invest in our cloud operations and add new cloud customers.</w:t>
      </w:r>
    </w:p>
    <w:p>
      <w:pPr>
        <w:spacing w:after="0" w:line="5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Cost of maintenance revenue decreased by $0.2 million during the three months ended October 31, 2019, compared to the same period a year ago, as headcount and personnel related expenses remained relatively flat.</w:t>
      </w:r>
    </w:p>
    <w:p>
      <w:pPr>
        <w:spacing w:after="0" w:line="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$11.0 million decrease in cost of services revenue during the three months ended October 31, 2019, compared to the same period a year ago, was attributable to decreases of $5.2 million in personnel expenses due to lower headcount and $5.4 million in third-party consultants billable to customers primarily for Guidewire InsuranceSuite via Guidewire Cloud and Guidewire InsuranceNow implementation engagements that have been completed.</w:t>
      </w:r>
    </w:p>
    <w:p>
      <w:pPr>
        <w:spacing w:after="0" w:line="5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had 760 professional service employees and 251 technical support and licensing operations employees at October 31, 2019 compared to 833 professional services employees and 146 technical support and licensing operations employees at October 31, 2018. The growth in technical support and licensing operations is largely driven by investments in cloud operations personnel to support current and future cloud customers. The decrease in professional service employees is a result of more cloud customers engaging SIs as the implementation lead.</w:t>
      </w: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36830</wp:posOffset>
            </wp:positionV>
            <wp:extent cx="5428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58,627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(22,723)</w:t>
            </w:r>
          </w:p>
        </w:tc>
        <w:tc>
          <w:tcPr>
            <w:tcW w:w="520" w:type="dxa"/>
            <w:vAlign w:val="bottom"/>
          </w:tcPr>
          <w:p>
            <w:pPr>
              <w:spacing w:after="0"/>
              <w:rPr>
                <w:sz w:val="21"/>
                <w:szCs w:val="21"/>
                <w:color w:val="auto"/>
              </w:rPr>
            </w:pP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2"/>
              </w:rPr>
              <w:t>(28) %</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17,277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5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4"/>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76,154</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(22,493)</w:t>
            </w: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Our gross margin decreased to 49% during the three months ended October 31, 2019, compared to 55% in the same period a year ago. The decrease in our gross margin was primarily driven by the decrease in our license and subscription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margin as a result of less high-margin term license deals as discussed in the revenue section above and the investments we are making to support our transition to the cloud.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invest in our cloud operations as our subscription revenue increases, which will continue to impact license and subscription margins.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facilities, information technology support, information security, and other administrative costs to all functional departments based on headcount. As a result, these overhead expenses are reflected in cost of revenue and each functional operating expense. Overhead expenses primarily have increased due to the costs related to our new headquarters and additional information security requirements as we transition to the cloud.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7"/>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4"/>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 of total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 of total</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7"/>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w:t>
            </w:r>
          </w:p>
        </w:tc>
        <w:tc>
          <w:tcPr>
            <w:tcW w:w="4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2,894</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64"/>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96,160</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4,591</w:t>
            </w:r>
          </w:p>
        </w:tc>
        <w:tc>
          <w:tcPr>
            <w:tcW w:w="48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536</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603</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64"/>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914</w:t>
            </w: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personnel costs for our technical staff and consultants providing professional services.</w:t>
      </w:r>
    </w:p>
    <w:p>
      <w:pPr>
        <w:spacing w:after="0" w:line="17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$1.0 million increase in research and development expenses during the three months ended October 31, 2019, as compared to the same period a year ago, was primarily due to an increase in web hosting costs to support the development of our subscription offerings and cloud strategy.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research and development headcount was 724 at October 31, 2019 compared with 725 at October 31, 2018.</w:t>
      </w:r>
    </w:p>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invest in the improvement and functionality of our solutions and to migrate our solutions to the cloud. Research and development expenses may also increase if we pursue additional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46"/>
        <w:spacing w:after="0" w:line="245" w:lineRule="auto"/>
        <w:rPr>
          <w:sz w:val="20"/>
          <w:szCs w:val="20"/>
          <w:color w:val="auto"/>
        </w:rPr>
      </w:pPr>
      <w:r>
        <w:rPr>
          <w:rFonts w:ascii="Times New Roman" w:cs="Times New Roman" w:eastAsia="Times New Roman" w:hAnsi="Times New Roman"/>
          <w:sz w:val="18"/>
          <w:szCs w:val="18"/>
          <w:color w:val="auto"/>
        </w:rPr>
        <w:t>The $0.7 million increase in sales and marketing expenses during the three months ended October 31, 2019, compared to the same period a year ago, was primarily attributable to increases of $2.9 million in personnel expenses to sell our products, partially offset by a decrease of $2.5 million in marketing and advertising expenses resulting from the timing of our annual Connections User Conference, which occurred in the second quarter of our current fiscal year compared to the first quarter in our prior fiscal year.</w:t>
      </w:r>
    </w:p>
    <w:p>
      <w:pPr>
        <w:spacing w:after="0" w:line="208" w:lineRule="exact"/>
        <w:rPr>
          <w:sz w:val="20"/>
          <w:szCs w:val="20"/>
          <w:color w:val="auto"/>
        </w:rPr>
      </w:pPr>
    </w:p>
    <w:p>
      <w:pPr>
        <w:jc w:val="both"/>
        <w:ind w:firstLine="446"/>
        <w:spacing w:after="0" w:line="242" w:lineRule="auto"/>
        <w:rPr>
          <w:sz w:val="20"/>
          <w:szCs w:val="20"/>
          <w:color w:val="auto"/>
        </w:rPr>
      </w:pPr>
      <w:r>
        <w:rPr>
          <w:rFonts w:ascii="Times New Roman" w:cs="Times New Roman" w:eastAsia="Times New Roman" w:hAnsi="Times New Roman"/>
          <w:sz w:val="18"/>
          <w:szCs w:val="18"/>
          <w:color w:val="auto"/>
        </w:rPr>
        <w:t>Under current revenue recognition guidance, certain commissions are capitalized when earned and amortized over the anticipated period of time that goods and services are expected to be provided to a customer, which we estimate to be approximately five years. Commissions capitalized were $0.3 million and $1.7 million during the three months ended October 31, 2019 and 2018, respectively, and amortization of commissions was $1.4 million and $1.0 million during the three months ended October 31, 2019 and 2018, respectively. The impact of the accounting for commissions is reflected in the increase in personnel expenses.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sales and marketing headcount was 364 at October 31, 2019 compared with 345 at October 31, 2018.</w:t>
      </w:r>
    </w:p>
    <w:p>
      <w:pPr>
        <w:spacing w:after="0" w:line="17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We expect our sales and marketing expenses to increase in absolute dollars as we continue to invest in sales and marketing activities to support our business growth and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10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$2.9 million increase during the three months ended October 31, 2019, compared to the same period a year ago, was primarily attributable to increases of $1.8 million in personnel expenses and $0.8 million in software and cloud infrastructure costs to support our growth.</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general and administrative headcount was 290 at October 31, 2019 compared with 253 at October 31, 2018. General and administrative headcount includes personnel in information technology support, information security, and facilities, which are allocated across all functional departments.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4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785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(4,244)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(1,489)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98"/>
              </w:rPr>
              <w:t>1,238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7"/>
        </w:trPr>
        <w:tc>
          <w:tcPr>
            <w:tcW w:w="4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252"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Interest income increased $0.8 million during the three months ended October 31, 2019, compared to the same period a year ago. The increase in our interest income is associated with higher yields on invested funds.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Interest expense includes both stated interest and the amortization of debt discount and issuance costs associated with the $400.0 million aggregate principal amount of our Convertible Senior Notes that were issued in March 2018. The change in interest expense is a result of the amortization of debt discount and issuance costs, which are recognized on an effective interest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Stated interest expense is consistent in the comparative periods as the outstanding principal and stated interest rate did not change.</w:t>
      </w:r>
    </w:p>
    <w:p>
      <w:pPr>
        <w:spacing w:after="0" w:line="252" w:lineRule="exact"/>
        <w:rPr>
          <w:sz w:val="20"/>
          <w:szCs w:val="20"/>
          <w:color w:val="auto"/>
        </w:rPr>
      </w:pPr>
    </w:p>
    <w:p>
      <w:pPr>
        <w:jc w:val="both"/>
        <w:ind w:right="20" w:firstLine="446"/>
        <w:spacing w:after="0" w:line="266" w:lineRule="auto"/>
        <w:rPr>
          <w:sz w:val="20"/>
          <w:szCs w:val="20"/>
          <w:color w:val="auto"/>
        </w:rPr>
      </w:pPr>
      <w:r>
        <w:rPr>
          <w:rFonts w:ascii="Times New Roman" w:cs="Times New Roman" w:eastAsia="Times New Roman" w:hAnsi="Times New Roman"/>
          <w:sz w:val="18"/>
          <w:szCs w:val="18"/>
          <w:color w:val="auto"/>
        </w:rPr>
        <w:t>Interest expense increased $0.2 million during the three months ended October 31, 2019 compared to the same period a year ago. Interest expense for the three months ended October 31, 2019 consists of non-cash interest expense of $3.2 million related to the amortization of debt discount and issuance costs and stated interest of $1.3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primarily of foreign exchange gains and losses resulting from fluctuations in foreign exchange rates on monetary asset and monetary liability balances that are denominated in currencies other than the functional currency of the entity in which they are recorded. We currently have entities with a functional currency of the Argentine Peso, Australian Dollar, Brazilian Real, British Pound, Canadian Dollar, Danish Kroner, Euro, Japanese Yen, Malaysian Ringgit, Polish Zloty, and Swiss Franc.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decreased by $1.2 million during the three months ended October 31, 2019, as compared to the same period a year ago. We realized a net currency exchange loss of $0.3 million in the three months ended October 31, 2019 compared to a net currency exchange loss of $1.5 million in the same period a year ago.</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or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be subject to U.S. income tax.</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78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7"/>
        </w:trPr>
        <w:tc>
          <w:tcPr>
            <w:tcW w:w="3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3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78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(6,650)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3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recognized an income tax benefit of $6.7 million for the three months ended October 31, 2019, compared to an income tax benefit of $2.7 million for the three months ended October 31, 2018. The Company was in an income position in the three months ended October 31, 2018, but recognized a tax benefit of $2.7 million in the same period as a result of excess tax benefits associated with employee stock based compensation. The increase in income tax benefit for the three months ended October 31, 2019, compared to the same period a year ago, was primarily due to a loss position before income taxes in the current period compared to an income position before income taxes in the same period a year ago. The effective tax rate of 31% for the three months ended October 31, 2019 differs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31, 2019, we had unrecognized tax benefits of $6.6 million that, if recognized, would affect our effective tax rate.</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 2019, the Internal Revenue Service ("IRS") issued final regulations and additional proposed regulations related to the base erosion anti-abuse tax (“BEAT”), which we are in the process of evaluating. The impact of these regulations, which will be reflected in our financial statements for the fiscal quarter ending January 31, 2020, on our tax provision and the amount of cash taxes we pay may be material.</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Treasury Department, the IRS, and other standard-setting bodies will continue to interpret or issue guidance on how provisions of the Tax Cut and Jobs Act (the "Tax Act") will be applied or otherwise administered. We continue to obtain, analyze, and interpret guidance as it is issued and will revise our estimates as additional information becomes available. Any legislative changes, including any other new or proposed U.S. Department of the Treasury regulations that have yet to be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issued, may result in income tax adjustments which could be material to our provision for income taxes and effective tax rate in the period any such changes are enacted.</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following non-GAAP financial measures, along with free cash flow and ARR presented above,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39" w:lineRule="exact"/>
        <w:rPr>
          <w:sz w:val="20"/>
          <w:szCs w:val="20"/>
          <w:color w:val="auto"/>
        </w:rPr>
      </w:pPr>
    </w:p>
    <w:p>
      <w:pPr>
        <w:jc w:val="both"/>
        <w:ind w:firstLine="203"/>
        <w:spacing w:after="0" w:line="256"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reconciliation:</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76,154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98,647</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6,836</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4,945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4,945</w:t>
            </w:r>
          </w:p>
        </w:tc>
        <w:tc>
          <w:tcPr>
            <w:tcW w:w="0" w:type="dxa"/>
            <w:vAlign w:val="bottom"/>
          </w:tcPr>
          <w:p>
            <w:pPr>
              <w:spacing w:after="0"/>
              <w:rPr>
                <w:sz w:val="1"/>
                <w:szCs w:val="1"/>
                <w:color w:val="auto"/>
              </w:rPr>
            </w:pPr>
          </w:p>
        </w:tc>
      </w:tr>
      <w:tr>
        <w:trPr>
          <w:trHeight w:val="27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88,244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110,428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(24,597)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2,487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24,558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23,335</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7,167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7,309</w:t>
            </w:r>
          </w:p>
        </w:tc>
        <w:tc>
          <w:tcPr>
            <w:tcW w:w="0" w:type="dxa"/>
            <w:vAlign w:val="bottom"/>
          </w:tcPr>
          <w:p>
            <w:pPr>
              <w:spacing w:after="0"/>
              <w:rPr>
                <w:sz w:val="1"/>
                <w:szCs w:val="1"/>
                <w:color w:val="auto"/>
              </w:rPr>
            </w:pPr>
          </w:p>
        </w:tc>
      </w:tr>
      <w:tr>
        <w:trPr>
          <w:trHeight w:val="24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7,128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33,131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reconciliation:</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income (loss)</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6,309</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3773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723773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5"/>
          <w:szCs w:val="15"/>
          <w:color w:val="auto"/>
        </w:rPr>
        <w:t xml:space="preserve">Amortization of debt discount and issuance costs </w:t>
      </w:r>
      <w:r>
        <w:rPr>
          <w:rFonts w:ascii="Times New Roman" w:cs="Times New Roman" w:eastAsia="Times New Roman" w:hAnsi="Times New Roman"/>
          <w:sz w:val="20"/>
          <w:szCs w:val="20"/>
          <w:color w:val="auto"/>
          <w:vertAlign w:val="superscript"/>
        </w:rPr>
        <w:t>(2)</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723773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193675</wp:posOffset>
            </wp:positionV>
            <wp:extent cx="723773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 reconciliation:</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GAAP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37465</wp:posOffset>
            </wp:positionV>
            <wp:extent cx="723773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adjustments: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24,558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23,335</w:t>
            </w:r>
          </w:p>
        </w:tc>
      </w:tr>
      <w:tr>
        <w:trPr>
          <w:trHeight w:val="257"/>
        </w:trPr>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7,167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7,309</w:t>
            </w:r>
          </w:p>
        </w:tc>
      </w:tr>
      <w:tr>
        <w:trPr>
          <w:trHeight w:val="257"/>
        </w:trPr>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3,156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2,986</w:t>
            </w:r>
          </w:p>
        </w:tc>
      </w:tr>
      <w:tr>
        <w:trPr>
          <w:trHeight w:val="257"/>
        </w:trPr>
        <w:tc>
          <w:tcPr>
            <w:tcW w:w="4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(8,912)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(8,863)</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10,978</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31,076</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03"/>
        </w:trPr>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(6,650)</w:t>
            </w:r>
          </w:p>
        </w:tc>
        <w:tc>
          <w:tcPr>
            <w:tcW w:w="12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(2,704)</w:t>
            </w:r>
          </w:p>
        </w:tc>
      </w:tr>
    </w:tbl>
    <w:p>
      <w:pPr>
        <w:spacing w:after="0" w:line="303"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wp:posOffset>
            </wp:positionV>
            <wp:extent cx="723773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 xml:space="preserve">Amortization of debt discount and issuance costs </w:t>
      </w:r>
      <w:r>
        <w:rPr>
          <w:rFonts w:ascii="Times New Roman" w:cs="Times New Roman" w:eastAsia="Times New Roman" w:hAnsi="Times New Roman"/>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3773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(3)</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30480</wp:posOffset>
            </wp:positionV>
            <wp:extent cx="723773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 per share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72377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GAAP net income (loss) per share — diluted</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3,865</w:t>
            </w:r>
          </w:p>
        </w:tc>
      </w:tr>
      <w:tr>
        <w:trPr>
          <w:trHeight w:val="257"/>
        </w:trPr>
        <w:tc>
          <w:tcPr>
            <w:tcW w:w="5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1,211</w:t>
            </w:r>
          </w:p>
        </w:tc>
      </w:tr>
      <w:tr>
        <w:trPr>
          <w:trHeight w:val="257"/>
        </w:trPr>
        <w:tc>
          <w:tcPr>
            <w:tcW w:w="5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495</w:t>
            </w:r>
          </w:p>
        </w:tc>
      </w:tr>
      <w:tr>
        <w:trPr>
          <w:trHeight w:val="257"/>
        </w:trPr>
        <w:tc>
          <w:tcPr>
            <w:tcW w:w="5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3,292</w:t>
            </w:r>
          </w:p>
        </w:tc>
      </w:tr>
      <w:tr>
        <w:trPr>
          <w:trHeight w:val="33"/>
        </w:trPr>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6,159</w:t>
            </w:r>
          </w:p>
        </w:tc>
      </w:tr>
      <w:tr>
        <w:trPr>
          <w:trHeight w:val="33"/>
        </w:trPr>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03"/>
        </w:trPr>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r>
    </w:tbl>
    <w:p>
      <w:pPr>
        <w:spacing w:after="0" w:line="289"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20" w:type="dxa"/>
        <w:tblCellMar>
          <w:top w:w="0" w:type="dxa"/>
          <w:left w:w="0" w:type="dxa"/>
          <w:bottom w:w="0" w:type="dxa"/>
          <w:right w:w="0" w:type="dxa"/>
        </w:tblCellMar>
      </w:tblPr>
      <w:tr>
        <w:trPr>
          <w:trHeight w:val="257"/>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r>
      <w:tr>
        <w:trPr>
          <w:trHeight w:val="257"/>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Amortization of intangibles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0.09</w:t>
            </w:r>
          </w:p>
        </w:tc>
      </w:tr>
      <w:tr>
        <w:trPr>
          <w:trHeight w:val="257"/>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Amortization of debt discount and issuance costs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r>
      <w:tr>
        <w:trPr>
          <w:trHeight w:val="257"/>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Tax impact of non-GAAP adjustments </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(0.11)</w:t>
            </w:r>
          </w:p>
        </w:tc>
      </w:tr>
      <w:tr>
        <w:trPr>
          <w:trHeight w:val="257"/>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Non-GAAP dilutive shares excluded from GAAP net income (loss) per share calculation </w:t>
            </w:r>
            <w:r>
              <w:rPr>
                <w:rFonts w:ascii="Times New Roman" w:cs="Times New Roman" w:eastAsia="Times New Roman" w:hAnsi="Times New Roman"/>
                <w:sz w:val="21"/>
                <w:szCs w:val="21"/>
                <w:color w:val="auto"/>
                <w:vertAlign w:val="superscript"/>
              </w:rPr>
              <w:t>(4)</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 — diluted</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7"/>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in computing Non-GAAP income (loss) per share amounts: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weighted average shares — diluted</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82,360,891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82,209,988</w:t>
            </w:r>
          </w:p>
        </w:tc>
      </w:tr>
      <w:tr>
        <w:trPr>
          <w:trHeight w:val="257"/>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Non-GAAP dilutive shares excluded from GAAP income (loss) per share calculation </w:t>
            </w:r>
            <w:r>
              <w:rPr>
                <w:rFonts w:ascii="Times New Roman" w:cs="Times New Roman" w:eastAsia="Times New Roman" w:hAnsi="Times New Roman"/>
                <w:sz w:val="21"/>
                <w:szCs w:val="21"/>
                <w:color w:val="auto"/>
                <w:vertAlign w:val="superscript"/>
              </w:rPr>
              <w:t>(4)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788,902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weighted average shares — diluted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83,149,793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82,209,988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amortization of acquired intangibles and stock-based compensation recognized during the periods for GAAP purposes.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reflect the amortization of debt discount and issuance costs related to the issuance of our Senior Convertible Notes recognized during the periods for GAAP purposes.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reflect the tax benefit (provision) resulting from all non-GAAP adjustments.</w:t>
      </w:r>
    </w:p>
    <w:p>
      <w:pPr>
        <w:spacing w:after="0" w:line="1" w:lineRule="exact"/>
        <w:rPr>
          <w:rFonts w:ascii="Times New Roman" w:cs="Times New Roman" w:eastAsia="Times New Roman" w:hAnsi="Times New Roman"/>
          <w:sz w:val="14"/>
          <w:szCs w:val="14"/>
          <w:color w:val="auto"/>
        </w:rPr>
      </w:pPr>
    </w:p>
    <w:p>
      <w:pPr>
        <w:ind w:firstLine="8"/>
        <w:spacing w:after="0" w:line="258" w:lineRule="auto"/>
        <w:tabs>
          <w:tab w:leader="none" w:pos="2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October 31, 2019</w:t>
            </w:r>
          </w:p>
        </w:tc>
        <w:tc>
          <w:tcPr>
            <w:tcW w:w="22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1,312,013</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1,337,761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1,025,039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1,102,702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primarily comprised of cash and liquid investments with remaining maturities of 90 days or less from the date of purchase, primarily commercial paper and money market funds. Substantially all of our investments are comprised of corporate debt securities, U.S. government and agency debt securities, commercial paper and non-U.S. government securities, which include state, municipal and foreign government securities.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2019, approximately $36.1 million of our cash and cash equivalents were domiciled in foreign tax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timing of invoicing and collections of accounts receivable, annual bonus payments, as well as payments of payroll,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during that period and pay seasonally higher sales commissions from increased customer orders booked in our fourth fiscal quarter.</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sources of liquidity will be sufficient to fund our operations for at least the next 12 months. Our future capital requirements will depend on many factors, including our rate of revenue growth, the level of our sales and marketing activities required to expand into other markets, and the timing and extent of our spending to support our research and development efforts and cloud operations. We also anticipate the possibility of investing in, or acquiring complementary businesses, applications or technologies, which may require the use of significant cash resources and/or additional financing.</w:t>
      </w:r>
    </w:p>
    <w:p>
      <w:pPr>
        <w:spacing w:after="0" w:line="49"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condensed consolidated financial statements included elsewhere in this Quarterly Report on Form 10-</w:t>
      </w:r>
      <w:r>
        <w:rPr>
          <w:rFonts w:ascii="Times New Roman" w:cs="Times New Roman" w:eastAsia="Times New Roman" w:hAnsi="Times New Roman"/>
          <w:sz w:val="16"/>
          <w:szCs w:val="16"/>
          <w:color w:val="auto"/>
        </w:rPr>
        <w:t>Q:</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1"/>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r>
      <w:tr>
        <w:trPr>
          <w:trHeight w:val="25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(18,138)</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(27,247)</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(57,496)</w:t>
            </w:r>
          </w:p>
        </w:tc>
        <w:tc>
          <w:tcPr>
            <w:tcW w:w="6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(18,484)</w:t>
            </w: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368</w:t>
            </w: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7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94"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$18.1 million for the three months ended October 31, 2019, compared to cash used in operating activities of $27.2 million during the three months ended October 31, 2018. This $9.1 million decrease in operating cash used was primarily attributable to a $31.6 million decrease in cash used in working capital activities as compared to the same period a year ago, partially offset by a $22.5 million decrease in net income after excluding the impact of non-cash charges such as deferred taxes, stock-based compensation expense, depreciation and amortization expense, and other non-cash items.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$39.0 million for the three months ended October 31, 2019, as compared to the three months ended October 31, 2018, primarily due to a $31.4 million increase in net cash outflows from marketable securities and a $7.6 million increase in capital expenditures primarily due to the construction and furnishing of our new headquarters.</w:t>
      </w: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94"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October 31, 2019 decreased by $0.3 million, as compared to the three months ended October 31, 2018, primarily because of lower proceeds from option exercises.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0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Our primary contractual obligations consist of our Convertible Senior Notes due in 2025, obligations under leases for our office facilities, and letters of credit we have issued to vendors to guarantee our performance under those arrangements.</w:t>
      </w:r>
    </w:p>
    <w:p>
      <w:pPr>
        <w:spacing w:after="0" w:line="27"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2019. See the Annual Report on Form 10-K for the fiscal year ended July 31, 2019 for additional information regarding the Company’s contractual obligations.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Through October 31,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56"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as of October 31, 2019 and July 31, 2019. Our cash, cash equivalents, and investments as of October 31, 2019 and July 31, 2019 were $1,312.0 million and $1,337.8 million, respectively, primarily consisting of cash, money market funds, corporate debt securities, U.S. government and agency securities, commercial paper,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$6.6 million and $6.2 million in the market value of our available-for-sale securities as of October 31, 2019 and July 31, 2019, respectively. Any realized gains or losses resulting from such interest rate changes would only occur if we sold the investments prior to maturity.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particularly changes in the Argentine Peso, Australian Dollar, Brazilian Real, British Pound, Canadian Dollar, Danish Kroner, Euro, Japanese Yen, Malaysian Ringgit, Polish Zloty,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entities in which they are recorded. For the three months ended October 31, 2019 and 2018, we recorded foreign currency losses of $0.3 million and $1.5 million, respectively, as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would be approximately $2.1 million. As our international operations grow, we will continue to assess our approach to managing our risk relating to fluctuations in currency rates.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does not preclude our adoption of specific hedging strategies in the future.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2019 identified in management’s evaluation pursuant to Rules 13a-15(d) or 15d-15(d) of the Exchange Act compared to the internal controls in our previously filed Annual Report on Form 10-K for the fiscal year ended July 31, 2019, that materially affected, or are reasonably likely to materially affect, our internal control over financial reporting except for the controls put in place in connection with adoption of ASC 842.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spacing w:after="0" w:line="40"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06" w:lineRule="exact"/>
        <w:rPr>
          <w:sz w:val="20"/>
          <w:szCs w:val="20"/>
          <w:color w:val="auto"/>
        </w:rPr>
      </w:pPr>
    </w:p>
    <w:p>
      <w:pPr>
        <w:jc w:val="both"/>
        <w:ind w:firstLine="446"/>
        <w:spacing w:after="0" w:line="25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3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 and our ability to sell additional software and services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or perpetual software licenses, and the variations in revenue recognition between these contract types;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licensing models that feature ratable revenue recognition;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product development, and services;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cloud-based services, including the impact of customers transitioning from term software licenses to subscription services;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or fixed fee contracts;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our licensing contracts, including acceptance terms and escalating payments over multi-year periods;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and product delivery, especially with customers and prospects that possess substantial negotiating leverage and procurement expertise;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for failing to meet certain contractual obligations, including service levels and implementation times;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and our related accounting policies and interpretations;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hiring personnel and employee related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conditions on our business, including trade tariffs, trade agreements, and other uncertainties that may cause a delay in entering into or a failure to enter into significant customer agreements;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23" w:lineRule="exact"/>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in light of the transition to ASC 606 for revenue recognition, our recent changes to the length of license agreements, and our increased cloud-based subscription services, among other ongoing changes to our business, it is challenging to forecast our quarterly and annual results.</w:t>
      </w:r>
      <w:r>
        <w:rPr>
          <w:rFonts w:ascii="MS PGothic" w:cs="MS PGothic" w:eastAsia="MS PGothic" w:hAnsi="MS PGothic"/>
          <w:sz w:val="18"/>
          <w:szCs w:val="18"/>
          <w:color w:val="auto"/>
        </w:rPr>
        <w:t> </w:t>
      </w:r>
    </w:p>
    <w:p>
      <w:pPr>
        <w:spacing w:after="0" w:line="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historically signed a higher percentage of software license orders in the second and fourth quarters of each fiscal year. We generally see increased new orders in our second fiscal quarter, which is the quarter ended January 31st, due to customer buying patterns, and in our fourth fiscal quarter, which is the quarter ended July 31st, due to efforts by our sales team to achieve annual incentives. As a result, a significantly higher percentage of our annual license revenue has historically been recognized in our second and fourth fiscal quarters. Since a substantial majority of our license revenue has annual renewals after the initial term of the contract, we expect to continue to experience this seasonality effect in subsequent years. Further, the adoption of ASC 606 for revenue recognition has and may continue to heighten or change the seasonal impact on our new term licenses that are multi-year in nature with more revenue recognized upfront upon delivery of our software.</w:t>
      </w:r>
    </w:p>
    <w:p>
      <w:pPr>
        <w:spacing w:after="0" w:line="2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which may take up to 90 days from the date of the agreement. Over time, this may reduce the impact of our historic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 The concentration of sales in the second and fourth fiscal quarters, including sales of subscription services, may exacerbate this effect.</w:t>
      </w:r>
    </w:p>
    <w:p>
      <w:pPr>
        <w:spacing w:after="0" w:line="21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quarterly growth in license revenue also may not coincide with new orders or invoicing activity in a given quarter, which could mask the impact of seasonal variations. This mismatch is primarily due to the following reasons:</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license agreements with future product delivery requirements, specified terms for product upgrades or functionality, acceptance terms, or unconditional return rights, which may require us to delay revenue recognition for the initial period;</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subscription arrangements are recognized ratably and only a portion of the revenue from an order is recognized in the same fiscal period of the order; and</w:t>
      </w: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license agreements generally have annual billing arrangements over the initial term even though revenue is recognized upon delivery of the product.</w:t>
      </w:r>
    </w:p>
    <w:p>
      <w:pPr>
        <w:spacing w:after="0" w:line="207"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large number of renewals that occur in the first fiscal quarter due to the timing of customer renewals, which were amended in anticipation of the transition to ASC 606. For example, in the first quarter of fiscal year 2019, we achieved higher revenue growth due to the delivery of a single license agreement with a term of ten years and resulted in the first quarter of fiscal year 2020 lacking comparability to the prior year period.</w:t>
      </w:r>
    </w:p>
    <w:p>
      <w:pPr>
        <w:spacing w:after="0" w:line="2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orders from a relatively small number of customers in the P&amp;C insurance industry for a substantial portion of our revenue, and the loss of any of these customers would significantly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revenue is dependent on orders from customers in the P&amp;C insurance industry, which may be adversely affected by economic, environmental, and world political conditions. A relatively small number of customers have historically accounted for a significant portion of our revenue. While the composition of our individual top customers will vary from year to year, in fiscal years 2019, 2018, and 2017, our ten largest customers accounted for 31%, 31%, and 26% of our revenue, respectively. Customers for this metric are measured at the parent corporation level, while our total customer count is measured at the purchasing entity level. While we expect this reliance to decrease over time as our revenue and customer base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their relationship with us, our business, results of operations, and financial condition would be harmed. Additionally, if our sales to one or more of these anticipated customers in any particular period are ratable in nature, or if we fail to achieve the required performance or acceptance criteria for one or more of these relatively small number of customers, our quarterly and annual results of operations may fluctuate significantly.</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our transition to a business model focused on delivering cloud-based offerings on a subscription basis, our results of operations could be harmed.</w:t>
      </w:r>
    </w:p>
    <w:p>
      <w:pPr>
        <w:spacing w:after="0" w:line="18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To address demand trends in the P&amp;C insurance industry, we now offer customers the use of our software products through a cloud-based offering sold on a subscription basis in addition to our self-managed offering. This adjustment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divert resources, require us to hire additional resources, and increase costs, especially in cost of license and subscription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public infrastructure, may be difficult to predict over time, especially in light of our lack of historical experience with the costs of delivering cloud-based versions of our applications. Our subscription contracts also contain penalty clauses, for matters such as failing to meet stipulated service levels, which represent new risks we are not accustomed to managing. Should these penalties be triggered, our results of operations may be adversely affected. Furthermore, we may assume greater responsibilities for implementation related services during this transition. As a result, we may face risks associated with new and complex implementations, the cost of which may differ from original estimates. As with our stated history, penalties and cost could take the form of monetary credits for current or future service engagements, reduced fees for additional product sales, and a customer’s refusal to pay its contractually-obligated subscription or service fees.</w:t>
      </w:r>
    </w:p>
    <w:p>
      <w:pPr>
        <w:spacing w:after="0" w:line="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Revenue under our cloud-based subscription model will generally be recognized ratably over the term of the contract. The transition to ratable revenue recognition will result in lower license revenue we otherwise would have recognized in the initial period of the customer agreement in those periods in which the portion of our revenue attributable to ratable subscription contracts grows. This effect on recognized revenue may be magnified in any fiscal year due to the concentration of our orders in the fourth fiscal quarter. A combination of increased costs and delayed recognition of revenue would adversely impact our gross and operating margins during those periods. Additionally, the change in our business model and transition of our customers from self-managed licenses to cloud-based subscription services could negatively affect our ability to forecast the timing and amount of our revenues in any period.</w:t>
      </w:r>
    </w:p>
    <w:p>
      <w:pPr>
        <w:spacing w:after="0" w:line="21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the subscription agreements we initially develop in connection with this transition,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services revenue as a percentage of total revenue or lower services margins could adversely affect our overall gross margins and profitability.</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services revenue was 35%, 41%, and 34% of total revenue for fiscal years 2019, 2018, and 2017, respectively. Our services revenue produces lower gross margins than our license and subscription revenue. The gross margin of our services revenue was 2%, 7%, and 7% for fiscal years 2019, 2018, and 2017, respectively, while the gross margin for license and subscription revenue was 83%, 89%, and 94% for fiscal years 2019, 2018, and 2017, respectively. An increase in the percentage of total revenue represented by services revenue, like we experienced in fiscal year 2018 due to acquisitions and the recognition of revenue on certain cloud-based implementations that were completed in prior years, or lower services margins could reduce our overall gross margins and operating margins. Such a trend can be the result of several factors, some of which may be beyond our control, including increased customer demand for our service team involvement in new products and services, the rates we charge for our services, our ability to bill our customers for all time incurred to complete a project, and the extent to which SI partners are willing and able to provide services, including leading subscription services implementations, directly to customers. Erosion in our services margins would also adversely affect our gross and operating margins. Services margins may erode for a period of time as we work to grow our business and overall revenue; for instance, services margins may erode if we hire and train additional services personnel to support new products including cloud-based services, if we require additional service personnel to support entry into new markets, we enter into fixed fee services arrangements, or if we require additional personnel on unexpectedly difficult projects to ensure customer success, perhaps without commensurate compensation.</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Services margins may also decline if we are required to defer services revenue in connection with an engagement. This may happen if our term license and services are considered a combined performance obligation. In fiscal year 2017, for example, we deferred a significant amount of revenue and direct costs associated with one project, which reduced margins and reported services revenue during fiscal year 2017, and increased margins and services revenue during fiscal year 2018 when certain amounts of this deferred revenue and direct costs were recognized.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8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If our security measures are breached or unauthorized access to customer data is otherwise obtained, our cloud services may be perceived as not being secure, customers may reduce the use of or stop using our services, and we may incur significant liabilities.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steps to protect the confidential information and customer data to which we have access, including confidential information we may obtain through our customer support services or customer usage of our cloud-based services, our security measures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sabotage systems change frequently and generally are not identified until they are launched against a target, we may be unable to anticipate these techniques or to implement adequate preventative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w:t>
      </w: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market for our software and services is intensely competitive. The competitors we face in any sale opportunity may change depending on, among other things, the line of business purchasing the software, the application being sold, the geography in which we are operating, and the size of the insurance carrier to which we are selling. For example, we are more likely to face competition from small independent firms when addressing the needs of small insurers. These competitors may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compete on the basis of price, the time and cost required for software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21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8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has increased significantly in recent years, and this may lead to improved product or sales capabilities, which in turn could lead to new or expanded partnerships with systems integrators.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our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1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and services do not infringe upon the intellectual property rights of third parties, we cannot assure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We cannot assure that we are not infringing or otherwise violating any third-party intellectual property rights.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1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8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technologies, or businesses complementary to ours. Our strategy also includes alliances with such companies. For example, in March 2016, we acquired EagleEye Analytics Inc., a provider of cloud-based predictive analytics products designed for P&amp;C insurers; in August 2016, we acquired FirstBest Systems, Inc., a provider of an underwriting management system for P&amp;C insurers; in February 2017, we acquired ISCS, Inc., a provider of a cloud-based, all-in-one platform that offers policy, billing, and claims management functionality for P&amp;C insurers; and in November 2017, we acquired Cyence, a Software-as-a-Service company that applies data science and risk analytics to enable P&amp;C insurers to underwrite “21st century risks” such as terrorism, cybersecurity, and reputational risk. Each of these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sales of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GAAP. These accounting principles are subject to interpretation by the SEC, FASB, and various bodies formed to interpret and create accounting rules and regulations. New accounting standards, such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accounting policies are subject to scrutiny by regulators and the public.</w:t>
      </w:r>
    </w:p>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accounting policies on our financial statements going forward. In addition, were we to change our critical accounting estimates, including those related to the timing of revenue recognition and those used to allocate revenue between various performance obligations, our reported revenue and results of operations could be significantly impacted. For example, the adoption of ASC 606 introduced may risks including the following:</w:t>
      </w:r>
    </w:p>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misunderstanding of our business and underlying trends and what they could mean for the underlying success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misinterpretation of historic and future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mistakes by us in explaining our historical results or new known trends under ASC 606.</w:t>
      </w:r>
    </w:p>
    <w:p>
      <w:pPr>
        <w:spacing w:after="0" w:line="2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reduce the risk of financial statement volatility, we revised our contracting practices primarily by shortening the initial non-refundable term of our licenses. 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Further, under ASC 606, more judgment and estimates are required within the revenue recognition process than was required under previous GAAP. Despite no change in associated cash flows, we currently anticipate that this standard could create additional volatility in our reported revenue and results of operations, which may cause our stock price to decline.</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financial statements may lead to additional risks and uncertainties, including regulatory, stockholder or other actions, loss of investor and counterparty confidence and negative impacts on our stock price.</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2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the restatement and associated non-reliance on our previously issued consolidated financial statements for the fiscal years ended July 31, 2018 and 2017, we incurred a number of additional costs and are subject to additional risks, including unanticipated costs for accounting and legal fees in connection with or related to the restatement. In addition, the attention of our management team was diverted by these efforts. We could also be subject to regulatory,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restatement of our financial results for the fiscal years ended July 31, 2018 and 2017, management identified a material weakness in our internal control over financial reporting related to the ineffective design and operation of certain process level internal controls over the existence and accuracy of revenue transactions as of July 31, 2018. The deficiency arose because we did not conduct an effective assessment to identify risks of material misstatement related to the existence and accuracy of revenue transactions related to certain customer contracts that were amended to extend the initial license term by one year. In response, we implemented changes to our processes and controls during fiscal year 2019, which we believe have remediated this material weakness, as further described in Item 9A — “Controls and Procedures” of Part II of our Annual Report on Form 10-K for the fiscal year ended July 31, 2019.</w:t>
      </w:r>
    </w:p>
    <w:p>
      <w:pPr>
        <w:spacing w:after="0" w:line="21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While we continually undertake steps to improve our internal control over financial reporting, we may not be successful in making the improvements necessary to be able to identify and remediate additional control deficiencies or material weaknesses in the future.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we have incurred significant expense, including audit, legal, consulting, and other professional fees in connection with the restatement of our consolidated financial statements as of and for the years ended July 31, 2018 and 2017 and the remediation of the material weakness in our internal control over financial reporting. Our management’s attention was also diverted from the operation of our business as a result of the time and attention required to address the remediation of the material weakness in our internal controls. In addition, we cannot assure you that we will not discover other material weaknesses in the future.</w:t>
      </w:r>
    </w:p>
    <w:p>
      <w:pPr>
        <w:spacing w:after="0" w:line="2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8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typical sales cycle for our products and services is lengthy and unpredictable, requires pre-purchase evaluation by a significant number of employees in our customers’ organizations, and often involves a significant operational decision by our customers.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and can result in a lengthy sales cycle. We spend substantial time, effort, and money in our sales efforts without any assurance that our efforts will produce sales. Even if we succeed at completing a sale, we may be unable to predict the size of an initial license until very late in the sales cycle. In addition, we sometimes commit to include specific functions in our base product offering at the request of a customer or group of customers and are unable to recognize license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 sales or upon renewals of existing licenses, and a customer’s refusal to pay their contractually-obligated license, maintenance, or service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and may require us to develop additional features in the products we sell to them.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maintenance and subscription contracts for our products. A decline in our customer renewals and expansions could harm our future results of operations.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maintenance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General worldwide economic conditions remain unstable. Prolonged economic uncertainties or downturns could harm our business operations or financial results. In particular, the decision by referendum to withdraw the United Kingdom (U.K.) from the European Union (“Brexit”) in June 2016 caused significant volatility in global stock markets and fluctuations in currency exchange rates. The impending Brexit has caused and may continue to cause delays in purchasing decisions by our potential and current customers affected by this transition and there is considerable uncertainty as to when the long-term nature of the U.K.’s relationship with the European Union will be agreed and implemented. Any exit by the U.K. from the European Union may result in new regulatory and cost challenges to our U.K. and global operations. The outcome of the referendum has also created uncertainty with regard to the regulation of data protection in the U.K. In particular, it is unclear how the U.K.’s vote to leave the European Union will affect the U.K.’s enactment of the European General Data Protection Regulation, and how data transfers to and from the U.K. will be regulated. Depending on the terms reached regarding any exit from the European Union, it is possible that there may be adverse practical or operational implications on our business.</w:t>
      </w:r>
    </w:p>
    <w:p>
      <w:pPr>
        <w:spacing w:after="0" w:line="21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Further, Brexit, or other global events such as the recent imposition of various trade tariffs by the United States and China, may continue to create global economic uncertainty not only in the U.K., but in other regions in which we have significant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allowance for doubtful accounts,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products. Acquisitions of customers can delay or cancel sales cycles and because we cannot predict the timing or duration of such acquisitions, our results of operations could be materially impacted by the change in the industry.</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and fires. Global warming trends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The combined effect of those losses on P&amp;C insurers was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and professional service engagements or to discontinue existing projects.</w:t>
      </w: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202"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products, successfully help our customers quickly resolve post-deployment issues,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and on-going services, our ability to ensure a high level of quality in addressing customer issues is diminished as we may be unable to control the quality or timeliness of the implementation of our products and services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0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our future growth also will depend on the retention and expansion of successful relationships with SIs, including with SIs that will focus on products we may acquire in the future. Our SIs as channel partners help us reach additional customers. Our growth in revenue, particularly in international markets, will be influenced by the development and maintenance of this indirect sales channel which, in some cases, may require the establishment of effective relationships with regional SIs. Although we have established relationships with some of the leading SIs, our products and services may compete directly against products and services that such leading SIs support or market. Additionally, we are unable to control the quantity or quality of resources that our SI partners commit to implementing our products, or the quality or timeliness of such implementations.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products, we may be put at a competitive disadvantage.</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products to meet evolving customer requirements. Because some of our products are complex and require rigorous testing, development cycles can be lengthy, taking us multiple years to develop and introduce new products or provide updates to our existing products.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1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a new enterprise resource planning system as well as other accounting and sales systems. If these new systems prove ineffective, we may be unable to timely or accurately prepare financial reports, or invoice and collect from our customers.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completed the transition to our new enterprise resource planning (“ERP”) system and other accounting systems, including a new revenue reporting system, as of the beginning of fiscal year 2019. These systems are critical for accurately maintaining books and records and preparing our consolidated financial statements. While we have invested significant amounts, including for additional personnel and third-party consultants, to implement these systems, we cannot be assured that we will not experience difficulties following the transition. Any errors in our new ERP system could adversely affect our operations, including our ability to accurately report our financial results in a timely manner, file our quarterly or annual reports with the SEC, and invoice and collect from our customers, each of which may harm our operations and reduce investor confidence. Data integrity problems or other issues may be discovered even though the transition is complete which, if not corrected, could impact our business, reputation, reporting, disclosures or results of operations. If we encounter unforeseen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difficulties with our new ERP and revenue systems, there will be additional demands on our management team and our business, operations, and results of operations could be adversely affected.</w:t>
      </w: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and software engineers, especially as we transition to a business model focused on delivering cloud-based offerings. Our inability to attract and retain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materially harm our business. Changes in our executive management team may also cause disruptions in, and harm to, our business. Further, Marcus Ryu, one of our co-founders and our former chief executive officer and president, transitioned to his role as chairman of the board of directors on August 3, 2019. Although we strive to reduce the challenges of this transition and the appointment of our chief executive officer, Mike Rosenbaum, failure to ensure effective transfer of knowledge and a smooth transition could disrupt or adversely affect our business, results of operations, financial condition, and prospects.</w:t>
      </w:r>
    </w:p>
    <w:p>
      <w:pPr>
        <w:spacing w:after="0" w:line="2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2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the technical nature of our products and services and the dynamic market in which we compete, any failure to attract, integrate, and retain qualified direct sales, professional services, and product development personnel, as well as our contract workers, could harm our ability to generate sales, deliver consulting services, or successfully develop new products and enhancements of existing products.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products or implementation services may affect our reputation, cause us to lose customers and reduce sales which may harm our business and results of operations and subject us to liability for breach of warranty claims.</w:t>
      </w:r>
    </w:p>
    <w:p>
      <w:pPr>
        <w:spacing w:after="0" w:line="186"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product offerings after their introduction. Additionally, our Guidewire Cloud offerings rely on third-party hosting services. Any material disruption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slowdown in these services or the systems of third parties who we depend upon could cause outages or delays in our services which could harm our brand and adversely affect our operating results.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product sales, or a customer’s refusal to pay its contractually-obligated license, maintenance, or service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license and support of our software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products or services to satisfy customer demands or to maintain market acceptance would harm our business, results of operations, financial condition, and growth prospects.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technological advances that reduce the appeal of our products,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and services to customers located outside the United States, and we are continuing to expand our international operations as part of our growth strategy. In fiscal years 2019, 2018, and 2017, $272.9 million, $243.1 million, and $208.5 million of our revenue, respectively, was from customers outside of the United States. Our current international operations and our plans to expand our international operations subject us to a variety of risks, including:</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multiple international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products and licensing and subscription programs for international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such as Argentina;</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the General Data Protection Regulation in the European Union;</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(“FCPA”), the U.K. Bribery Act and other anti-corruption regulations, particularly in emerging market countries;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to expand our operations, including the number of employees and the locations and scope of our international operations. This expansion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our expenses may increase more than expected, our revenue could decline or grow more slowly than expected, and we may be unable to implement our business strategy.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2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1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and maintenance services.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maintenance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2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or maintenance services. Each of these could harm our business, results of operations, and financial condition.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1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technologies, each of which could reduce or eliminate the value of our services and technologies and materially and adversely affect our business,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products are complex and are deployed in a wide variety of network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products, services, and maintenance support to manage a wide range of operations, the incorrect or improper use of our products, our failure to properly train customers on how to efficiently and effectively use our products, or our failure to properly provide maintenance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for the use of our products, or if customer personnel are not well trained in the use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make additional sales may be substantially limited.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Japanese Yen, Malaysian Ringgit, Polish Zloty, and Swiss Franc.</w:t>
      </w:r>
    </w:p>
    <w:p>
      <w:pPr>
        <w:spacing w:after="0" w:line="20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revenue or financial results in such quarter.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For example, in fiscal year 2018, the Argentine economy became highly inflationary; however, our Argentina entity continues to have minimal activity through October 31, 2019. We will continue to experience fluctuations in foreign currency exchange rates, which, if material, may harm our revenue or results of operations.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adoption of our cloud-based services occurs, the amount of customer data, including customer personal information, that we manage, hold, and/or collect continues to increase. In addition, a limited number of our product solutions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 Many federal, state, and foreign legislatures and government agencies have imposed or are considering imposing restrictions and requirements about the collection, use, and disclosure of personal information.</w:t>
      </w:r>
    </w:p>
    <w:p>
      <w:pPr>
        <w:spacing w:after="0" w:line="21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Changes to laws or regulations affecting privacy could impose additional costs and liabilities, including fines, on us and could limit our use of such information to add value for customers, including for example, the California Consumer Privacy Act.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 solutions and reduce overall demand.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product solutions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and results from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1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European Community, Directive 95/46/EC (the “Directive”) has required European Union member states to implement data protection laws to meet the strict privacy requirements of the Directive, which has resulted in changes in previously accepted practices.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European Union (the “EU”) Commission has formally adopted a new mechanism for the transfer of personal data from the EU to the United States, branded the “EU-US Privacy Shield” (“Privacy Shield”). We are currently certified with the U.S. Department of Commerce to comply with the Privacy Shield Framework, however, companies will continue to face uncertainty to the extent they operate in both jurisdictions and transfer any “Personal Data” between the two. If we are investigated by a European data protection authority and found to be out of compliance, we could face fines and other penalties. Any such investigation or charges by European data protection authorities could have a negative effect on our existing business and on our ability to attract and retain new customers.</w:t>
      </w:r>
    </w:p>
    <w:p>
      <w:pPr>
        <w:spacing w:after="0" w:line="21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While we will continue to undertake efforts to conform to current regulatory obligations and evolving best practices, we may be unsuccessful in conforming to means of transferring Personal Data from the European Economic Area (“EEA”). We may also experience hesitancy, reluctance, or refusal by European or multi-national customers to continue to use some of our services due to the potential risk exposure of Personal Data transfers and the current data protection obligations imposed on them by certain data protection authorities. Such customers may also view any alternative approaches to the transfer of any Personal Data as being too costly, too burdensome, or otherwise objectionable, and therefore may decide not to do business with us if the transfer of Personal Data is a necessary requirement.</w:t>
      </w:r>
    </w:p>
    <w:p>
      <w:pPr>
        <w:spacing w:after="0" w:line="21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Personal Data originating from the EU 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and adversely affect our ability to offer cloud-based services.</w:t>
      </w:r>
    </w:p>
    <w:p>
      <w:pPr>
        <w:spacing w:after="0" w:line="2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Anticipated further evolution of EU regulations on this topic, including the impact of Brexit on these regulations, may increase substantially the penalties to which we could be subject in the event of any non-compliance. We may incur substantial expense in complying with the new obligations to be imposed by new regulations and we may be required to make significant changes to our software applications and expanding business operations, all of which may adversely affect our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income taxes in the United States and in foreign jurisdictions. Our future effective tax rates and the value of our deferred tax assets could be adversely affected by changes in tax laws, including impacts of the Tax Act. The U.S. Treasury Department, the IRS, and other standard-setting bodies are expected to continue to interpret or issue guidance on how provisions of the Tax Act, including BEAT, will be applied or otherwise administered. As guidance is issued, including final regulations and additional proposed regulations related to BEAT issued by the IRS on December 2, 2019,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2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corporate headquarters and the majority of our operations are located in the San Francisco Bay Area, a region known for seismic activity. A significant natural disaster, such as an earthquake, tsunami, fire, or a flood,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products, our business, results of operations, and financial condition would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could result in securities class action litigation against us.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and other factors beyond our control, such as fluctuations in the valuation of companies perceived by investors to be comparable to us and research analyst coverage about our business.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8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 attempts by stockholders to replace or remove our current management or members of our board of directors. These provisions include:</w:t>
      </w:r>
    </w:p>
    <w:p>
      <w:pPr>
        <w:spacing w:after="0" w:line="252" w:lineRule="exact"/>
        <w:rPr>
          <w:sz w:val="20"/>
          <w:szCs w:val="20"/>
          <w:color w:val="auto"/>
        </w:rPr>
      </w:pPr>
    </w:p>
    <w:p>
      <w:pPr>
        <w:ind w:left="660" w:right="60" w:hanging="328"/>
        <w:spacing w:after="0"/>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which could delay the ability of stockholders to change the membership of a majority of our board of directors; however, our board of directors has put forth a proposal for vote at our 2019 annual meeting of stockholders to declassify our board of directors and, if such declassification proposal is approved by our stockholders, we intend to file an amended and restated certificate of incorporation to gradually declassify our board of directors;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2019, we had outstanding an aggregate principal amount of $400.0 million of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and our ability to service or repay our indebtedness would increase.</w:t>
      </w:r>
    </w:p>
    <w:p>
      <w:pPr>
        <w:spacing w:after="0" w:line="2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21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 results.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Convertible Senior Notes may affect the value of our common stock.</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2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cannot be sure that the accounting standards in the future will continue to permit the use of the treasury stock method. For example, the FASB recently published an exposure draft proposing to amend current accounting standards to eliminate the treasury stock method for convertible instruments and instead require application of the “if-converted” method. Under that method, if it is adopted, diluted earnings per share would generally be calculated assuming that all the Convertible Senior Notes were converted solely into shares of common stock at the beginning of the reporting period, unless the result would be anti-dilutive.</w:t>
      </w:r>
    </w:p>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use the treasury stock method in accounting for the shares issuable upon conversion of the Convertible Senior Notes, then our diluted earnings per share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exhibits listed below are filed or incorporated by reference as part of this Report.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4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 w:type="dxa"/>
            <w:vAlign w:val="bottom"/>
            <w:gridSpan w:val="4"/>
          </w:tcPr>
          <w:p>
            <w:pPr>
              <w:spacing w:after="0"/>
              <w:rPr>
                <w:sz w:val="18"/>
                <w:szCs w:val="18"/>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250"/>
        </w:trPr>
        <w:tc>
          <w:tcPr>
            <w:tcW w:w="200" w:type="dxa"/>
            <w:vAlign w:val="bottom"/>
            <w:gridSpan w:val="4"/>
          </w:tcPr>
          <w:p>
            <w:pPr>
              <w:spacing w:after="0"/>
              <w:rPr>
                <w:sz w:val="21"/>
                <w:szCs w:val="21"/>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250"/>
        </w:trPr>
        <w:tc>
          <w:tcPr>
            <w:tcW w:w="200" w:type="dxa"/>
            <w:vAlign w:val="bottom"/>
            <w:gridSpan w:val="4"/>
          </w:tcPr>
          <w:p>
            <w:pPr>
              <w:spacing w:after="0"/>
              <w:rPr>
                <w:sz w:val="21"/>
                <w:szCs w:val="21"/>
                <w:color w:val="auto"/>
              </w:rPr>
            </w:pPr>
          </w:p>
        </w:tc>
        <w:tc>
          <w:tcPr>
            <w:tcW w:w="2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Common Stock certificate of the Registrant</w:t>
            </w:r>
          </w:p>
        </w:tc>
        <w:tc>
          <w:tcPr>
            <w:tcW w:w="0" w:type="dxa"/>
            <w:vAlign w:val="bottom"/>
          </w:tcPr>
          <w:p>
            <w:pPr>
              <w:spacing w:after="0"/>
              <w:rPr>
                <w:sz w:val="1"/>
                <w:szCs w:val="1"/>
                <w:color w:val="auto"/>
              </w:rPr>
            </w:pPr>
          </w:p>
        </w:tc>
      </w:tr>
      <w:tr>
        <w:trPr>
          <w:trHeight w:val="272"/>
        </w:trPr>
        <w:tc>
          <w:tcPr>
            <w:tcW w:w="48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Agreement by and between Guidewire Software,</w:t>
            </w:r>
          </w:p>
        </w:tc>
        <w:tc>
          <w:tcPr>
            <w:tcW w:w="0" w:type="dxa"/>
            <w:vAlign w:val="bottom"/>
          </w:tcPr>
          <w:p>
            <w:pPr>
              <w:spacing w:after="0"/>
              <w:rPr>
                <w:sz w:val="1"/>
                <w:szCs w:val="1"/>
                <w:color w:val="auto"/>
              </w:rPr>
            </w:pPr>
          </w:p>
        </w:tc>
      </w:tr>
      <w:tr>
        <w:trPr>
          <w:trHeight w:val="86"/>
        </w:trPr>
        <w:tc>
          <w:tcPr>
            <w:tcW w:w="48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Inc. and Michael Rosenbaum, dated August 3, 2019</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520" w:type="dxa"/>
            <w:vAlign w:val="bottom"/>
            <w:gridSpan w:val="8"/>
            <w:vMerge w:val="restart"/>
          </w:tcPr>
          <w:p>
            <w:pPr>
              <w:jc w:val="center"/>
              <w:ind w:left="36"/>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w:t>
            </w:r>
          </w:p>
        </w:tc>
        <w:tc>
          <w:tcPr>
            <w:tcW w:w="0" w:type="dxa"/>
            <w:vAlign w:val="bottom"/>
          </w:tcPr>
          <w:p>
            <w:pPr>
              <w:spacing w:after="0"/>
              <w:rPr>
                <w:sz w:val="1"/>
                <w:szCs w:val="1"/>
                <w:color w:val="auto"/>
              </w:rPr>
            </w:pPr>
          </w:p>
        </w:tc>
      </w:tr>
      <w:tr>
        <w:trPr>
          <w:trHeight w:val="86"/>
        </w:trPr>
        <w:tc>
          <w:tcPr>
            <w:tcW w:w="52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520" w:type="dxa"/>
            <w:vAlign w:val="bottom"/>
            <w:gridSpan w:val="8"/>
            <w:vMerge w:val="restart"/>
          </w:tcPr>
          <w:p>
            <w:pPr>
              <w:jc w:val="center"/>
              <w:ind w:left="36"/>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Certification of the Chief Financial Officer pursuant to Section</w:t>
            </w:r>
          </w:p>
        </w:tc>
        <w:tc>
          <w:tcPr>
            <w:tcW w:w="0" w:type="dxa"/>
            <w:vAlign w:val="bottom"/>
          </w:tcPr>
          <w:p>
            <w:pPr>
              <w:spacing w:after="0"/>
              <w:rPr>
                <w:sz w:val="1"/>
                <w:szCs w:val="1"/>
                <w:color w:val="auto"/>
              </w:rPr>
            </w:pPr>
          </w:p>
        </w:tc>
      </w:tr>
      <w:tr>
        <w:trPr>
          <w:trHeight w:val="86"/>
        </w:trPr>
        <w:tc>
          <w:tcPr>
            <w:tcW w:w="52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4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302 of the Sarbanes-Oxley Act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and the Chief</w:t>
            </w:r>
          </w:p>
        </w:tc>
        <w:tc>
          <w:tcPr>
            <w:tcW w:w="0" w:type="dxa"/>
            <w:vAlign w:val="bottom"/>
          </w:tcPr>
          <w:p>
            <w:pPr>
              <w:spacing w:after="0"/>
              <w:rPr>
                <w:sz w:val="1"/>
                <w:szCs w:val="1"/>
                <w:color w:val="auto"/>
              </w:rPr>
            </w:pPr>
          </w:p>
        </w:tc>
      </w:tr>
      <w:tr>
        <w:trPr>
          <w:trHeight w:val="194"/>
        </w:trPr>
        <w:tc>
          <w:tcPr>
            <w:tcW w:w="740" w:type="dxa"/>
            <w:vAlign w:val="bottom"/>
            <w:gridSpan w:val="9"/>
          </w:tcPr>
          <w:p>
            <w:pPr>
              <w:jc w:val="center"/>
              <w:ind w:right="100"/>
              <w:spacing w:after="0" w:line="194" w:lineRule="exact"/>
              <w:rPr>
                <w:rFonts w:ascii="Times New Roman" w:cs="Times New Roman" w:eastAsia="Times New Roman" w:hAnsi="Times New Roman"/>
                <w:sz w:val="18"/>
                <w:szCs w:val="18"/>
                <w:color w:val="0000FF"/>
                <w:w w:val="98"/>
              </w:rPr>
            </w:pPr>
            <w:hyperlink w:anchor="page76">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hyperlink>
          </w:p>
        </w:tc>
        <w:tc>
          <w:tcPr>
            <w:tcW w:w="476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Financial Officer pursuant to Section 906 of the Sarbanes-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Oxley 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5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2012</w:t>
            </w:r>
          </w:p>
        </w:tc>
        <w:tc>
          <w:tcPr>
            <w:tcW w:w="0" w:type="dxa"/>
            <w:vAlign w:val="bottom"/>
          </w:tcPr>
          <w:p>
            <w:pPr>
              <w:spacing w:after="0"/>
              <w:rPr>
                <w:sz w:val="1"/>
                <w:szCs w:val="1"/>
                <w:color w:val="auto"/>
              </w:rPr>
            </w:pPr>
          </w:p>
        </w:tc>
      </w:tr>
      <w:tr>
        <w:trPr>
          <w:trHeight w:val="270"/>
        </w:trPr>
        <w:tc>
          <w:tcPr>
            <w:tcW w:w="1700" w:type="dxa"/>
            <w:vAlign w:val="bottom"/>
          </w:tcPr>
          <w:p>
            <w:pPr>
              <w:jc w:val="center"/>
              <w:ind w:right="215"/>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5, 2016</w:t>
            </w:r>
          </w:p>
        </w:tc>
        <w:tc>
          <w:tcPr>
            <w:tcW w:w="0" w:type="dxa"/>
            <w:vAlign w:val="bottom"/>
          </w:tcPr>
          <w:p>
            <w:pPr>
              <w:spacing w:after="0"/>
              <w:rPr>
                <w:sz w:val="1"/>
                <w:szCs w:val="1"/>
                <w:color w:val="auto"/>
              </w:rPr>
            </w:pPr>
          </w:p>
        </w:tc>
      </w:tr>
      <w:tr>
        <w:trPr>
          <w:trHeight w:val="270"/>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9, 2012</w:t>
            </w:r>
          </w:p>
        </w:tc>
        <w:tc>
          <w:tcPr>
            <w:tcW w:w="0" w:type="dxa"/>
            <w:vAlign w:val="bottom"/>
          </w:tcPr>
          <w:p>
            <w:pPr>
              <w:spacing w:after="0"/>
              <w:rPr>
                <w:sz w:val="1"/>
                <w:szCs w:val="1"/>
                <w:color w:val="auto"/>
              </w:rPr>
            </w:pPr>
          </w:p>
        </w:tc>
      </w:tr>
      <w:tr>
        <w:trPr>
          <w:trHeight w:val="378"/>
        </w:trPr>
        <w:tc>
          <w:tcPr>
            <w:tcW w:w="1700" w:type="dxa"/>
            <w:vAlign w:val="bottom"/>
          </w:tcPr>
          <w:p>
            <w:pPr>
              <w:jc w:val="center"/>
              <w:ind w:right="215"/>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10.1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5, 2019</w:t>
            </w:r>
          </w:p>
        </w:tc>
        <w:tc>
          <w:tcPr>
            <w:tcW w:w="0" w:type="dxa"/>
            <w:vAlign w:val="bottom"/>
          </w:tcPr>
          <w:p>
            <w:pPr>
              <w:spacing w:after="0"/>
              <w:rPr>
                <w:sz w:val="1"/>
                <w:szCs w:val="1"/>
                <w:color w:val="auto"/>
              </w:rPr>
            </w:pPr>
          </w:p>
        </w:tc>
      </w:tr>
      <w:tr>
        <w:trPr>
          <w:trHeight w:val="486"/>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rPr>
              <w:t>Filed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8"/>
              </w:rPr>
              <w:t>Furnished herewith</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ectPr>
          <w:pgSz w:w="11900" w:h="16838" w:orient="portrait"/>
          <w:cols w:equalWidth="0" w:num="2">
            <w:col w:w="5840" w:space="500"/>
            <w:col w:w="508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34"/>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0"/>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0"/>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0"/>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0"/>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0"/>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360" w:lineRule="exact"/>
        <w:rPr>
          <w:sz w:val="20"/>
          <w:szCs w:val="20"/>
          <w:color w:val="auto"/>
        </w:rPr>
      </w:pPr>
    </w:p>
    <w:p>
      <w:pPr>
        <w:ind w:left="500" w:hanging="492"/>
        <w:spacing w:after="0" w:line="261" w:lineRule="auto"/>
        <w:tabs>
          <w:tab w:leader="none" w:pos="1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00" w:val="left"/>
          <w:tab w:leader="none" w:pos="5720" w:val="left"/>
        </w:tabs>
        <w:rPr>
          <w:sz w:val="20"/>
          <w:szCs w:val="20"/>
          <w:color w:val="auto"/>
        </w:rPr>
      </w:pPr>
      <w:r>
        <w:rPr>
          <w:rFonts w:ascii="Times New Roman" w:cs="Times New Roman" w:eastAsia="Times New Roman" w:hAnsi="Times New Roman"/>
          <w:sz w:val="18"/>
          <w:szCs w:val="18"/>
          <w:color w:val="auto"/>
        </w:rPr>
        <w:t>Date:</w:t>
        <w:tab/>
        <w:t>December 5, 2019</w:t>
      </w:r>
      <w:r>
        <w:rPr>
          <w:sz w:val="20"/>
          <w:szCs w:val="20"/>
          <w:color w:val="auto"/>
        </w:rPr>
        <w:tab/>
      </w:r>
      <w:r>
        <w:rPr>
          <w:rFonts w:ascii="Times New Roman" w:cs="Times New Roman" w:eastAsia="Times New Roman" w:hAnsi="Times New Roman"/>
          <w:sz w:val="17"/>
          <w:szCs w:val="17"/>
          <w:b w:val="1"/>
          <w:bCs w:val="1"/>
          <w:color w:val="auto"/>
        </w:rPr>
        <w:t>GUIDEWIRE SOFTWARE, INC.</w:t>
      </w:r>
    </w:p>
    <w:p>
      <w:pPr>
        <w:spacing w:after="0" w:line="337"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color w:val="auto"/>
        </w:rPr>
        <w:t>By: /s/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34290</wp:posOffset>
            </wp:positionV>
            <wp:extent cx="3395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Curtis Smith</w:t>
      </w:r>
    </w:p>
    <w:p>
      <w:pPr>
        <w:spacing w:after="0" w:line="4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40"/>
          </w:cols>
          <w:pgMar w:left="240" w:top="121" w:right="9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38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40" w:val="left"/>
          <w:tab w:leader="none" w:pos="6280" w:val="left"/>
          <w:tab w:leader="none" w:pos="6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34290</wp:posOffset>
            </wp:positionV>
            <wp:extent cx="30441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Mike Rosenbaum</w:t>
      </w:r>
    </w:p>
    <w:p>
      <w:pPr>
        <w:spacing w:after="0" w:line="6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88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Smith,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380" w:hanging="320"/>
        <w:spacing w:after="0" w:line="282"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620" w:val="left"/>
          <w:tab w:leader="none" w:pos="6280" w:val="left"/>
          <w:tab w:leader="none" w:pos="6820" w:val="left"/>
        </w:tabs>
        <w:rPr>
          <w:sz w:val="20"/>
          <w:szCs w:val="20"/>
          <w:color w:val="auto"/>
        </w:rPr>
      </w:pPr>
      <w:r>
        <w:rPr>
          <w:rFonts w:ascii="Times New Roman" w:cs="Times New Roman" w:eastAsia="Times New Roman" w:hAnsi="Times New Roman"/>
          <w:sz w:val="18"/>
          <w:szCs w:val="18"/>
          <w:color w:val="auto"/>
        </w:rPr>
        <w:t>Date:</w:t>
        <w:tab/>
        <w:t>December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30359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Curtis Smith</w:t>
      </w:r>
    </w:p>
    <w:p>
      <w:pPr>
        <w:spacing w:after="0" w:line="6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88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60" w:firstLine="44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2019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11" w:lineRule="exact"/>
        <w:rPr>
          <w:sz w:val="20"/>
          <w:szCs w:val="20"/>
          <w:color w:val="auto"/>
        </w:rPr>
      </w:pPr>
    </w:p>
    <w:p>
      <w:pPr>
        <w:ind w:left="20"/>
        <w:spacing w:after="0"/>
        <w:tabs>
          <w:tab w:leader="none" w:pos="820" w:val="left"/>
          <w:tab w:leader="none" w:pos="5900" w:val="left"/>
          <w:tab w:leader="none" w:pos="6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095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Mike Rosenbaum</w:t>
      </w:r>
    </w:p>
    <w:p>
      <w:pPr>
        <w:spacing w:after="0" w:line="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4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2019 as filed with the Securities and Exchange Commission on the date hereof (the “Report”), Curtis Smith,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65" w:lineRule="exact"/>
        <w:rPr>
          <w:sz w:val="20"/>
          <w:szCs w:val="20"/>
          <w:color w:val="auto"/>
        </w:rPr>
      </w:pPr>
    </w:p>
    <w:p>
      <w:pPr>
        <w:ind w:left="20"/>
        <w:spacing w:after="0"/>
        <w:tabs>
          <w:tab w:leader="none" w:pos="820" w:val="left"/>
          <w:tab w:leader="none" w:pos="5900" w:val="left"/>
          <w:tab w:leader="none" w:pos="6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0956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Curtis Smith</w:t>
      </w:r>
    </w:p>
    <w:p>
      <w:pPr>
        <w:spacing w:after="0" w:line="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8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5"/>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97" Type="http://schemas.openxmlformats.org/officeDocument/2006/relationships/hyperlink" Target="http://www.sec.gov/Archives/edgar/data/1528396/000119312512113034/d307163dex31.htm" TargetMode="External"/><Relationship Id="rId98" Type="http://schemas.openxmlformats.org/officeDocument/2006/relationships/hyperlink" Target="http://www.sec.gov/Archives/edgar/data/1528396/000152839616000070/ex31guidewire-arbylaws2016.htm" TargetMode="External"/><Relationship Id="rId99"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2019-12-28T01:10:10Z</dcterms:created>
  <dcterms:modified xsi:type="dcterms:W3CDTF">2019-12-28T01:10:10Z</dcterms:modified>
</cp:coreProperties>
</file>