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5786.xml.htm"/>
      <w:bookmarkStart w:id="1" w:name="kswkform4_17900257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Cooper Jeffrey Elliott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2"/>
        <w:gridCol w:w="931"/>
        <w:gridCol w:w="799"/>
        <w:gridCol w:w="618"/>
        <w:gridCol w:w="345"/>
        <w:gridCol w:w="921"/>
        <w:gridCol w:w="427"/>
        <w:gridCol w:w="1104"/>
        <w:gridCol w:w="1129"/>
        <w:gridCol w:w="97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23,234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144.4718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95,361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854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140.7289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94,507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2,430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141.6826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92,077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4,468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142.6904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87,609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1,195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143.6065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86,414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994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144.98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85,420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by Issuer to cover taxes associated with settlement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price reported in column 4 of Table 1 represents the average sale price of the shares sold ranging from $144.4713 to $144.4723 per share. The reporting person will provide, upon request by the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Automatic sale pursuant to a 10b5-1 Trading Plan adopted by the Reporting Person on March 20,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sale price reported in column 4 of Table 1 represents the average sale price of the shares sold ranging from $140.2100 to $141.1950 per share. The reporting person will provide, upon request by the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sale price reported in column 4 of Table 1 represents the average sale price of the shares sold ranging from $141.2500 to $142.2150 per share. The reporting person will provide, upon request by the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sale price reported in column 4 of Table 1 represents the average sale price of the shares sold ranging from $142.2550 to $143.1700 per share. The reporting person will provide, upon request by the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sale price reported in column 4 of Table 1 represents the average sale price of the shares sold ranging from $143.5000 to $144.0000 per share. The reporting person will provide, upon request by the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Jeffrey Elliott Cooper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05719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947</Words>
  <Characters>4995</Characters>
  <CharactersWithSpaces>5827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