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9528.xml.htm"/>
      <w:bookmarkStart w:id="1" w:name="kswkform4_17895095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Cooper Jeffrey Elliott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37,826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118,595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6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37,826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37,826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Performance Shares cliff vested at the end of the three-year performance period based on the average performance of the three one-year performance periods. On September 9, 2026, the Compensation Committee determined that 136% of the performance conditions were met, resulting in an increase of 10,013 PSUs earned by the Reporting Person. On September 15, 2026, the time-based vesting was met.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Jeffrey Elliott Cooper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5719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3546</Characters>
  <CharactersWithSpaces>4115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