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w:t>
      </w:r>
    </w:p>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2"/>
        </w:rPr>
        <w:t>QUARTERLY REPORT PURSUANT TO SECTION 13 OR 15(d) OF THE SECURITIES EXCHANGE ACT OF 1934</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January 31, 2024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left"/>
        <w:rPr/>
      </w:pPr>
      <w:r>
        <w:rPr>
          <w:color w:val="000000"/>
        </w:rPr>
        <w:t>☐  </w:t>
      </w:r>
      <w:r>
        <w:rPr>
          <w:rFonts w:ascii="Times New Roman;sans-serif" w:hAnsi="Times New Roman;sans-serif"/>
          <w:b/>
          <w:color w:val="000000"/>
          <w:sz w:val="22"/>
        </w:rPr>
        <w:t>TRANSITION REPORT PURSUANT TO SECTION 13 OR 15(d) OF THE SECURITIES EXCHANGE ACT OF 1934</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001-35394</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______________________________________________________________</w:t>
      </w:r>
    </w:p>
    <w:p>
      <w:pPr>
        <w:pStyle w:val="TextBody"/>
        <w:bidi w:val="0"/>
        <w:spacing w:lineRule="auto" w:line="288" w:before="100" w:after="283"/>
        <w:jc w:val="center"/>
        <w:rPr>
          <w:rFonts w:ascii="Times New Roman;sans-serif" w:hAnsi="Times New Roman;sans-serif"/>
          <w:b/>
          <w:color w:val="000000"/>
          <w:sz w:val="48"/>
        </w:rPr>
      </w:pPr>
      <w:r>
        <w:rPr>
          <w:rFonts w:ascii="Times New Roman;sans-serif" w:hAnsi="Times New Roman;sans-serif"/>
          <w:b/>
          <w:color w:val="000000"/>
          <w:sz w:val="48"/>
        </w:rPr>
        <w:t>Guidewire Software,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80" w:after="283"/>
        <w:jc w:val="center"/>
        <w:rPr>
          <w:color w:val="000000"/>
        </w:rPr>
      </w:pPr>
      <w:r>
        <w:rPr>
          <w:color w:val="000000"/>
        </w:rPr>
        <w:t> </w:t>
      </w:r>
      <w:r>
        <w:rPr>
          <w:rFonts w:ascii="Times New Roman;sans-serif" w:hAnsi="Times New Roman;sans-serif"/>
          <w:b w:val="false"/>
          <w:color w:val="000000"/>
          <w:sz w:val="20"/>
        </w:rPr>
        <w:t>______________________________________________________________</w:t>
      </w:r>
    </w:p>
    <w:tbl>
      <w:tblPr>
        <w:tblW w:w="4558" w:type="dxa"/>
        <w:jc w:val="center"/>
        <w:tblInd w:w="0" w:type="dxa"/>
        <w:tblLayout w:type="fixed"/>
        <w:tblCellMar>
          <w:top w:w="28" w:type="dxa"/>
          <w:left w:w="28" w:type="dxa"/>
          <w:bottom w:w="28" w:type="dxa"/>
          <w:right w:w="28" w:type="dxa"/>
        </w:tblCellMar>
      </w:tblPr>
      <w:tblGrid>
        <w:gridCol w:w="1110"/>
        <w:gridCol w:w="978"/>
        <w:gridCol w:w="986"/>
        <w:gridCol w:w="432"/>
        <w:gridCol w:w="432"/>
        <w:gridCol w:w="620"/>
      </w:tblGrid>
      <w:tr>
        <w:trPr/>
        <w:tc>
          <w:tcPr>
            <w:tcW w:w="111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36-4468504</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970 Park Pl, Suite 200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San Mateo, California</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94403</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(650) 357-9100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______________________________________________________________</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64" w:type="dxa"/>
        <w:jc w:val="center"/>
        <w:tblInd w:w="0" w:type="dxa"/>
        <w:tblLayout w:type="fixed"/>
        <w:tblCellMar>
          <w:top w:w="28" w:type="dxa"/>
          <w:left w:w="28" w:type="dxa"/>
          <w:bottom w:w="28" w:type="dxa"/>
          <w:right w:w="28" w:type="dxa"/>
        </w:tblCellMar>
      </w:tblPr>
      <w:tblGrid>
        <w:gridCol w:w="1065"/>
        <w:gridCol w:w="932"/>
        <w:gridCol w:w="943"/>
        <w:gridCol w:w="539"/>
        <w:gridCol w:w="539"/>
        <w:gridCol w:w="541"/>
        <w:gridCol w:w="1085"/>
        <w:gridCol w:w="1085"/>
        <w:gridCol w:w="1535"/>
      </w:tblGrid>
      <w:tr>
        <w:trPr/>
        <w:tc>
          <w:tcPr>
            <w:tcW w:w="106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9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GWRE</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center"/>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2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tbl>
      <w:tblPr>
        <w:tblW w:w="600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25"/>
        <w:gridCol w:w="125"/>
        <w:gridCol w:w="125"/>
        <w:gridCol w:w="109"/>
        <w:gridCol w:w="109"/>
        <w:gridCol w:w="109"/>
        <w:gridCol w:w="769"/>
        <w:gridCol w:w="769"/>
        <w:gridCol w:w="773"/>
        <w:gridCol w:w="109"/>
        <w:gridCol w:w="109"/>
        <w:gridCol w:w="109"/>
        <w:gridCol w:w="123"/>
        <w:gridCol w:w="123"/>
        <w:gridCol w:w="17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r>
    </w:tbl>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80" w:after="283"/>
        <w:ind w:left="0" w:right="0" w:firstLine="495"/>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3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29, 2024, the registrant had 83,322,110 shares of common stock issued 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82"/>
        <w:gridCol w:w="371"/>
        <w:gridCol w:w="371"/>
        <w:gridCol w:w="2960"/>
        <w:gridCol w:w="2834"/>
        <w:gridCol w:w="2812"/>
        <w:gridCol w:w="109"/>
        <w:gridCol w:w="109"/>
        <w:gridCol w:w="157"/>
      </w:tblGrid>
      <w:tr>
        <w:trPr/>
        <w:tc>
          <w:tcPr>
            <w:tcW w:w="48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0fb07a589e7422f984f8c26cc58e455_13">
              <w:r>
                <w:rPr>
                  <w:rStyle w:val="InternetLink"/>
                  <w:rFonts w:ascii="Times New Roman;sans-serif" w:hAnsi="Times New Roman;sans-serif"/>
                  <w:b/>
                  <w:color w:val="0000FF"/>
                  <w:sz w:val="20"/>
                  <w:u w:val="single"/>
                </w:rPr>
                <w:t>Part I – 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fb07a589e7422f984f8c26cc58e455_16">
              <w:r>
                <w:rPr>
                  <w:rStyle w:val="InternetLink"/>
                  <w:rFonts w:ascii="Times New Roman;sans-serif" w:hAnsi="Times New Roman;sans-serif"/>
                  <w:b w:val="false"/>
                  <w:color w:val="0000FF"/>
                  <w:sz w:val="20"/>
                  <w:u w:val="single"/>
                </w:rPr>
                <w:t>Financial Statements (unaudited):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b07a589e7422f984f8c26cc58e455_16">
              <w:r>
                <w:rPr>
                  <w:rStyle w:val="InternetLink"/>
                  <w:rFonts w:ascii="Times New Roman;sans-serif" w:hAnsi="Times New Roman;sans-serif"/>
                  <w:b w:val="false"/>
                  <w:color w:val="0000FF"/>
                  <w:sz w:val="20"/>
                  <w:u w:val="single"/>
                </w:rPr>
                <w:t>1</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fb07a589e7422f984f8c26cc58e455_19">
              <w:r>
                <w:rPr>
                  <w:rStyle w:val="InternetLink"/>
                  <w:rFonts w:ascii="Times New Roman;sans-serif" w:hAnsi="Times New Roman;sans-serif"/>
                  <w:b w:val="false"/>
                  <w:color w:val="000080"/>
                  <w:sz w:val="20"/>
                  <w:u w:val="single"/>
                </w:rPr>
                <w:t xml:space="preserve">Condensed Consolidated Balance Sheets as of </w:t>
              </w:r>
            </w:hyperlink>
            <w:r>
              <w:rPr>
                <w:rFonts w:ascii="Times New Roman;sans-serif" w:hAnsi="Times New Roman;sans-serif"/>
                <w:b w:val="false"/>
                <w:color w:val="0000FF"/>
                <w:sz w:val="20"/>
                <w:u w:val="single"/>
              </w:rPr>
              <w:t>January 31, 2024</w:t>
            </w:r>
            <w:hyperlink w:anchor="ie0fb07a589e7422f984f8c26cc58e455_19">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July 31, 2023</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b07a589e7422f984f8c26cc58e455_19">
              <w:r>
                <w:rPr>
                  <w:rStyle w:val="InternetLink"/>
                  <w:rFonts w:ascii="Times New Roman;sans-serif" w:hAnsi="Times New Roman;sans-serif"/>
                  <w:b w:val="false"/>
                  <w:color w:val="0000FF"/>
                  <w:sz w:val="20"/>
                  <w:u w:val="single"/>
                </w:rPr>
                <w:t>3</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fb07a589e7422f984f8c26cc58e455_25">
              <w:r>
                <w:rPr>
                  <w:rStyle w:val="InternetLink"/>
                  <w:rFonts w:ascii="Times New Roman;sans-serif" w:hAnsi="Times New Roman;sans-serif"/>
                  <w:b w:val="false"/>
                  <w:color w:val="000080"/>
                  <w:sz w:val="20"/>
                  <w:u w:val="single"/>
                </w:rPr>
                <w:t xml:space="preserve">Condensed Consolidated Statements of Operations for the </w:t>
              </w:r>
            </w:hyperlink>
            <w:r>
              <w:rPr>
                <w:rFonts w:ascii="Times New Roman;sans-serif" w:hAnsi="Times New Roman;sans-serif"/>
                <w:b w:val="false"/>
                <w:color w:val="0000FF"/>
                <w:sz w:val="20"/>
                <w:u w:val="single"/>
              </w:rPr>
              <w:t>Three and Six</w:t>
            </w:r>
            <w:hyperlink w:anchor="ie0fb07a589e7422f984f8c26cc58e455_25">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000FF"/>
                <w:sz w:val="20"/>
                <w:u w:val="single"/>
              </w:rPr>
              <w:t>January 31, 2024</w:t>
            </w:r>
            <w:hyperlink w:anchor="ie0fb07a589e7422f984f8c26cc58e455_25">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2023</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b07a589e7422f984f8c26cc58e455_25">
              <w:r>
                <w:rPr>
                  <w:rStyle w:val="InternetLink"/>
                  <w:rFonts w:ascii="Times New Roman;sans-serif" w:hAnsi="Times New Roman;sans-serif"/>
                  <w:b w:val="false"/>
                  <w:color w:val="0000FF"/>
                  <w:sz w:val="20"/>
                  <w:u w:val="single"/>
                </w:rPr>
                <w:t>4</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fb07a589e7422f984f8c26cc58e455_28">
              <w:r>
                <w:rPr>
                  <w:rStyle w:val="InternetLink"/>
                  <w:rFonts w:ascii="Times New Roman;sans-serif" w:hAnsi="Times New Roman;sans-serif"/>
                  <w:b w:val="false"/>
                  <w:color w:val="000080"/>
                  <w:sz w:val="20"/>
                  <w:u w:val="single"/>
                </w:rPr>
                <w:t xml:space="preserve">Condensed Consolidated Statements of Comprehensive Income (Loss) for the </w:t>
              </w:r>
            </w:hyperlink>
            <w:r>
              <w:rPr>
                <w:rFonts w:ascii="Times New Roman;sans-serif" w:hAnsi="Times New Roman;sans-serif"/>
                <w:b w:val="false"/>
                <w:color w:val="0000FF"/>
                <w:sz w:val="20"/>
                <w:u w:val="single"/>
              </w:rPr>
              <w:t>Three and Six</w:t>
            </w:r>
            <w:hyperlink w:anchor="ie0fb07a589e7422f984f8c26cc58e455_25">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000FF"/>
                <w:sz w:val="20"/>
                <w:u w:val="single"/>
              </w:rPr>
              <w:t>January 31, 2024</w:t>
            </w:r>
            <w:hyperlink w:anchor="ie0fb07a589e7422f984f8c26cc58e455_25">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2023</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b07a589e7422f984f8c26cc58e455_28">
              <w:r>
                <w:rPr>
                  <w:rStyle w:val="InternetLink"/>
                  <w:rFonts w:ascii="Times New Roman;sans-serif" w:hAnsi="Times New Roman;sans-serif"/>
                  <w:b w:val="false"/>
                  <w:color w:val="0000FF"/>
                  <w:sz w:val="20"/>
                  <w:u w:val="single"/>
                </w:rPr>
                <w:t>5</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fb07a589e7422f984f8c26cc58e455_31">
              <w:r>
                <w:rPr>
                  <w:rStyle w:val="InternetLink"/>
                  <w:rFonts w:ascii="Times New Roman;sans-serif" w:hAnsi="Times New Roman;sans-serif"/>
                  <w:b w:val="false"/>
                  <w:color w:val="000080"/>
                  <w:sz w:val="20"/>
                  <w:u w:val="single"/>
                </w:rPr>
                <w:t xml:space="preserve">Condensed Consolidated Statements of Changes in Stockholders’ Equity for the </w:t>
              </w:r>
            </w:hyperlink>
            <w:r>
              <w:rPr>
                <w:rFonts w:ascii="Times New Roman;sans-serif" w:hAnsi="Times New Roman;sans-serif"/>
                <w:b w:val="false"/>
                <w:color w:val="0000FF"/>
                <w:sz w:val="20"/>
                <w:u w:val="single"/>
              </w:rPr>
              <w:t>Three and Six</w:t>
            </w:r>
            <w:hyperlink w:anchor="ie0fb07a589e7422f984f8c26cc58e455_25">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000FF"/>
                <w:sz w:val="20"/>
                <w:u w:val="single"/>
              </w:rPr>
              <w:t>January 31, 2024</w:t>
            </w:r>
            <w:hyperlink w:anchor="ie0fb07a589e7422f984f8c26cc58e455_25">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2023</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b07a589e7422f984f8c26cc58e455_31">
              <w:r>
                <w:rPr>
                  <w:rStyle w:val="InternetLink"/>
                  <w:rFonts w:ascii="Times New Roman;sans-serif" w:hAnsi="Times New Roman;sans-serif"/>
                  <w:b w:val="false"/>
                  <w:color w:val="0000FF"/>
                  <w:sz w:val="20"/>
                  <w:u w:val="single"/>
                </w:rPr>
                <w:t>6</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fb07a589e7422f984f8c26cc58e455_34">
              <w:r>
                <w:rPr>
                  <w:rStyle w:val="InternetLink"/>
                  <w:rFonts w:ascii="Times New Roman;sans-serif" w:hAnsi="Times New Roman;sans-serif"/>
                  <w:b w:val="false"/>
                  <w:color w:val="000080"/>
                  <w:sz w:val="20"/>
                  <w:u w:val="single"/>
                </w:rPr>
                <w:t xml:space="preserve">Condensed Consolidated Statements of Cash Flows for the </w:t>
              </w:r>
            </w:hyperlink>
            <w:r>
              <w:rPr>
                <w:rFonts w:ascii="Times New Roman;sans-serif" w:hAnsi="Times New Roman;sans-serif"/>
                <w:b w:val="false"/>
                <w:color w:val="0000FF"/>
                <w:sz w:val="20"/>
                <w:u w:val="single"/>
              </w:rPr>
              <w:t>Six</w:t>
            </w:r>
            <w:hyperlink w:anchor="ie0fb07a589e7422f984f8c26cc58e455_34">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000FF"/>
                <w:sz w:val="20"/>
                <w:u w:val="single"/>
              </w:rPr>
              <w:t>January 31, 2024</w:t>
            </w:r>
            <w:hyperlink w:anchor="ie0fb07a589e7422f984f8c26cc58e455_25">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2023</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b07a589e7422f984f8c26cc58e455_34">
              <w:r>
                <w:rPr>
                  <w:rStyle w:val="InternetLink"/>
                  <w:rFonts w:ascii="Times New Roman;sans-serif" w:hAnsi="Times New Roman;sans-serif"/>
                  <w:b w:val="false"/>
                  <w:color w:val="0000FF"/>
                  <w:sz w:val="20"/>
                  <w:u w:val="single"/>
                </w:rPr>
                <w:t>7</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fb07a589e7422f984f8c26cc58e455_37">
              <w:r>
                <w:rPr>
                  <w:rStyle w:val="InternetLink"/>
                  <w:rFonts w:ascii="Times New Roman;sans-serif" w:hAnsi="Times New Roman;sans-serif"/>
                  <w:b w:val="false"/>
                  <w:color w:val="0000FF"/>
                  <w:sz w:val="20"/>
                  <w:u w:val="single"/>
                </w:rPr>
                <w:t>Notes to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b07a589e7422f984f8c26cc58e455_37">
              <w:r>
                <w:rPr>
                  <w:rStyle w:val="InternetLink"/>
                  <w:rFonts w:ascii="Times New Roman;sans-serif" w:hAnsi="Times New Roman;sans-serif"/>
                  <w:b w:val="false"/>
                  <w:color w:val="0000FF"/>
                  <w:sz w:val="20"/>
                  <w:u w:val="single"/>
                </w:rPr>
                <w:t>9</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fb07a589e7422f984f8c26cc58e455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b07a589e7422f984f8c26cc58e455_85">
              <w:r>
                <w:rPr>
                  <w:rStyle w:val="InternetLink"/>
                  <w:rFonts w:ascii="Times New Roman;sans-serif" w:hAnsi="Times New Roman;sans-serif"/>
                  <w:b w:val="false"/>
                  <w:color w:val="0000FF"/>
                  <w:sz w:val="20"/>
                  <w:u w:val="single"/>
                </w:rPr>
                <w:t>20</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fb07a589e7422f984f8c26cc58e455_130">
              <w:r>
                <w:rPr>
                  <w:rStyle w:val="InternetLink"/>
                  <w:rFonts w:ascii="Times New Roman;sans-serif" w:hAnsi="Times New Roman;sans-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b07a589e7422f984f8c26cc58e455_130">
              <w:r>
                <w:rPr>
                  <w:rStyle w:val="InternetLink"/>
                  <w:rFonts w:ascii="Times New Roman;sans-serif" w:hAnsi="Times New Roman;sans-serif"/>
                  <w:b w:val="false"/>
                  <w:color w:val="0000FF"/>
                  <w:sz w:val="20"/>
                  <w:u w:val="single"/>
                </w:rPr>
                <w:t>41</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fb07a589e7422f984f8c26cc58e455_133">
              <w:r>
                <w:rPr>
                  <w:rStyle w:val="InternetLink"/>
                  <w:rFonts w:ascii="Times New Roman;sans-serif" w:hAnsi="Times New Roman;sans-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b07a589e7422f984f8c26cc58e455_133">
              <w:r>
                <w:rPr>
                  <w:rStyle w:val="InternetLink"/>
                  <w:rFonts w:ascii="Times New Roman;sans-serif" w:hAnsi="Times New Roman;sans-serif"/>
                  <w:b w:val="false"/>
                  <w:color w:val="0000FF"/>
                  <w:sz w:val="20"/>
                  <w:u w:val="single"/>
                </w:rPr>
                <w:t>42</w:t>
              </w:r>
            </w:hyperlink>
          </w:p>
        </w:tc>
      </w:tr>
      <w:tr>
        <w:trPr/>
        <w:tc>
          <w:tcPr>
            <w:tcW w:w="98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0fb07a589e7422f984f8c26cc58e455_136">
              <w:r>
                <w:rPr>
                  <w:rStyle w:val="InternetLink"/>
                  <w:rFonts w:ascii="Times New Roman;sans-serif" w:hAnsi="Times New Roman;sans-serif"/>
                  <w:b/>
                  <w:color w:val="0000FF"/>
                  <w:sz w:val="20"/>
                  <w:u w:val="single"/>
                </w:rPr>
                <w:t>Part II – 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b07a589e7422f984f8c26cc58e455_136">
              <w:r>
                <w:rPr>
                  <w:rStyle w:val="InternetLink"/>
                  <w:rFonts w:ascii="Times New Roman;sans-serif" w:hAnsi="Times New Roman;sans-serif"/>
                  <w:b w:val="false"/>
                  <w:color w:val="0000FF"/>
                  <w:sz w:val="20"/>
                  <w:u w:val="single"/>
                </w:rPr>
                <w:t>43</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fb07a589e7422f984f8c26cc58e455_139">
              <w:r>
                <w:rPr>
                  <w:rStyle w:val="InternetLink"/>
                  <w:rFonts w:ascii="Times New Roman;sans-serif" w:hAnsi="Times New Roman;sans-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b07a589e7422f984f8c26cc58e455_139">
              <w:r>
                <w:rPr>
                  <w:rStyle w:val="InternetLink"/>
                  <w:rFonts w:ascii="Times New Roman;sans-serif" w:hAnsi="Times New Roman;sans-serif"/>
                  <w:b w:val="false"/>
                  <w:color w:val="0000FF"/>
                  <w:sz w:val="20"/>
                  <w:u w:val="single"/>
                </w:rPr>
                <w:t>43</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6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fb07a589e7422f984f8c26cc58e455_142">
              <w:r>
                <w:rPr>
                  <w:rStyle w:val="InternetLink"/>
                  <w:rFonts w:ascii="Times New Roman;sans-serif" w:hAnsi="Times New Roman;sans-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b07a589e7422f984f8c26cc58e455_142">
              <w:r>
                <w:rPr>
                  <w:rStyle w:val="InternetLink"/>
                  <w:rFonts w:ascii="Times New Roman;sans-serif" w:hAnsi="Times New Roman;sans-serif"/>
                  <w:b w:val="false"/>
                  <w:color w:val="0000FF"/>
                  <w:sz w:val="20"/>
                  <w:u w:val="single"/>
                </w:rPr>
                <w:t>43</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6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fb07a589e7422f984f8c26cc58e455_148">
              <w:r>
                <w:rPr>
                  <w:rStyle w:val="InternetLink"/>
                  <w:rFonts w:ascii="Times New Roman;sans-serif" w:hAnsi="Times New Roman;sans-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b07a589e7422f984f8c26cc58e455_148">
              <w:r>
                <w:rPr>
                  <w:rStyle w:val="InternetLink"/>
                  <w:rFonts w:ascii="Times New Roman;sans-serif" w:hAnsi="Times New Roman;sans-serif"/>
                  <w:b w:val="false"/>
                  <w:color w:val="0000FF"/>
                  <w:sz w:val="20"/>
                  <w:u w:val="single"/>
                </w:rPr>
                <w:t>68</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6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0fb07a589e7422f984f8c26cc58e455_151">
              <w:r>
                <w:rPr>
                  <w:rStyle w:val="InternetLink"/>
                  <w:rFonts w:ascii="Times New Roman;sans-serif" w:hAnsi="Times New Roman;sans-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b07a589e7422f984f8c26cc58e455_151">
              <w:r>
                <w:rPr>
                  <w:rStyle w:val="InternetLink"/>
                  <w:rFonts w:ascii="Times New Roman;sans-serif" w:hAnsi="Times New Roman;sans-serif"/>
                  <w:b w:val="false"/>
                  <w:color w:val="0000FF"/>
                  <w:sz w:val="20"/>
                  <w:u w:val="single"/>
                </w:rPr>
                <w:t>69</w:t>
              </w:r>
            </w:hyperlink>
          </w:p>
        </w:tc>
      </w:tr>
      <w:tr>
        <w:trPr/>
        <w:tc>
          <w:tcPr>
            <w:tcW w:w="98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0fb07a589e7422f984f8c26cc58e455_154">
              <w:r>
                <w:rPr>
                  <w:rStyle w:val="InternetLink"/>
                  <w:rFonts w:ascii="Times New Roman;sans-serif" w:hAnsi="Times New Roman;sans-serif"/>
                  <w:b w:val="false"/>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b07a589e7422f984f8c26cc58e455_154">
              <w:r>
                <w:rPr>
                  <w:rStyle w:val="InternetLink"/>
                  <w:rFonts w:ascii="Times New Roman;sans-serif" w:hAnsi="Times New Roman;sans-serif"/>
                  <w:b w:val="false"/>
                  <w:color w:val="0000FF"/>
                  <w:sz w:val="20"/>
                  <w:u w:val="single"/>
                </w:rPr>
                <w:t>70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FORWARD-LOOKING STATEMENTS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section titled “Management’s Discussion and Analysis of Financial Condition and Results of Operations” as well as other parts of this Quarterly Report on Form 10-Q and certain information incorporated herein by reference contain forward-looking statements within the meaning of the Securities Act of 1933, as amended (the “Securities Act”), and the Securities Exchange Act of 1934, as amended (the “Exchange Act”) which are subject to risks and uncertainties. The forward-looking statements may include statements concerning, among other things, our business strategy (including anticipated trends and developments in, and management plans for, our business, growth, and the markets in which we operate), financial results, results of operations, revenue, gross margins, operating expenses, services, products, projected costs and capital expenditures, research and development programs, sales and marketing initiatives, competition, and the impact of general economic, business, and market conditions.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“Part II – Other Information – Item 1A. Risk Factors,” and elsewhere in this Quarterly Report on Form 10-Q. Many of the forward-looking statements are located in “Management’s Discussion and Analysis of Financial Condition and Results of Operations.” </w:t>
      </w:r>
    </w:p>
    <w:p>
      <w:pPr>
        <w:pStyle w:val="TextBody"/>
        <w:bidi w:val="0"/>
        <w:spacing w:lineRule="auto" w:line="288" w:before="1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Forward-looking statements are not guarantees of future performance and involve risks and uncertainties. The forward-looking statements contained in this Quarterly Report on Form 10-Q are based on information available to us as of the filing date of this Quarterly Report on Form 10-Q and our current expectations about future events, which are inherently subject to change and involve risks and uncertainties. You should not place undue reliance on these forward-looking statements. </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We do not undertake any obligation to update any forward-looking statements in this Quarterly Report on Form 10-Q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pStyle w:val="TextBody"/>
        <w:bidi w:val="0"/>
        <w:spacing w:before="180" w:after="283"/>
        <w:ind w:left="0" w:right="0" w:firstLine="495"/>
        <w:jc w:val="center"/>
        <w:rPr/>
      </w:pPr>
      <w:r>
        <w:rPr/>
      </w:r>
    </w:p>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w:t>
      </w:r>
    </w:p>
    <w:p>
      <w:pPr>
        <w:pStyle w:val="TextBody"/>
        <w:bidi w:val="0"/>
        <w:spacing w:before="0" w:after="0"/>
        <w:ind w:left="0" w:right="0" w:firstLine="360"/>
        <w:jc w:val="left"/>
        <w:rPr/>
      </w:pPr>
      <w:r>
        <w:rPr/>
      </w:r>
    </w:p>
    <w:p>
      <w:pPr>
        <w:pStyle w:val="TextBody"/>
        <w:bidi w:val="0"/>
        <w:spacing w:lineRule="auto" w:line="288" w:before="3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we are referring to Guidewire Software, Inc., together with its subsidiaries, when we use the terms “Guidewire,” the “Company,” “we,” “our,” or “us.” When using the term “products,” we are generally referring to both our subscription services and term license software.</w:t>
      </w:r>
    </w:p>
    <w:p>
      <w:pPr>
        <w:pStyle w:val="TextBody"/>
        <w:bidi w:val="0"/>
        <w:spacing w:before="360" w:after="283"/>
        <w:jc w:val="both"/>
        <w:rPr/>
      </w:pPr>
      <w:r>
        <w:rPr/>
      </w:r>
    </w:p>
    <w:p>
      <w:pPr>
        <w:pStyle w:val="TextBody"/>
        <w:bidi w:val="0"/>
        <w:spacing w:before="3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p>
      <w:pPr>
        <w:pStyle w:val="TextBody"/>
        <w:bidi w:val="0"/>
        <w:spacing w:lineRule="auto" w:line="288" w:before="0" w:after="0"/>
        <w:jc w:val="left"/>
        <w:rPr>
          <w:color w:val="000000"/>
        </w:rPr>
      </w:pPr>
      <w:r>
        <w:rPr>
          <w:color w:val="000000"/>
        </w:rPr>
        <w:t> </w:t>
      </w:r>
    </w:p>
    <w:tbl>
      <w:tblPr>
        <w:tblW w:w="8693" w:type="dxa"/>
        <w:jc w:val="left"/>
        <w:tblInd w:w="0" w:type="dxa"/>
        <w:tblLayout w:type="fixed"/>
        <w:tblCellMar>
          <w:top w:w="28" w:type="dxa"/>
          <w:left w:w="28" w:type="dxa"/>
          <w:bottom w:w="28" w:type="dxa"/>
          <w:right w:w="28" w:type="dxa"/>
        </w:tblCellMar>
      </w:tblPr>
      <w:tblGrid>
        <w:gridCol w:w="2067"/>
        <w:gridCol w:w="1826"/>
        <w:gridCol w:w="1836"/>
        <w:gridCol w:w="211"/>
        <w:gridCol w:w="976"/>
        <w:gridCol w:w="109"/>
        <w:gridCol w:w="109"/>
        <w:gridCol w:w="109"/>
        <w:gridCol w:w="109"/>
        <w:gridCol w:w="211"/>
        <w:gridCol w:w="976"/>
        <w:gridCol w:w="154"/>
      </w:tblGrid>
      <w:tr>
        <w:trPr/>
        <w:tc>
          <w:tcPr>
            <w:tcW w:w="2067"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w:t>
              <w:br/>
              <w:t>2023</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$24 and $218,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1,099,603 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 (accumulated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2,027,888 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shares and per share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09"/>
        <w:gridCol w:w="1398"/>
        <w:gridCol w:w="1410"/>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60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w:t>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(97,769)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(benefit from)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(93,623)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income (loss) per share:</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81,912,272 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82,686,420 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83,305,080 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82,051,867 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81,912,272 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82,686,420 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53"/>
        <w:gridCol w:w="1572"/>
        <w:gridCol w:w="1527"/>
        <w:gridCol w:w="211"/>
        <w:gridCol w:w="721"/>
        <w:gridCol w:w="109"/>
        <w:gridCol w:w="109"/>
        <w:gridCol w:w="109"/>
        <w:gridCol w:w="109"/>
        <w:gridCol w:w="211"/>
        <w:gridCol w:w="671"/>
        <w:gridCol w:w="109"/>
        <w:gridCol w:w="109"/>
        <w:gridCol w:w="109"/>
        <w:gridCol w:w="109"/>
        <w:gridCol w:w="211"/>
        <w:gridCol w:w="776"/>
        <w:gridCol w:w="109"/>
        <w:gridCol w:w="109"/>
        <w:gridCol w:w="109"/>
        <w:gridCol w:w="109"/>
        <w:gridCol w:w="211"/>
        <w:gridCol w:w="776"/>
        <w:gridCol w:w="157"/>
      </w:tblGrid>
      <w:tr>
        <w:trPr/>
        <w:tc>
          <w:tcPr>
            <w:tcW w:w="1853"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4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w:t>
            </w:r>
          </w:p>
        </w:tc>
      </w:tr>
      <w:tr>
        <w:trPr/>
        <w:tc>
          <w:tcPr>
            <w:tcW w:w="49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(expense) on unrealized gain (loss) on available-for-sale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realized gain (loss) included in net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(74,723)</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jc w:val="center"/>
        <w:rPr/>
      </w:pPr>
      <w:r>
        <w:rPr>
          <w:rFonts w:ascii="Times New Roman;sans-serif" w:hAnsi="Times New Roman;sans-serif"/>
          <w:b/>
          <w:color w:val="000000"/>
          <w:sz w:val="18"/>
        </w:rPr>
        <w:t>GU</w:t>
      </w:r>
      <w:r>
        <w:rPr>
          <w:rFonts w:ascii="Times New Roman;sans-serif" w:hAnsi="Times New Roman;sans-serif"/>
          <w:b/>
          <w:color w:val="000000"/>
          <w:sz w:val="20"/>
        </w:rPr>
        <w:t>IDEWIRE SOFTWARE,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amounts)</w:t>
      </w:r>
    </w:p>
    <w:tbl>
      <w:tblPr>
        <w:tblW w:w="10205" w:type="dxa"/>
        <w:jc w:val="center"/>
        <w:tblInd w:w="0" w:type="dxa"/>
        <w:tblLayout w:type="fixed"/>
        <w:tblCellMar>
          <w:top w:w="28" w:type="dxa"/>
          <w:left w:w="28" w:type="dxa"/>
          <w:bottom w:w="28" w:type="dxa"/>
          <w:right w:w="28" w:type="dxa"/>
        </w:tblCellMar>
      </w:tblPr>
      <w:tblGrid>
        <w:gridCol w:w="959"/>
        <w:gridCol w:w="311"/>
        <w:gridCol w:w="313"/>
        <w:gridCol w:w="109"/>
        <w:gridCol w:w="109"/>
        <w:gridCol w:w="109"/>
        <w:gridCol w:w="488"/>
        <w:gridCol w:w="488"/>
        <w:gridCol w:w="196"/>
        <w:gridCol w:w="109"/>
        <w:gridCol w:w="109"/>
        <w:gridCol w:w="109"/>
        <w:gridCol w:w="241"/>
        <w:gridCol w:w="315"/>
        <w:gridCol w:w="135"/>
        <w:gridCol w:w="109"/>
        <w:gridCol w:w="109"/>
        <w:gridCol w:w="109"/>
        <w:gridCol w:w="196"/>
        <w:gridCol w:w="886"/>
        <w:gridCol w:w="109"/>
        <w:gridCol w:w="109"/>
        <w:gridCol w:w="109"/>
        <w:gridCol w:w="109"/>
        <w:gridCol w:w="244"/>
        <w:gridCol w:w="827"/>
        <w:gridCol w:w="137"/>
        <w:gridCol w:w="109"/>
        <w:gridCol w:w="109"/>
        <w:gridCol w:w="109"/>
        <w:gridCol w:w="209"/>
        <w:gridCol w:w="832"/>
        <w:gridCol w:w="116"/>
        <w:gridCol w:w="109"/>
        <w:gridCol w:w="109"/>
        <w:gridCol w:w="109"/>
        <w:gridCol w:w="196"/>
        <w:gridCol w:w="886"/>
        <w:gridCol w:w="159"/>
      </w:tblGrid>
      <w:tr>
        <w:trPr/>
        <w:tc>
          <w:tcPr>
            <w:tcW w:w="9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81,440,669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1,831,267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(13,859)</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(617,950)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1,199,466</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(27,071)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(27,071)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restricted stock units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489,783 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adjustment for realized gain (loss) on available-for-sale securities, included in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81,930,494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1,867,467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(16,805)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(645,021)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1,205,649</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391,289 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adjustment for realized gain (loss) on available-for-sale securities, included in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January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82,322,110</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1,903,873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(12,434)</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(635,334)</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1,256,113</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59"/>
        <w:gridCol w:w="312"/>
        <w:gridCol w:w="313"/>
        <w:gridCol w:w="109"/>
        <w:gridCol w:w="109"/>
        <w:gridCol w:w="109"/>
        <w:gridCol w:w="488"/>
        <w:gridCol w:w="488"/>
        <w:gridCol w:w="196"/>
        <w:gridCol w:w="109"/>
        <w:gridCol w:w="109"/>
        <w:gridCol w:w="109"/>
        <w:gridCol w:w="241"/>
        <w:gridCol w:w="315"/>
        <w:gridCol w:w="135"/>
        <w:gridCol w:w="109"/>
        <w:gridCol w:w="109"/>
        <w:gridCol w:w="109"/>
        <w:gridCol w:w="196"/>
        <w:gridCol w:w="886"/>
        <w:gridCol w:w="109"/>
        <w:gridCol w:w="109"/>
        <w:gridCol w:w="109"/>
        <w:gridCol w:w="109"/>
        <w:gridCol w:w="244"/>
        <w:gridCol w:w="827"/>
        <w:gridCol w:w="137"/>
        <w:gridCol w:w="109"/>
        <w:gridCol w:w="109"/>
        <w:gridCol w:w="109"/>
        <w:gridCol w:w="209"/>
        <w:gridCol w:w="832"/>
        <w:gridCol w:w="116"/>
        <w:gridCol w:w="109"/>
        <w:gridCol w:w="109"/>
        <w:gridCol w:w="109"/>
        <w:gridCol w:w="196"/>
        <w:gridCol w:w="886"/>
        <w:gridCol w:w="158"/>
      </w:tblGrid>
      <w:tr>
        <w:trPr/>
        <w:tc>
          <w:tcPr>
            <w:tcW w:w="9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July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84,084,209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1,755,476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(19,845)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(283,982)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1,451,657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(69,318)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373,380 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and retirement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(2,581,478)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adjustment for realized gain (loss) on available-for-sale securities, included in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Adoption of Accounting Standards Update ("ASU") 2020-06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October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81,876,111</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1,682,722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(23,963)</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(473,606)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1,185,161</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336,440 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available-for-sale securities,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adjustment for realized gain (loss) on available-for-sale securities, included in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January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82,212,768</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1,719,020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(16,061)</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(482,795)</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1,220,172</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119"/>
        <w:gridCol w:w="1796"/>
        <w:gridCol w:w="1799"/>
        <w:gridCol w:w="359"/>
        <w:gridCol w:w="1348"/>
        <w:gridCol w:w="198"/>
        <w:gridCol w:w="198"/>
        <w:gridCol w:w="198"/>
        <w:gridCol w:w="198"/>
        <w:gridCol w:w="359"/>
        <w:gridCol w:w="1348"/>
        <w:gridCol w:w="285"/>
      </w:tblGrid>
      <w:tr>
        <w:trPr/>
        <w:tc>
          <w:tcPr>
            <w:tcW w:w="2119"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January 31,</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(78,507)</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contract costs</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72,524 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71,275 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to allowance for credit losses and revenue reserves</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(18,358)</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premium (accretion of discount) on available-for-sale securities, net</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strategic investment</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 affecting net income (loss)</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accounts receivable</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(29,460)</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compensation</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(39,657)</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(32,539)</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(26,291)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(5,717)</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(3,554)</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(86,215)</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available-for-sale securities</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(314,846)</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(270,329)</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and sales of available-for-sale securities</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267,416 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235,383 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strategic investments</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(5,841)</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of strategic investment</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(51,220)</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(48,842)</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upon exercise of stock options</w:t>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(199,998)</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cash equivalents, and restricted cash</w:t>
            </w:r>
          </w:p>
        </w:tc>
        <w:tc>
          <w:tcPr>
            <w:tcW w:w="1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(55,609)</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(333,114)</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CASH—Beginning of period</w:t>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406,790 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614,686 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CASH—End of period</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351,181 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281,572 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tbl>
      <w:tblPr>
        <w:tblW w:w="7658" w:type="dxa"/>
        <w:jc w:val="center"/>
        <w:tblInd w:w="0" w:type="dxa"/>
        <w:tblLayout w:type="fixed"/>
        <w:tblCellMar>
          <w:top w:w="28" w:type="dxa"/>
          <w:left w:w="28" w:type="dxa"/>
          <w:bottom w:w="28" w:type="dxa"/>
          <w:right w:w="28" w:type="dxa"/>
        </w:tblCellMar>
      </w:tblPr>
      <w:tblGrid>
        <w:gridCol w:w="2017"/>
        <w:gridCol w:w="1770"/>
        <w:gridCol w:w="1777"/>
        <w:gridCol w:w="196"/>
        <w:gridCol w:w="556"/>
        <w:gridCol w:w="109"/>
        <w:gridCol w:w="109"/>
        <w:gridCol w:w="109"/>
        <w:gridCol w:w="109"/>
        <w:gridCol w:w="196"/>
        <w:gridCol w:w="556"/>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 net of tax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Accruals for purchase of property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Accruals for capitalized software development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GUIDEWIRE SOFTWARE,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 The Company and Summary of Significant Accounting Policies and Estimates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Company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Guidewire Software, Inc., a Delaware corporation, was incorporated on September 20, 2001. Guidewire Software, Inc., together with its subsidiaries (the “Company”), provides a technology platform and suite of products which combine core operations, digital engagement, analytics, and machine learning and artificial intelligence (“AI”) applications. The Company’s technology platform and suite of products support core insurance operations, including underwriting, policy administration, claim management, and billing; insights into data that can improve business decision making; and digital sales, service, and claims experiences for policyholders, agents, and other key stakeholders. The Company’s customers are primarily property and casualty insurance carriers. The term “products” generally refers to both subscription services and term license software offerings.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Consolidation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financial statements have been prepared in accordance with generally accepted accounting principles in the United States of America (“GAAP”). The condensed consolidated financial statements and notes include the Company and its wholly-owned subsidiaries and reflect all adjustments (all of which are normal and recurring in nature) that, in the opinion of management, are necessary for a fair presentation of the interim periods presented. All intercompany balances and transactions have been eliminated in consolidation. Certain information and disclosures normally included in annual financial statements prepared in accordance with GAAP have been condensed or omitted under the rules and regulations of the SEC.</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condensed consolidated financial statements should be read in conjunction with the Company’s financial statements and related notes, together with management’s discussion and analysis of financial condition and results of operations, presented in the Company’s Annual Report on Form 10-K for the fiscal year ended July 31, 2023. </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the condensed consolidated financial statements and related disclosures in conformity with GAAP and pursuant to the rules and regulations of the SEC, the Company must make estimates and judgments that affect the amounts reported in the condensed consolidated financial statements and accompanying notes. Actual results may differ materially from these estimates.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the Company’s significant accounting policies from those that were disclosed in the Company’s consolidated financial statements included in its Annual Report on Form 10-K for the fiscal year ended July 31, 2023, except for those disclosed herein.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Unearned acquisition consideration holdback subject to service conditions is held in escrow and considered restricted cash. At January 31, 2024, restricted cash in the amount of $1.2 million was included in prepaid expenses and other current assets in the condensed consolidated balance sheet.</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of cash, cash equivalents, investments, accounts receivable, and unbilled accounts receivable. The Company maintains its cash, cash equivalents, and investments with high-quality financial institutions. The Company is exposed to credit risk for cash held in financial institutions in the event of a default to the extent that such amounts recorded in the condensed consolidated balance sheets are in excess of amounts that are insured by the Federal Deposit Insurance Corporation.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customer accounted for 10% or more of the Company's revenue in the three and six months ended January 31, 2024 and 2023. No customer accounted for 10% or more of the Company's accounts receivable as of January 31, 2024 and July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ASU 2023-07, Segment Reporting (Topic 280): Improvements to Reportable Segment Disclosures,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The new standard will be effective and the Company will adopt it for the annual period beginning August 1, 2024, and for the interim periods beginning after August 1, 2025 with early adoption permitted. The Company is currently assessing the impact of adopting this standard on the consolidated financial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Improvements to Income Tax Disclosures,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The new standard will be effective and the Company will adopt it beginning August 1, 2025 and early adoption is permitted. Upon adoption, the guidance can be applied prospectively or retrospectively. The Company is currently assessing the impact of adopting this standard on the consolidated financial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recent accounting pronouncements that will be applicable to the Company are not expected to have a material impact on its present or future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2. Revenue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service or product type is as follows (in thousands):</w:t>
      </w:r>
    </w:p>
    <w:tbl>
      <w:tblPr>
        <w:tblW w:w="7769" w:type="dxa"/>
        <w:jc w:val="left"/>
        <w:tblInd w:w="0" w:type="dxa"/>
        <w:tblLayout w:type="fixed"/>
        <w:tblCellMar>
          <w:top w:w="28" w:type="dxa"/>
          <w:left w:w="28" w:type="dxa"/>
          <w:bottom w:w="28" w:type="dxa"/>
          <w:right w:w="28" w:type="dxa"/>
        </w:tblCellMar>
      </w:tblPr>
      <w:tblGrid>
        <w:gridCol w:w="783"/>
        <w:gridCol w:w="687"/>
        <w:gridCol w:w="68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service or product type and by geography is as follows (in thousands):</w:t>
      </w:r>
    </w:p>
    <w:tbl>
      <w:tblPr>
        <w:tblW w:w="7838" w:type="dxa"/>
        <w:jc w:val="left"/>
        <w:tblInd w:w="0" w:type="dxa"/>
        <w:tblLayout w:type="fixed"/>
        <w:tblCellMar>
          <w:top w:w="28" w:type="dxa"/>
          <w:left w:w="28" w:type="dxa"/>
          <w:bottom w:w="28" w:type="dxa"/>
          <w:right w:w="28" w:type="dxa"/>
        </w:tblCellMar>
      </w:tblPr>
      <w:tblGrid>
        <w:gridCol w:w="495"/>
        <w:gridCol w:w="434"/>
        <w:gridCol w:w="436"/>
        <w:gridCol w:w="407"/>
        <w:gridCol w:w="1600"/>
        <w:gridCol w:w="212"/>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January 31, 2024</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Subscription and support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License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110,007 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EMEA</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APAC</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131,642 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tbl>
      <w:tblPr>
        <w:tblW w:w="7838" w:type="dxa"/>
        <w:jc w:val="left"/>
        <w:tblInd w:w="0" w:type="dxa"/>
        <w:tblLayout w:type="fixed"/>
        <w:tblCellMar>
          <w:top w:w="28" w:type="dxa"/>
          <w:left w:w="28" w:type="dxa"/>
          <w:bottom w:w="28" w:type="dxa"/>
          <w:right w:w="28" w:type="dxa"/>
        </w:tblCellMar>
      </w:tblPr>
      <w:tblGrid>
        <w:gridCol w:w="495"/>
        <w:gridCol w:w="434"/>
        <w:gridCol w:w="436"/>
        <w:gridCol w:w="407"/>
        <w:gridCol w:w="1600"/>
        <w:gridCol w:w="212"/>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January 31, 2023</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Subscription and support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License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90,361 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EMEA</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APAC</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105,754 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43" w:type="dxa"/>
        <w:jc w:val="left"/>
        <w:tblInd w:w="0" w:type="dxa"/>
        <w:tblLayout w:type="fixed"/>
        <w:tblCellMar>
          <w:top w:w="28" w:type="dxa"/>
          <w:left w:w="28" w:type="dxa"/>
          <w:bottom w:w="28" w:type="dxa"/>
          <w:right w:w="28" w:type="dxa"/>
        </w:tblCellMar>
      </w:tblPr>
      <w:tblGrid>
        <w:gridCol w:w="495"/>
        <w:gridCol w:w="434"/>
        <w:gridCol w:w="436"/>
        <w:gridCol w:w="407"/>
        <w:gridCol w:w="1600"/>
        <w:gridCol w:w="212"/>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8"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January 31, 2024</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Subscription and support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License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176,926 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216,690 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EMEA</w:t>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APAC</w:t>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259,269 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tbl>
      <w:tblPr>
        <w:tblW w:w="8375" w:type="dxa"/>
        <w:jc w:val="left"/>
        <w:tblInd w:w="0" w:type="dxa"/>
        <w:tblLayout w:type="fixed"/>
        <w:tblCellMar>
          <w:top w:w="28" w:type="dxa"/>
          <w:left w:w="28" w:type="dxa"/>
          <w:bottom w:w="28" w:type="dxa"/>
          <w:right w:w="28" w:type="dxa"/>
        </w:tblCellMar>
      </w:tblPr>
      <w:tblGrid>
        <w:gridCol w:w="495"/>
        <w:gridCol w:w="434"/>
        <w:gridCol w:w="436"/>
        <w:gridCol w:w="109"/>
        <w:gridCol w:w="109"/>
        <w:gridCol w:w="109"/>
        <w:gridCol w:w="407"/>
        <w:gridCol w:w="1600"/>
        <w:gridCol w:w="21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January 31, 2023</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Subscription and support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License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138,425 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Americas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Americas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174,968 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EMEA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APAC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204,822 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country or region, other than those presented above, accounted for more than 10% of total revenue during the three and six months ended January 31, 2024 and 2023.</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 xml:space="preserve">Customer Contract </w:t>
      </w:r>
      <w:r>
        <w:rPr>
          <w:color w:val="008080"/>
        </w:rPr>
        <w:t>–</w:t>
      </w:r>
      <w:r>
        <w:rPr>
          <w:color w:val="000000"/>
        </w:rPr>
        <w:t xml:space="preserve"> </w:t>
      </w:r>
      <w:r>
        <w:rPr>
          <w:rFonts w:ascii="Times New Roman;sans-serif" w:hAnsi="Times New Roman;sans-serif"/>
          <w:b/>
          <w:i/>
          <w:color w:val="000000"/>
          <w:sz w:val="20"/>
        </w:rPr>
        <w:t>Related Balance Sheet Amounts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Amounts related to customer contract-related arrangements are included on the condensed consolidated balance sheets as follows (in thousands):</w:t>
      </w:r>
    </w:p>
    <w:tbl>
      <w:tblPr>
        <w:tblW w:w="6040" w:type="dxa"/>
        <w:jc w:val="left"/>
        <w:tblInd w:w="0" w:type="dxa"/>
        <w:tblLayout w:type="fixed"/>
        <w:tblCellMar>
          <w:top w:w="28" w:type="dxa"/>
          <w:left w:w="28" w:type="dxa"/>
          <w:bottom w:w="28" w:type="dxa"/>
          <w:right w:w="28" w:type="dxa"/>
        </w:tblCellMar>
      </w:tblPr>
      <w:tblGrid>
        <w:gridCol w:w="1026"/>
        <w:gridCol w:w="902"/>
        <w:gridCol w:w="907"/>
        <w:gridCol w:w="292"/>
        <w:gridCol w:w="1146"/>
        <w:gridCol w:w="151"/>
        <w:gridCol w:w="109"/>
        <w:gridCol w:w="109"/>
        <w:gridCol w:w="109"/>
        <w:gridCol w:w="228"/>
        <w:gridCol w:w="895"/>
        <w:gridCol w:w="166"/>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2023</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 net</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97,762 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costs, net</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199,155 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31, 2024 and July 31, 2023, there was no allowance for credit losses associated with unbilled accounts receivable. </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portion of contract costs of $15.8 million and $15.9 million is included in prepaid and other current assets in the Company’s condensed consolidated balance sheets as of January 31, 2024 and July 31, 2023, respectively. The non-current portion of contract costs of $30.7 million and $31.3 million is included in other assets in the Company’s condensed consolidated balance sheets as of January 31, 2024 and July 31, 2023, respectively. The Company amortized $4.7 million and $4.1 million of contract costs during the three months ended January 31, 2024 and 2023, respectively, and amortized $8.7 million and $8.6 million during the six months ended January 31, 2024 and 2023, respectively.</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January 31, 2024, the Company recognized revenue of approximately $56.9 million and $151.8 million, respectively, related to the Company’s deferred revenue balance reported as of July 31, 2023.</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amount of consideration allocated to remaining performance obligations either not satisfied or partially satisfied was approximately $1.5 billion as of January 31, 2024. Subscription services are typically satisfied over three to five years, support services are generally satisfied within one year, and professional services are typically satisfied within one year. Professional services under time and material contracts are not included in the remaining performance obligations calculation as these arrangements can be cancelled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3. Fair Value of Financial Instruments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Available-for-sale investments within cash equivalents and investments consist of the following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tbl>
      <w:tblPr>
        <w:tblW w:w="10205" w:type="dxa"/>
        <w:jc w:val="left"/>
        <w:tblInd w:w="0" w:type="dxa"/>
        <w:tblLayout w:type="fixed"/>
        <w:tblCellMar>
          <w:top w:w="28" w:type="dxa"/>
          <w:left w:w="28" w:type="dxa"/>
          <w:bottom w:w="28" w:type="dxa"/>
          <w:right w:w="28" w:type="dxa"/>
        </w:tblCellMar>
      </w:tblPr>
      <w:tblGrid>
        <w:gridCol w:w="1014"/>
        <w:gridCol w:w="891"/>
        <w:gridCol w:w="894"/>
        <w:gridCol w:w="257"/>
        <w:gridCol w:w="1011"/>
        <w:gridCol w:w="132"/>
        <w:gridCol w:w="109"/>
        <w:gridCol w:w="109"/>
        <w:gridCol w:w="109"/>
        <w:gridCol w:w="344"/>
        <w:gridCol w:w="1006"/>
        <w:gridCol w:w="179"/>
        <w:gridCol w:w="109"/>
        <w:gridCol w:w="109"/>
        <w:gridCol w:w="109"/>
        <w:gridCol w:w="349"/>
        <w:gridCol w:w="1054"/>
        <w:gridCol w:w="182"/>
        <w:gridCol w:w="109"/>
        <w:gridCol w:w="109"/>
        <w:gridCol w:w="109"/>
        <w:gridCol w:w="337"/>
        <w:gridCol w:w="1320"/>
        <w:gridCol w:w="254"/>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2024</w:t>
            </w:r>
          </w:p>
        </w:tc>
      </w:tr>
      <w:tr>
        <w:trPr/>
        <w:tc>
          <w:tcPr>
            <w:tcW w:w="2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41,477 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162,569 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250,289 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1" w:type="dxa"/>
            <w:gridSpan w:val="3"/>
            <w:tcBorders/>
            <w:vAlign w:val="center"/>
          </w:tcPr>
          <w:p>
            <w:pPr>
              <w:pStyle w:val="TableContents"/>
              <w:bidi w:val="0"/>
              <w:spacing w:before="0" w:after="283"/>
              <w:jc w:val="left"/>
              <w:rPr>
                <w:sz w:val="4"/>
                <w:szCs w:val="4"/>
              </w:rPr>
            </w:pPr>
            <w:r>
              <w:rPr>
                <w:sz w:val="4"/>
                <w:szCs w:val="4"/>
              </w:rPr>
            </w:r>
          </w:p>
        </w:tc>
      </w:tr>
      <w:tr>
        <w:trPr/>
        <w:tc>
          <w:tcPr>
            <w:tcW w:w="2799"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1" w:type="dxa"/>
            <w:gridSpan w:val="3"/>
            <w:tcBorders/>
            <w:vAlign w:val="center"/>
          </w:tcPr>
          <w:p>
            <w:pPr>
              <w:pStyle w:val="TableContents"/>
              <w:bidi w:val="0"/>
              <w:spacing w:before="0" w:after="283"/>
              <w:jc w:val="left"/>
              <w:rPr>
                <w:sz w:val="4"/>
                <w:szCs w:val="4"/>
              </w:rPr>
            </w:pPr>
            <w:r>
              <w:rPr>
                <w:sz w:val="4"/>
                <w:szCs w:val="4"/>
              </w:rPr>
            </w:r>
          </w:p>
        </w:tc>
      </w:tr>
      <w:tr>
        <w:trPr/>
        <w:tc>
          <w:tcPr>
            <w:tcW w:w="2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822,010 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822,031 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7"/>
        <w:gridCol w:w="875"/>
        <w:gridCol w:w="879"/>
        <w:gridCol w:w="256"/>
        <w:gridCol w:w="1005"/>
        <w:gridCol w:w="132"/>
        <w:gridCol w:w="109"/>
        <w:gridCol w:w="109"/>
        <w:gridCol w:w="109"/>
        <w:gridCol w:w="468"/>
        <w:gridCol w:w="804"/>
        <w:gridCol w:w="244"/>
        <w:gridCol w:w="109"/>
        <w:gridCol w:w="109"/>
        <w:gridCol w:w="109"/>
        <w:gridCol w:w="345"/>
        <w:gridCol w:w="1043"/>
        <w:gridCol w:w="180"/>
        <w:gridCol w:w="109"/>
        <w:gridCol w:w="109"/>
        <w:gridCol w:w="109"/>
        <w:gridCol w:w="337"/>
        <w:gridCol w:w="1324"/>
        <w:gridCol w:w="174"/>
        <w:gridCol w:w="161"/>
      </w:tblGrid>
      <w:tr>
        <w:trPr/>
        <w:tc>
          <w:tcPr>
            <w:tcW w:w="99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844,437 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841,098 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consider any portion of the unrealized losses at January 31, 2024 to be credit losses. The Company has recorded the securities at fair value in its condensed consolidated balance sheets, with unrealized gains and losses reported as a component of accumulated other comprehensive income (loss). The amount of unrealized gains and losses reclassified into earnings is based on the specific identification of the securities sold. The realized gains and losses from sales of securities are presented in the condensed consolidated statements of comprehensive income (loss).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contractual maturities of the Company’s available-for-sale investments measured at fair value (in thousands): </w:t>
      </w:r>
    </w:p>
    <w:tbl>
      <w:tblPr>
        <w:tblW w:w="8638" w:type="dxa"/>
        <w:jc w:val="left"/>
        <w:tblInd w:w="0" w:type="dxa"/>
        <w:tblLayout w:type="fixed"/>
        <w:tblCellMar>
          <w:top w:w="28" w:type="dxa"/>
          <w:left w:w="28" w:type="dxa"/>
          <w:bottom w:w="28" w:type="dxa"/>
          <w:right w:w="28" w:type="dxa"/>
        </w:tblCellMar>
      </w:tblPr>
      <w:tblGrid>
        <w:gridCol w:w="1065"/>
        <w:gridCol w:w="935"/>
        <w:gridCol w:w="939"/>
        <w:gridCol w:w="350"/>
        <w:gridCol w:w="1373"/>
        <w:gridCol w:w="181"/>
        <w:gridCol w:w="109"/>
        <w:gridCol w:w="109"/>
        <w:gridCol w:w="109"/>
        <w:gridCol w:w="359"/>
        <w:gridCol w:w="1406"/>
        <w:gridCol w:w="185"/>
        <w:gridCol w:w="109"/>
        <w:gridCol w:w="109"/>
        <w:gridCol w:w="109"/>
        <w:gridCol w:w="211"/>
        <w:gridCol w:w="82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2024</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162,569 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666,970 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Available-for-sale investments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available-for-sale investments measured at fair value, by level within the fair value hierarchy (in thousands):</w:t>
      </w:r>
    </w:p>
    <w:tbl>
      <w:tblPr>
        <w:tblW w:w="8138" w:type="dxa"/>
        <w:jc w:val="left"/>
        <w:tblInd w:w="0" w:type="dxa"/>
        <w:tblLayout w:type="fixed"/>
        <w:tblCellMar>
          <w:top w:w="28" w:type="dxa"/>
          <w:left w:w="28" w:type="dxa"/>
          <w:bottom w:w="28" w:type="dxa"/>
          <w:right w:w="28" w:type="dxa"/>
        </w:tblCellMar>
      </w:tblPr>
      <w:tblGrid>
        <w:gridCol w:w="1063"/>
        <w:gridCol w:w="937"/>
        <w:gridCol w:w="940"/>
        <w:gridCol w:w="211"/>
        <w:gridCol w:w="826"/>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2024</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short-term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tbl>
      <w:tblPr>
        <w:tblW w:w="8137" w:type="dxa"/>
        <w:jc w:val="left"/>
        <w:tblInd w:w="0" w:type="dxa"/>
        <w:tblLayout w:type="fixed"/>
        <w:tblCellMar>
          <w:top w:w="28" w:type="dxa"/>
          <w:left w:w="28" w:type="dxa"/>
          <w:bottom w:w="28" w:type="dxa"/>
          <w:right w:w="28" w:type="dxa"/>
        </w:tblCellMar>
      </w:tblPr>
      <w:tblGrid>
        <w:gridCol w:w="1062"/>
        <w:gridCol w:w="936"/>
        <w:gridCol w:w="941"/>
        <w:gridCol w:w="211"/>
        <w:gridCol w:w="826"/>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2023</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156,396 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short-term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Convertible Senior Notes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2018, the Company issued $400.0 million aggregate principal amount of 1.25% Convertible Senior Notes due 2025 (the “Convertible Senior Notes”). The fair value of the Convertible Senior Notes was $444.0 million and $388.2 million at January 31, 2024 and July 31, 2023, respectively. The Company estimates the fair value of the Convertible Senior Notes using commonly accepted valuation methodologies and market-based risk measurements that are directly observable, such as unadjusted quoted prices in markets that are not active (Level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Strategic Investments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other assets include strategic investments in privately-held companies in which the Company does not have a controlling interest or the ability to exert significant influence. The strategic investments consist of non-marketable equity securities that do not have readily determinable market values (Level 3), which are recorded using the measurement alternative at cost less impairment and adjusts cost for subsequent observable changes in fair value, and an investment in a limited partnership, which is recorded using the net asset value practical expedient (Level 3) in accordance with ASC 820. Changes in fair value are recorded in other income (expense) on the condensed consolidated statements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January 31, 2024, the Company invested $0.2 million in a new strategic investment.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January 31, 2024, one of the Company’s investees was acquired by a privately-held limited partnership. As a result, the Company received $12.1 million in consideration for its equity interest in the investee, composed of $6.5 million cash and $5.6 million of an ownership interest in the privately-held limited partnership, and recognized a $1.8 million gain in excess of cost in other income (expense), net on the condensed consolidated statements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carrying amount of the Company’s strategic investments (in thousands):</w:t>
      </w:r>
    </w:p>
    <w:tbl>
      <w:tblPr>
        <w:tblW w:w="7721" w:type="dxa"/>
        <w:jc w:val="left"/>
        <w:tblInd w:w="0" w:type="dxa"/>
        <w:tblLayout w:type="fixed"/>
        <w:tblCellMar>
          <w:top w:w="28" w:type="dxa"/>
          <w:left w:w="28" w:type="dxa"/>
          <w:bottom w:w="28" w:type="dxa"/>
          <w:right w:w="28" w:type="dxa"/>
        </w:tblCellMar>
      </w:tblPr>
      <w:tblGrid>
        <w:gridCol w:w="1637"/>
        <w:gridCol w:w="1435"/>
        <w:gridCol w:w="1443"/>
        <w:gridCol w:w="322"/>
        <w:gridCol w:w="1101"/>
        <w:gridCol w:w="166"/>
        <w:gridCol w:w="109"/>
        <w:gridCol w:w="109"/>
        <w:gridCol w:w="109"/>
        <w:gridCol w:w="250"/>
        <w:gridCol w:w="857"/>
        <w:gridCol w:w="183"/>
      </w:tblGrid>
      <w:tr>
        <w:trPr/>
        <w:tc>
          <w:tcPr>
            <w:tcW w:w="1637"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2023</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using the measurement alternative</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using net asset value</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impairment charge or unrealized gain or loss related to strategic investments were recognized during the three and six months ended January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4. Net Income (Loss) Per Share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basic earnings per share by dividing the net income (loss) by the weighted average number of shares of common stock outstanding for the period. For calculating diluted earnings per share, the Company uses the treasury stock method for options to purchase common stock and Stock Awards and the if-converted method for Convertible Senior Notes.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income (loss) per share for the three and six months ended January 31, 2024 and 2023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82"/>
        <w:gridCol w:w="1364"/>
        <w:gridCol w:w="1372"/>
        <w:gridCol w:w="275"/>
        <w:gridCol w:w="806"/>
        <w:gridCol w:w="109"/>
        <w:gridCol w:w="109"/>
        <w:gridCol w:w="109"/>
        <w:gridCol w:w="109"/>
        <w:gridCol w:w="270"/>
        <w:gridCol w:w="811"/>
        <w:gridCol w:w="109"/>
        <w:gridCol w:w="109"/>
        <w:gridCol w:w="109"/>
        <w:gridCol w:w="109"/>
        <w:gridCol w:w="240"/>
        <w:gridCol w:w="841"/>
        <w:gridCol w:w="109"/>
        <w:gridCol w:w="109"/>
        <w:gridCol w:w="109"/>
        <w:gridCol w:w="109"/>
        <w:gridCol w:w="240"/>
        <w:gridCol w:w="841"/>
        <w:gridCol w:w="155"/>
      </w:tblGrid>
      <w:tr>
        <w:trPr/>
        <w:tc>
          <w:tcPr>
            <w:tcW w:w="168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(loss)</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Basic</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2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income (loss)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81,912,272 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82,686,420 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Weighted average effect of dilutive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Weighted average effect of dilutive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Diluted</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83,305,080 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82,051,867 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81,912,272 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82,686,420 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weighted average shares of potential common stock were excluded from the computation of diluted net income (loss) per share for the periods presented because including them would have been anti-dilutive:</w:t>
      </w:r>
    </w:p>
    <w:tbl>
      <w:tblPr>
        <w:tblW w:w="8425" w:type="dxa"/>
        <w:jc w:val="left"/>
        <w:tblInd w:w="0" w:type="dxa"/>
        <w:tblLayout w:type="fixed"/>
        <w:tblCellMar>
          <w:top w:w="28" w:type="dxa"/>
          <w:left w:w="28" w:type="dxa"/>
          <w:bottom w:w="28" w:type="dxa"/>
          <w:right w:w="28" w:type="dxa"/>
        </w:tblCellMar>
      </w:tblPr>
      <w:tblGrid>
        <w:gridCol w:w="764"/>
        <w:gridCol w:w="673"/>
        <w:gridCol w:w="678"/>
        <w:gridCol w:w="488"/>
        <w:gridCol w:w="488"/>
        <w:gridCol w:w="208"/>
        <w:gridCol w:w="208"/>
        <w:gridCol w:w="208"/>
        <w:gridCol w:w="208"/>
        <w:gridCol w:w="487"/>
        <w:gridCol w:w="489"/>
        <w:gridCol w:w="208"/>
        <w:gridCol w:w="109"/>
        <w:gridCol w:w="109"/>
        <w:gridCol w:w="109"/>
        <w:gridCol w:w="488"/>
        <w:gridCol w:w="488"/>
        <w:gridCol w:w="253"/>
        <w:gridCol w:w="178"/>
        <w:gridCol w:w="178"/>
        <w:gridCol w:w="178"/>
        <w:gridCol w:w="487"/>
        <w:gridCol w:w="489"/>
        <w:gridCol w:w="252"/>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184,669</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14,746 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502,562 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1,960,572 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3,299,881 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1,664,469 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3,516,480 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3,516,480 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3,516,480 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3,516,480 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January 31, 2024 and 2023, the average market price of the Company’s common stock did not exceed the initial conversion price of the Convertible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5. Commitments and Contingencies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Company’s contractual obligations and commitments other than in the ordinary course of business since the Company’s fiscal year ended July 31, 2023.</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the Company’s Annual Report on Form 10-K for the fiscal year ended July 31, 2023 for additional information regarding the Company’s contractual obligations.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various legal proceedings and receives claims, arising from the normal course of business activities. The Company has not recorded any accrual for claims as of January 31, 2024 or July 31, 2023. The Company has not accrued for estimated losses in the accompanying condensed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The Company expenses legal fees in the period in which they are incurred.</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sells software licenses and services to its customers under Software License Agreements (“SLA”) and Software Subscription Agreements (“SSA”). SLAs and SSAs contain the terms of the contractual arrangement with the customer and generally include certain provisions for defending the customer against any claims that the Company’s software infringes upon a patent, copyright, trademark, or other proprietary right of a third party, and in the case of SSAs, the Company may include certain provisions for limited liability for defending the customer against any claims for a data breach. SLAs and SSAs also generally indemnify the customer against judgments, settlements, fines, penalties, costs, and expenses resulting from a claim (“Losses”) against the customer in the event the Company’s software is found to infringe upon such third-party rights.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had to reimburse any of its customers for Losses related to indemnification provisions and no material claims against the Company were outstanding as of January 31, 2024 or July 31, 2023.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6. Stock-Based Compensation Expense and Shareholders’ Equity</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stock options and Stock Awards is included in the Company’s condensed consolidated statements of operations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tbl>
      <w:tblPr>
        <w:tblW w:w="10205" w:type="dxa"/>
        <w:jc w:val="left"/>
        <w:tblInd w:w="0" w:type="dxa"/>
        <w:tblLayout w:type="fixed"/>
        <w:tblCellMar>
          <w:top w:w="28" w:type="dxa"/>
          <w:left w:w="28" w:type="dxa"/>
          <w:bottom w:w="28" w:type="dxa"/>
          <w:right w:w="28" w:type="dxa"/>
        </w:tblCellMar>
      </w:tblPr>
      <w:tblGrid>
        <w:gridCol w:w="1821"/>
        <w:gridCol w:w="1592"/>
        <w:gridCol w:w="160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21"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impact of deferred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stock-based compensation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included in the following categories: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support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license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unrecognized stock-based compensation expense related to the Company’s stock options and Stock Awards as of January 31, 2024 is as follows:</w:t>
      </w:r>
    </w:p>
    <w:tbl>
      <w:tblPr>
        <w:tblW w:w="10205" w:type="dxa"/>
        <w:jc w:val="left"/>
        <w:tblInd w:w="0" w:type="dxa"/>
        <w:tblLayout w:type="fixed"/>
        <w:tblCellMar>
          <w:top w:w="28" w:type="dxa"/>
          <w:left w:w="28" w:type="dxa"/>
          <w:bottom w:w="28" w:type="dxa"/>
          <w:right w:w="28" w:type="dxa"/>
        </w:tblCellMar>
      </w:tblPr>
      <w:tblGrid>
        <w:gridCol w:w="1639"/>
        <w:gridCol w:w="1443"/>
        <w:gridCol w:w="1450"/>
        <w:gridCol w:w="314"/>
        <w:gridCol w:w="1235"/>
        <w:gridCol w:w="162"/>
        <w:gridCol w:w="109"/>
        <w:gridCol w:w="109"/>
        <w:gridCol w:w="109"/>
        <w:gridCol w:w="1063"/>
        <w:gridCol w:w="1063"/>
        <w:gridCol w:w="1509"/>
      </w:tblGrid>
      <w:tr>
        <w:trPr/>
        <w:tc>
          <w:tcPr>
            <w:tcW w:w="163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r>
      <w:tr>
        <w:trPr/>
        <w:tc>
          <w:tcPr>
            <w:tcW w:w="4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Expense</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Average Expected Recognition Period </w:t>
              <w:br/>
              <w:t>(in years)</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stock-based compensation expense</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311,551 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Stock Awards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Stock Awards activity under the Company’s equity incentive plans is as follows:</w:t>
      </w:r>
    </w:p>
    <w:tbl>
      <w:tblPr>
        <w:tblW w:w="10205" w:type="dxa"/>
        <w:jc w:val="left"/>
        <w:tblInd w:w="0" w:type="dxa"/>
        <w:tblLayout w:type="fixed"/>
        <w:tblCellMar>
          <w:top w:w="28" w:type="dxa"/>
          <w:left w:w="28" w:type="dxa"/>
          <w:bottom w:w="28" w:type="dxa"/>
          <w:right w:w="28" w:type="dxa"/>
        </w:tblCellMar>
      </w:tblPr>
      <w:tblGrid>
        <w:gridCol w:w="820"/>
        <w:gridCol w:w="675"/>
        <w:gridCol w:w="681"/>
        <w:gridCol w:w="869"/>
        <w:gridCol w:w="767"/>
        <w:gridCol w:w="769"/>
        <w:gridCol w:w="109"/>
        <w:gridCol w:w="109"/>
        <w:gridCol w:w="109"/>
        <w:gridCol w:w="542"/>
        <w:gridCol w:w="1584"/>
        <w:gridCol w:w="281"/>
        <w:gridCol w:w="109"/>
        <w:gridCol w:w="109"/>
        <w:gridCol w:w="109"/>
        <w:gridCol w:w="452"/>
        <w:gridCol w:w="1774"/>
        <w:gridCol w:w="337"/>
      </w:tblGrid>
      <w:tr>
        <w:trPr/>
        <w:tc>
          <w:tcPr>
            <w:tcW w:w="82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9"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Stock Awards Outstanding</w:t>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Number of Stock Awards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Weighted Average Grant Date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0"/>
              </w:rPr>
              <w:t>Aggregate Intrinsic Value (in thousands)</w:t>
            </w:r>
            <w:r>
              <w:rPr>
                <w:rFonts w:ascii="Times New Roman;sans-serif" w:hAnsi="Times New Roman;sans-serif"/>
                <w:b/>
                <w:color w:val="000000"/>
                <w:sz w:val="13"/>
              </w:rPr>
              <w:t>(1)</w:t>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2023</w:t>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3,414,706 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289,635 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1,559,426 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(881,072)</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82,848 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(156,813)</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2024</w:t>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3,936,247 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439,600 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as of January 31, 2024</w:t>
            </w:r>
          </w:p>
        </w:tc>
        <w:tc>
          <w:tcPr>
            <w:tcW w:w="163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3,936,247 </w:t>
            </w:r>
          </w:p>
        </w:tc>
        <w:tc>
          <w:tcPr>
            <w:tcW w:w="7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439,600 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Aggregate intrinsic value at each period end represents the total market value of Stock Awards at the Company’s closing stock price of $111.68 and $84.82 on January 31, 2024 and July 31, 2023, respectively. Aggregate intrinsic value for released Stock Awards represents the total market value of released Stock Awards at date of release.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2023, certain executive officers were granted Stock Awards that vest in September 2026, subject to continued service until such time, with the opportunity to increase the number of vested awards based on Company financial performance and, for a select number of awards, the market performance of the Company’s common stock. The fair value of the awards will be recognized over the performance period and may increase or decrease depending on the estimated attainment of Company financial performance criteria. The Company determined the fair value of the portion of the award subject to the market performance of the Company’s common stock using a Monte Carlo simulation model, which included the following assumptions:</w:t>
      </w:r>
    </w:p>
    <w:tbl>
      <w:tblPr>
        <w:tblW w:w="6499" w:type="dxa"/>
        <w:jc w:val="left"/>
        <w:tblInd w:w="0" w:type="dxa"/>
        <w:tblLayout w:type="fixed"/>
        <w:tblCellMar>
          <w:top w:w="28" w:type="dxa"/>
          <w:left w:w="28" w:type="dxa"/>
          <w:bottom w:w="28" w:type="dxa"/>
          <w:right w:w="28" w:type="dxa"/>
        </w:tblCellMar>
      </w:tblPr>
      <w:tblGrid>
        <w:gridCol w:w="837"/>
        <w:gridCol w:w="734"/>
        <w:gridCol w:w="738"/>
        <w:gridCol w:w="109"/>
        <w:gridCol w:w="109"/>
        <w:gridCol w:w="109"/>
        <w:gridCol w:w="1199"/>
        <w:gridCol w:w="1199"/>
        <w:gridCol w:w="1202"/>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13, 2023 to September 13,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3-year Historical 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3-year Risk Free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portion of the award subject to the market performance of the Company’s common stock, stock-based compensation expense is recognized over the requisite service period regardless of whether or not the market condition is ultimately satisfied, subject to continued service over the period.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fiscal year 2024, certain executives and employees of the Company received PSUs, which will vest over three years with 50% vesting annually over the three year period and the remaining 50% vesting at the end of the third year.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related to PSUs of $3.0 million and $3.2 million during the three months ended January 31, 2024 and 2023, respectively, and $7.1 million and $7.2 million during the six months ended January 31, 2024 and 2023, respectively.</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under the Company’s equity incentive plans is as follows:</w:t>
      </w:r>
    </w:p>
    <w:tbl>
      <w:tblPr>
        <w:tblW w:w="10205" w:type="dxa"/>
        <w:jc w:val="left"/>
        <w:tblInd w:w="0" w:type="dxa"/>
        <w:tblLayout w:type="fixed"/>
        <w:tblCellMar>
          <w:top w:w="28" w:type="dxa"/>
          <w:left w:w="28" w:type="dxa"/>
          <w:bottom w:w="28" w:type="dxa"/>
          <w:right w:w="28" w:type="dxa"/>
        </w:tblCellMar>
      </w:tblPr>
      <w:tblGrid>
        <w:gridCol w:w="875"/>
        <w:gridCol w:w="597"/>
        <w:gridCol w:w="602"/>
        <w:gridCol w:w="659"/>
        <w:gridCol w:w="614"/>
        <w:gridCol w:w="616"/>
        <w:gridCol w:w="109"/>
        <w:gridCol w:w="109"/>
        <w:gridCol w:w="109"/>
        <w:gridCol w:w="365"/>
        <w:gridCol w:w="1067"/>
        <w:gridCol w:w="189"/>
        <w:gridCol w:w="109"/>
        <w:gridCol w:w="109"/>
        <w:gridCol w:w="109"/>
        <w:gridCol w:w="690"/>
        <w:gridCol w:w="690"/>
        <w:gridCol w:w="692"/>
        <w:gridCol w:w="109"/>
        <w:gridCol w:w="109"/>
        <w:gridCol w:w="109"/>
        <w:gridCol w:w="334"/>
        <w:gridCol w:w="980"/>
        <w:gridCol w:w="254"/>
      </w:tblGrid>
      <w:tr>
        <w:trPr/>
        <w:tc>
          <w:tcPr>
            <w:tcW w:w="87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1" w:type="dxa"/>
            <w:gridSpan w:val="21"/>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Stock Options Outstanding</w:t>
            </w:r>
          </w:p>
        </w:tc>
      </w:tr>
      <w:tr>
        <w:trPr/>
        <w:tc>
          <w:tcPr>
            <w:tcW w:w="2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Number of Stock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20"/>
              </w:rPr>
              <w:t>Aggregate Intrinsic Value</w:t>
            </w:r>
            <w:r>
              <w:rPr>
                <w:rFonts w:ascii="Times New Roman;sans-serif" w:hAnsi="Times New Roman;sans-serif"/>
                <w:b/>
                <w:color w:val="000000"/>
                <w:sz w:val="13"/>
              </w:rPr>
              <w:t>(1)</w:t>
            </w:r>
          </w:p>
        </w:tc>
      </w:tr>
      <w:tr>
        <w:trPr/>
        <w:tc>
          <w:tcPr>
            <w:tcW w:w="2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(in thousands)</w:t>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2023</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187,572 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2024</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181,986 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January 31, 2024</w:t>
            </w:r>
          </w:p>
        </w:tc>
        <w:tc>
          <w:tcPr>
            <w:tcW w:w="12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181,986 </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January 31, 2024</w:t>
            </w:r>
          </w:p>
        </w:tc>
        <w:tc>
          <w:tcPr>
            <w:tcW w:w="127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7,855 </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Aggregate intrinsic value at each period end represents the difference between the Company’s closing stock price of $111.68 and $84.82 on January 31, 2024 and July 31, 2023, respectively, and the exercise price of outstanding options. Aggregate intrinsic value for exercised options represents the difference between the Company’s stock price at date of exercise and the exercise price.</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the Company's board of directors authorized and approved a share repurchase program of up to $400.0 million of the Company's outstanding common stock. Share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w:t>
      </w:r>
    </w:p>
    <w:p>
      <w:pPr>
        <w:pStyle w:val="TextBody"/>
        <w:bidi w:val="0"/>
        <w:spacing w:lineRule="auto" w:line="288"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January 31, 2024, the Company did not repurchase any shares of common stock. During the three months ended January 31, 2023, the Company did not repurchase any shares of common stock. During the six months ended January 31, 2023, the Company repurchased 2,581,478 shares of common stock.</w:t>
      </w:r>
    </w:p>
    <w:p>
      <w:pPr>
        <w:pStyle w:val="TextBody"/>
        <w:bidi w:val="0"/>
        <w:spacing w:lineRule="auto" w:line="288"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$138.2 million remained available for future share repurchases.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fiscal year 2023, the Company entered into an accelerated share repurchase (“ASR”) agreement with a large financial institution whereupon the Company provided them with a prepayment of $200.0 million and received an initial delivery of 2,581,478 shares of the Company’s common stock. In the third quarter of fiscal year 2023, the ASR was settled in full with the delivery of an additional 648,001 shares of common stock which resulted in total repurchases under the ASR of 3,229,479 shares of common stock at an average purchase price of $61.93 per share.</w:t>
      </w:r>
    </w:p>
    <w:p>
      <w:pPr>
        <w:pStyle w:val="TextBody"/>
        <w:bidi w:val="0"/>
        <w:spacing w:before="60" w:after="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should be read in conjunction with our condensed consolidated financial statements and the related notes thereto included elsewhere in this Quarterly Report on Form 10-Q and the Risk Factors included in Item 1A of Part II of this Quarterly Report on Form 10-Q. All information presented herein is based on our fiscal calendar. Unless otherwise stated, references in this report to particular years or quarters refer to our fiscal years ended in July and the associated quarters of those fiscal years. We assume no obligation to revise or update any forward-looking statements for any reason,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Guidewire delivers a platform and a suite of products that property and casualty (“P&amp;C”) insurers trust to engage, innovate, and grow efficiently. Guidewire’s platform combines core operations, digital engagement, analytics, and machine learning and artificial intelligence (“AI”) applications delivered as a cloud service or self-managed software. As a partner to our customers, we continually evolve to enable their success and assist them in navigating a rapidly changing insurance market.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core products are InsuranceSuite Cloud, InsuranceNow, and InsuranceSuite for self-managed installations. These products are transactional systems of record that support the entire insurance lifecycle, including insurance product definition, distribution, underwriting, policyholder services, and claims management. We also sell digital engagement and analytics products. Our digital engagement products enable digital sales, omni-channel service, and enhanced claims experiences for policyholders, agents, vendor partners, and field personnel. Our analytics offerings enable insurers to manage data more effectively, gain insights into their business, drive operational efficiencies, and underwrite new and evolving risks. To support P&amp;C insurers globally, we have localized, and will continue to localize, our suite of products for use in a variety of international regulatory, language, and currency environments.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InsuranceSuite Cloud is a highly configurable and scalable product, delivered as a service, and primarily comprised of three core applications (PolicyCenter Cloud, BillingCenter Cloud, and ClaimCenter Cloud) that can be subscribed to separately or together. These applications are built on and optimized for our Guidewire Cloud Platform (“GWCP”) architecture and leverage our in-house cloud operations team. InsuranceSuite Cloud is designed to support multiple releases each year to ensure that cloud customers remain on the latest version and gain fast access to our innovation efforts. Additionally, InsuranceSuite Cloud embeds digital and analytics capabilities natively into our platform. Most new sales and implementations are for InsuranceSuite Cloud.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InsuranceNow is a complete, cloud-based application that offers policy, billing, and claims management functionality to insurers. </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InsuranceSuite for self-managed installations is comprised of three core applications (PolicyCenter, BillingCenter, and ClaimCenter) that can be licensed separately or together and can be deployed and updated by our customers and their implementation partners.</w:t>
      </w:r>
      <w:r>
        <w:rPr>
          <w:color w:val="000000"/>
        </w:rPr>
        <w:t xml:space="preserve"> </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Our customers range from some of the largest global insurance companies or their subsidiaries to predominantly national or local insurers that serve specific states and/or regions.</w:t>
      </w:r>
      <w:r>
        <w:rPr>
          <w:color w:val="000000"/>
        </w:rPr>
        <w:t xml:space="preserve"> </w:t>
      </w:r>
      <w:r>
        <w:rPr>
          <w:rFonts w:ascii="Times New Roman;sans-serif" w:hAnsi="Times New Roman;sans-serif"/>
          <w:b w:val="false"/>
          <w:color w:val="000000"/>
          <w:sz w:val="20"/>
        </w:rPr>
        <w:t xml:space="preserve">Our customer engagement is led by our direct sales team and supported by our system integrator (“SI”) partners. We maintain and continue to grow our sales and marketing efforts globally, and maintain regional sales centers throughout the world.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our platform is critical to our new and existing customers’ businesses, their decision-making and product evaluation process is thorough, which often results in an extended sales cycle. These evaluation periods can extend further if a customer purchases multiple products or is considering a move to a cloud-based subscription for the first time. Sales to new customers often involve extensive customer due diligence and reference checks. The success of our sales efforts relies on continued improvements and enhancements to our current products, the introduction of new products, efficient operation of our cloud infrastructure, continued development of relevant local content and automated tools for updating content, and successful implementations and migrations.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platform and suite of products through subscription services for our cloud-delivered products and term licenses for our self-managed products. We generally price our products based on the amount of Direct Written Premium (“DWP”) that will be managed by our products.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are met including providing access to the service. Term licenses are primarily sold to existing on-premise customers and are typically an annual commitment with optional renewals thereafter. We may enter into term license arrangements with our customers that have an initial term of more than one year or may renew license arrangements for longer than one year. Term license revenue is typically recognized when software is made available to the customer, provided that all other revenue recognition criteria have been met. Our support revenue is generally recognized ratably over the committed support term of the licensed software. Our support fees are typically priced as a fixed percentage of the associated license fees. We also offer professional services, both directly and through SI partners, to help our customers deploy, migrate, and utilize our platform, services, and products. A majority of our services revenue is billed monthly on a time and materials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few years, we have primarily been entering into cloud-based subscription arrangements with our new and existing customers, and we anticipate that subscription arrangements will be a significant majority of annual new sales going forward. As this sales model matures, we may decide to change certain contract terms in new arrangements to remain competitive or otherwise meet market demands.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extend our technology leadership in the global market and to drive operating efficiency, we continue to invest in product development and cloud operations to enhance and improve our current products, introduce new products, and advance our ability to securely and cost-effectively deliver our services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solutions, and upgrades.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track record of success with customers and their implementations is central to maintaining our strong competitive position. We rely on our global services team and SI partners to ensure that teams with the right combination of product, business, and language skills are used in the most efficient way to meet our customers’ implementation and migration needs. We have extensive relationships with SI, consulting, technology, and other industry partners. Our network of partners has expanded as interest in and adoption of our platform has grown. We encourage our partners to co-market, pursue joint sales initiatives, and drive broader adoption of our technology, helping us grow our business more efficiently and enabling us to focus our resources on continued innovation and further enhancement of our solutions.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work closely with our network of third-party SI partners to facilitate new sales and implementations of our products. Our partnership with leading SI partners allows us to increase efficiency and scale while reducing customer implementation and migration costs. We continue to invest time and resources to increase the number of qualified consultants employed by our SI partners, develop relationships with new partners in existing and new markets, and ensure that all SI partners are qualified to assist with implementing our products. We believe this model will continue to serve us well, and we intend to continue to expand our network of partners and the number of certified consultants with whom we work so we can leverage our SI partners more effectively, especially for future subscription migrations and implementations.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products successfully, migrating our business towards a subscription model with ratable revenue recognition, increasing the overall adoption of our products, and cost-effectively and securely managing the infrastructure of our cloud-based customers. In response to these and other risks we might face, we continue to invest in many areas of our business, including product development, cloud operations, cybersecurity, implementation and migration services, and sales and marketing.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seasonal variations in our license revenue and, to a lesser extent, in our subscription revenue as a result of increased customer orders in our fourth fiscal quarter, which is the quarter ending July 31. We generally see significantly increased orders in our fourth fiscal quarter due to efforts by our sales team to achieve annual incentives. Because we recognize revenue upfront for term licenses compared to over time for subscription services, changes in the mix between term license and subscription services may impact our quarterly results. Additionally, any significant multi-year term license or term license non-renewal could impact quarterly results. Subscription sales now represent the significant majority of total sales and, as a result when compared to term license sales, the revenue we recognize in the initial fiscal year of an order is lower, deferred revenue is higher, and our total reported revenue growth may be adversely affected in the near term due to the ratable nature of these arrangements. Over time, this ratable revenue dynamic will dampen the impact of seasonality on our revenue.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revenue is also subject to seasonal fluctuations, though to a lesser degree than our license revenue and subscription revenue. Our services revenue is impacted by the number of billable days in a given fiscal quarter. Our second fiscal quarter, which is the quarter ending January 31, usually has fewer billable days due to the impact of calendar year end holidays in the United States. Our fourth fiscal quarter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w:t>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Recent Global Events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Recent global events have adversely affected and are continuing to adversely affect workforces, organizations, economies, and financial markets globally, leading to economic downturns, inflation, and increased market volatility. For instance, the ongoing wars between Israel and Hamas and between Russia and Ukraine, escalating tensions in the South China Sea, high inflation, the recent bank failures in the United States and Switzerland and the related impact on financial markets and institutions, and supply chain issues have contributed to global economic and market volatility. We are unable to accurately predict the full impact that these global events will have on our results of operations, financial condition, liquidity, and cash flows due to numerous uncertainties.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and financial results have been and may in the future be impacted due to these disruptions, which may affect our ARR and revenue growth rates, sales cycles, services revenue and margins, operating cash flow and expenses, employee attrition, hiring and onboarding necessary personnel, allowance for collectibility of accounts receivable and unbilled receivables, and the change in fair value of strategic investments. Additionally, recent inflation levels are impacting the global economy and magnifying the impact of these disruptions.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may be unable to pay or may request amended payment terms for their outstanding invoices due to the economic impacts from these disruptions, and we may need to increase our accounts receivable allowances. A decrease in orders in a given period could negatively affect our revenue and ARR in future periods, particularly if experienced on a sustained basis, because a substantial proportion of our new software subscription services orders is recognized as revenue over time. Also, the global economic impact of these disruptions could affect our customers’ DWP, which could ultimately impact our revenue as we generally price our products based on the amount of DWP that will be managed by our products. Additionally, we may be required to record impairment related to our operating lease assets, investments, long-lived assets, intangible assets, or goodwill.</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monitor and evaluate the nature and extent of these global events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certain key metrics and financial measures not prepared in accordance with United States Generally Accepted Accounting Principles (“GAAP”) to evaluate and manage our business, including ARR and Free Cash Flow. For a further discussion of how we use key metrics and certain non-GAAP financial measures, see “Non-GAAP Financial Measures”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300" w:after="283"/>
        <w:jc w:val="left"/>
        <w:rPr>
          <w:rFonts w:ascii="Times New Roman;sans-serif" w:hAnsi="Times New Roman;sans-serif"/>
          <w:b/>
          <w:i/>
          <w:color w:val="000000"/>
          <w:sz w:val="20"/>
        </w:rPr>
      </w:pPr>
      <w:r>
        <w:rPr>
          <w:rFonts w:ascii="Times New Roman;sans-serif" w:hAnsi="Times New Roman;sans-serif"/>
          <w:b/>
          <w:i/>
          <w:color w:val="000000"/>
          <w:sz w:val="20"/>
        </w:rPr>
        <w:t>Annual Recurring Revenue (“ARR”)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ARR to quantify the annualized recurring value outlined in active customer contracts at the end of a reporting period. ARR includes the annualized recurring value of term licenses, subscription agreements, support contracts, and hosting agreements based on customer contractual terms and invoicing activities for the current reporting period, which may not be the same as the timing and amount of revenue recognized. ARR reflects all fee changes due to contract renewals, non-renewals, expansion, cancellations, attrition, or renegotiations at a higher or lower fee arrangement that are effective as of the ARR reporting date. All components of the licensing and other arrangements that are not expected to recur (primarily perpetual licenses and professional services) are excluded from our ARR calculations. In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generally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During the six months ended January 31, 2024, the recurring license and support or subscription contract value recognized as services revenue was $5.2 million.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ARR was $800 million, compared to $763 million as of July 31, 2023. We measure ARR results on a constant currency basis during the fiscal year and revalue ARR at year end to current currency rates.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 for services and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 of purchases of property and equipment, primarily computer hardware, software, and leasehold improvements, and capitalized software development costs. Free cash flow in the six months ended January 31, 2024 was impacted by severance payments of $3.3 million. Free cash flow in the six months ended January 31, 2023 was impacted by severance payments of $2.9 million. For a further discussion of our operating cash flows, see “Liquidity and Capital Resources –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tbl>
      <w:tblPr>
        <w:tblW w:w="6220" w:type="dxa"/>
        <w:jc w:val="left"/>
        <w:tblInd w:w="0" w:type="dxa"/>
        <w:tblLayout w:type="fixed"/>
        <w:tblCellMar>
          <w:top w:w="28" w:type="dxa"/>
          <w:left w:w="28" w:type="dxa"/>
          <w:bottom w:w="28" w:type="dxa"/>
          <w:right w:w="28" w:type="dxa"/>
        </w:tblCellMar>
      </w:tblPr>
      <w:tblGrid>
        <w:gridCol w:w="1331"/>
        <w:gridCol w:w="1169"/>
        <w:gridCol w:w="1174"/>
        <w:gridCol w:w="206"/>
        <w:gridCol w:w="758"/>
        <w:gridCol w:w="114"/>
        <w:gridCol w:w="114"/>
        <w:gridCol w:w="114"/>
        <w:gridCol w:w="114"/>
        <w:gridCol w:w="206"/>
        <w:gridCol w:w="758"/>
        <w:gridCol w:w="162"/>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January 31,</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(86,215)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(12,880)</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(94,270)</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Accounting policies, methods, and estimates are an integral part of the preparation of condensed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the condensed consolidated financial statements and because of the possibility that future events affecting them may differ markedly from management’s current judgments. While there are a number of significant accounting policies, methods, and estimates affecting our condensed consolidated financial statements, which are described in Note 1 “The Company and a Summary of Significant Accounting Policies and Estimates” to our consolidated financial statements included in our Annual Report on Form 10-K for the fiscal year ended July 31, 2023, our revenue recognition policies are critical to the periods presented.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as described in “Management's Discussion and Analysis of Financial Condition and Results of Operations – Critical Accounting Policies and Estimates” in our Annual Report on Form 10-K for the fiscal year ended July 31, 2023.</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“The Company and Summary of Significant Accounting Policies and Estimates” to the condensed consolidated financial statements included in this Quarterly Report on Form 10-Q for a full description of recent accounting pronouncements adopted, including the dates of adoption, and recent account pronouncements not yet adopted.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 The data has been derived from the condensed consolidated financial statements contained in this Quarterly Report on Form 10-Q which, in the opinion of our management, reflect all adjustments, consisting only of normal recurring adjustments, necessary to fairly present the financial position and results of operations for the interim periods presented. The results of operations for any period should not be considered indicative of results for any future period. This information should be read in conjunction with the consolidated financial statements and notes thereto included in our Annual Report on Form 10-K for the fiscal year ended July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tbl>
      <w:tblPr>
        <w:tblW w:w="10205" w:type="dxa"/>
        <w:jc w:val="left"/>
        <w:tblInd w:w="0" w:type="dxa"/>
        <w:tblLayout w:type="fixed"/>
        <w:tblCellMar>
          <w:top w:w="28" w:type="dxa"/>
          <w:left w:w="28" w:type="dxa"/>
          <w:bottom w:w="28" w:type="dxa"/>
          <w:right w:w="28" w:type="dxa"/>
        </w:tblCellMar>
      </w:tblPr>
      <w:tblGrid>
        <w:gridCol w:w="1347"/>
        <w:gridCol w:w="1143"/>
        <w:gridCol w:w="1152"/>
        <w:gridCol w:w="211"/>
        <w:gridCol w:w="826"/>
        <w:gridCol w:w="109"/>
        <w:gridCol w:w="109"/>
        <w:gridCol w:w="109"/>
        <w:gridCol w:w="109"/>
        <w:gridCol w:w="395"/>
        <w:gridCol w:w="350"/>
        <w:gridCol w:w="872"/>
        <w:gridCol w:w="109"/>
        <w:gridCol w:w="109"/>
        <w:gridCol w:w="109"/>
        <w:gridCol w:w="211"/>
        <w:gridCol w:w="826"/>
        <w:gridCol w:w="109"/>
        <w:gridCol w:w="109"/>
        <w:gridCol w:w="109"/>
        <w:gridCol w:w="109"/>
        <w:gridCol w:w="379"/>
        <w:gridCol w:w="329"/>
        <w:gridCol w:w="965"/>
      </w:tblGrid>
      <w:tr>
        <w:trPr/>
        <w:tc>
          <w:tcPr>
            <w:tcW w:w="134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3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January 31,</w:t>
            </w:r>
          </w:p>
        </w:tc>
      </w:tr>
      <w:tr>
        <w:trPr/>
        <w:tc>
          <w:tcPr>
            <w:tcW w:w="3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 revenue</w:t>
            </w:r>
          </w:p>
        </w:tc>
      </w:tr>
      <w:tr>
        <w:trPr/>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(benefit from)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tbl>
      <w:tblPr>
        <w:tblW w:w="10205" w:type="dxa"/>
        <w:jc w:val="center"/>
        <w:tblInd w:w="0" w:type="dxa"/>
        <w:tblLayout w:type="fixed"/>
        <w:tblCellMar>
          <w:top w:w="28" w:type="dxa"/>
          <w:left w:w="28" w:type="dxa"/>
          <w:bottom w:w="28" w:type="dxa"/>
          <w:right w:w="28" w:type="dxa"/>
        </w:tblCellMar>
      </w:tblPr>
      <w:tblGrid>
        <w:gridCol w:w="1347"/>
        <w:gridCol w:w="1143"/>
        <w:gridCol w:w="1152"/>
        <w:gridCol w:w="211"/>
        <w:gridCol w:w="826"/>
        <w:gridCol w:w="109"/>
        <w:gridCol w:w="109"/>
        <w:gridCol w:w="109"/>
        <w:gridCol w:w="109"/>
        <w:gridCol w:w="395"/>
        <w:gridCol w:w="350"/>
        <w:gridCol w:w="872"/>
        <w:gridCol w:w="109"/>
        <w:gridCol w:w="109"/>
        <w:gridCol w:w="109"/>
        <w:gridCol w:w="211"/>
        <w:gridCol w:w="826"/>
        <w:gridCol w:w="109"/>
        <w:gridCol w:w="109"/>
        <w:gridCol w:w="109"/>
        <w:gridCol w:w="109"/>
        <w:gridCol w:w="379"/>
        <w:gridCol w:w="329"/>
        <w:gridCol w:w="965"/>
      </w:tblGrid>
      <w:tr>
        <w:trPr/>
        <w:tc>
          <w:tcPr>
            <w:tcW w:w="134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36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r>
      <w:tr>
        <w:trPr/>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January 31,</w:t>
            </w:r>
          </w:p>
        </w:tc>
      </w:tr>
      <w:tr>
        <w:trPr/>
        <w:tc>
          <w:tcPr>
            <w:tcW w:w="3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 revenue</w:t>
            </w:r>
          </w:p>
        </w:tc>
      </w:tr>
      <w:tr>
        <w:trPr/>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(benefit from)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ind w:left="0" w:right="0" w:firstLine="225"/>
        <w:jc w:val="left"/>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our revenue primarily from delivering cloud-based services, licensing our software applications, providing support, and delivering professional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Subscription and Support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growing portion of our revenue consists of fees for our subscription services, which are generally priced based on the amount of DWP that is managed by our subscription services. Subscription revenue is recognized ratably over the term of the arrangement, beginning at the point in time our provisioning process has been completed and access has been made available to the customer. The initial term of such arrangements is generally from three to five years. Subscription agreements contain optional annual renewals commencing upon the expiration of the initial contract term. A majority of our subscription customers are billed annually in advance. In some arrangements with multiple performance obligations, a portion of recurring subscription contract value may be allocated to license revenue or services revenue for revenue recognition purposes. For example, in arrangements with multiple performance obligations that include services at discounted rates, a portion of the total contract value related to subscription services will be allocated and recognized as services revenue. Additionally, agreements to migrate an existing term license customer to subscription services contain multiple performance obligations, including a provision to continue using the term license during the subscription service implementation period. Under these migration agreements, a portion of the total contract value related to subscription services could be allocated and recognized as term license and support revenue in the period renewed or delivered.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support revenue is generally recognized ratably over the committed support term of the licensed software. Our support fees are typically priced as a fixed percentage of the associated term license fees. We generally invoice support annually in advance. Support related to subscription arrangements is included in subscription revenue, as support is not quoted or priced separately from the subscription services.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licensed software. Our term licenses have generally been sold under a two-year initial term with optional annual renewals after the initial term. However, we do enter into license arrangements that have an initial term of more than two years and renewal terms of more than one year. Term license revenue for the committed term of the customer agreement is generally fully recognized upon delivery of the software or at the beginning of the renewal term.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 limited number of cases, we license our software on a perpetual basis. Perpetual license revenue is generally recognized upon delivery. We invoice our perpetual license customers either in full at contract signing or on an installment basis.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revenue is primarily derived from implementation and migration services performed for our customers, reimbursable travel expenses, and training fees. A majority of our services engagements are billed and revenue is recognized on a time and materials basis upon providing our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tbl>
      <w:tblPr>
        <w:tblW w:w="10205" w:type="dxa"/>
        <w:jc w:val="left"/>
        <w:tblInd w:w="0" w:type="dxa"/>
        <w:tblLayout w:type="fixed"/>
        <w:tblCellMar>
          <w:top w:w="28" w:type="dxa"/>
          <w:left w:w="28" w:type="dxa"/>
          <w:bottom w:w="28" w:type="dxa"/>
          <w:right w:w="28" w:type="dxa"/>
        </w:tblCellMar>
      </w:tblPr>
      <w:tblGrid>
        <w:gridCol w:w="715"/>
        <w:gridCol w:w="631"/>
        <w:gridCol w:w="636"/>
        <w:gridCol w:w="211"/>
        <w:gridCol w:w="826"/>
        <w:gridCol w:w="109"/>
        <w:gridCol w:w="109"/>
        <w:gridCol w:w="109"/>
        <w:gridCol w:w="109"/>
        <w:gridCol w:w="295"/>
        <w:gridCol w:w="274"/>
        <w:gridCol w:w="684"/>
        <w:gridCol w:w="109"/>
        <w:gridCol w:w="109"/>
        <w:gridCol w:w="109"/>
        <w:gridCol w:w="211"/>
        <w:gridCol w:w="826"/>
        <w:gridCol w:w="109"/>
        <w:gridCol w:w="109"/>
        <w:gridCol w:w="109"/>
        <w:gridCol w:w="109"/>
        <w:gridCol w:w="295"/>
        <w:gridCol w:w="274"/>
        <w:gridCol w:w="684"/>
        <w:gridCol w:w="109"/>
        <w:gridCol w:w="109"/>
        <w:gridCol w:w="109"/>
        <w:gridCol w:w="211"/>
        <w:gridCol w:w="721"/>
        <w:gridCol w:w="109"/>
        <w:gridCol w:w="109"/>
        <w:gridCol w:w="109"/>
        <w:gridCol w:w="109"/>
        <w:gridCol w:w="212"/>
        <w:gridCol w:w="215"/>
        <w:gridCol w:w="322"/>
      </w:tblGrid>
      <w:tr>
        <w:trPr/>
        <w:tc>
          <w:tcPr>
            <w:tcW w:w="7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January 31,</w:t>
            </w:r>
          </w:p>
        </w:tc>
      </w:tr>
      <w:tr>
        <w:trPr/>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w:t>
              <w:b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w:t>
              <w:b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license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716"/>
        <w:gridCol w:w="632"/>
        <w:gridCol w:w="637"/>
        <w:gridCol w:w="211"/>
        <w:gridCol w:w="826"/>
        <w:gridCol w:w="109"/>
        <w:gridCol w:w="109"/>
        <w:gridCol w:w="109"/>
        <w:gridCol w:w="109"/>
        <w:gridCol w:w="296"/>
        <w:gridCol w:w="274"/>
        <w:gridCol w:w="685"/>
        <w:gridCol w:w="109"/>
        <w:gridCol w:w="109"/>
        <w:gridCol w:w="109"/>
        <w:gridCol w:w="211"/>
        <w:gridCol w:w="826"/>
        <w:gridCol w:w="109"/>
        <w:gridCol w:w="109"/>
        <w:gridCol w:w="109"/>
        <w:gridCol w:w="109"/>
        <w:gridCol w:w="296"/>
        <w:gridCol w:w="274"/>
        <w:gridCol w:w="685"/>
        <w:gridCol w:w="109"/>
        <w:gridCol w:w="109"/>
        <w:gridCol w:w="109"/>
        <w:gridCol w:w="211"/>
        <w:gridCol w:w="721"/>
        <w:gridCol w:w="109"/>
        <w:gridCol w:w="109"/>
        <w:gridCol w:w="109"/>
        <w:gridCol w:w="109"/>
        <w:gridCol w:w="209"/>
        <w:gridCol w:w="212"/>
        <w:gridCol w:w="321"/>
      </w:tblGrid>
      <w:tr>
        <w:trPr/>
        <w:tc>
          <w:tcPr>
            <w:tcW w:w="7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January 31,</w:t>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w:t>
              <w:b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w:t>
              <w:b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license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Subscription and Support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subscriptions will continue to represent a significant majority of new arrangements, including customers migrating from existing term license arrangements to subscription services, in future periods. Due to the ratable recognition of subscription revenue, growth in subscription revenue will lag behind the growth of subscription orders and will impact the comparative growth of our reported revenue on a year-over-year basis. If we complete a higher percentage of subscription arrangements towards the end of a given period, our short-term growth rates will be negatively impacted. Due to the seasonal nature of our business, the impact of new subscription orders in our fourth fiscal quarter, our historically largest quarter for new orders, is not fully reflected in revenue until the following fiscal year.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 increased by $27.1 million and $57.7 million during the three and six months ended January 31, 2024, respectively, compared to the same periods a year ago, primarily due to the impact of cloud transition agreements, new subscription agreements entered into and provisioned since January 31, 2023, and the renewal or extension of subscription services at the fully ramped annual fees after the initial committed term.</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Support revenue decreased by $1.2 million and $3.3 million during the three and six months ended January 31, 2024, respectively, compared to the same periods a year ago, primarily due to customers migrating from on-premise term licenses to subscription services. Support related to subscription arrangements is included in subscription revenue, as support is not quoted or priced separately from the subscription services. As customers enter into a subscription agreement to migrate from an existing term license agreement, the timing and amount of revenue recognized will be impacted by allocations of the total contract value between the license, subscription, and support performance obligations. As a result, we expect the increase in subscription orders as a percentage of total new sales and customers migrating from term licenses to subscription services will result in lower support revenue in the future.</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related to new term licenses and multi-year term license renewals is generally recognized upfront and, as a result, no additional license revenue is recognized until after the committed term expires. As a customer enters into a subscription agreement to migrate from an existing term license agreement, the timing and amount of revenue recognition will be impacted by allocations of total contract value between license, subscription, and support performance obligations. License revenue growth has and will be negatively impacted as subscription sales increase as a percentage of total new sales and as customers migrate from term licenses to subscription services instead of renewing their term licenses.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Term license revenue decreased by $2.0 million during the three months ended January 31, 2024, compared to the same period a year ago. This decrease is driven by lower new term license agreements as most of our new sales activity is for subscription services, the impact of contracts with an initial term of greater than two years or a renewal term of greater than one year, and the impact of customers that migrated from a term license to a subscription service. The impact on term license revenue from contracts with an initial term of greater than two years or a renewal term of greater than one year during the three months ended January 31, 2024 was $2.4 million compared with $0.3 million in the prior year period.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Term license revenue decreased by $8.9 million during the six months ended January 31, 2024, compared to the same period a year ago. This decrease is driven by lower new term license agreements as most of our new sales activity is for subscription services, the impact of contracts with an initial term of greater than two years or a renewal term of greater than one year, and the impact of customers that migrated from a term license to a subscription service. The impact on term license revenue from contracts with an initial term of greater than two years or a renewal term of greater than one year during the six months ended January 31, 2024 was $2.4 million compared with $3.7 million in the prior year period.</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Services revenue decreased by $15.6 million and $25.1 million during the three and six months ended January 31, 2024, respectively, compared to the same period a year ago. The decrease is primarily driven by the completion of implementations, combined with our SI partners leading more new subscription implementation and migration projects than in the past. Additionally, services revenue overall continues to be impacted by investments in customer implementations, including fixed fee or capped arrangements. In these arrangements when a project extends longer than originally anticipated, the average billing rate we recognize may decrease, which can result in revenue adjustments and lower gross profit.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successfully leverage our SI partners to lead more implementations and migrations, we expect our services revenue to decline in the near-term. As we continue to expand into new markets and develop new products, we have, and may continue to, enter into contracts with lower average billing rates, make investments in customer implementation and migration engagements, and enter into fixed price contracts, which may impact services revenue and services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cost of subscription and support revenue primarily consists of personnel costs for our cloud operations and technical support teams, cloud infrastructure costs, development of online training curriculum, amortization of intangible assets, and royalty fees paid to third parties. Our cost of license revenue primarily consists of development of online training curriculum, royalty fees paid to third parties, and amortization of intangible assets. Our cost of services revenue primarily consists of personnel costs for our professional service employees, third-party subcontractors or consultants, and travel costs. In instances where we have primary responsibility for the delivery of services, subcontractor fees are expensed as cost of services revenue. In each case, personnel costs include salaries, bonuses, benefits, and stock-based compensation.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allocate overhead such as information technology infrastructure and software expenses, information security infrastructure and software expenses, and facilities expenses to all functional departments based on headcount. As such, these general overhead expenses are reflected in cost of revenue and each functional operating expense. </w:t>
      </w:r>
    </w:p>
    <w:p>
      <w:pPr>
        <w:pStyle w:val="TextBody"/>
        <w:bidi w:val="0"/>
        <w:spacing w:before="180" w:after="283"/>
        <w:ind w:left="0" w:right="0" w:firstLine="495"/>
        <w:jc w:val="both"/>
        <w:rPr/>
      </w:pPr>
      <w:r>
        <w:rPr/>
      </w:r>
    </w:p>
    <w:p>
      <w:pPr>
        <w:pStyle w:val="TextBody"/>
        <w:bidi w:val="0"/>
        <w:spacing w:lineRule="auto" w:line="288" w:before="180" w:after="283"/>
        <w:ind w:left="0" w:right="0" w:firstLine="360"/>
        <w:jc w:val="left"/>
        <w:rPr/>
      </w:pPr>
      <w:r>
        <w:rPr>
          <w:rFonts w:ascii="Times New Roman;sans-serif" w:hAnsi="Times New Roman;sans-serif"/>
          <w:b/>
          <w:i/>
          <w:color w:val="000000"/>
          <w:sz w:val="20"/>
        </w:rPr>
        <w:t>Cost of Revenue:</w:t>
      </w:r>
      <w:r>
        <w:rPr>
          <w:color w:val="000000"/>
        </w:rPr>
        <w:t xml:space="preserve"> </w:t>
      </w:r>
    </w:p>
    <w:tbl>
      <w:tblPr>
        <w:tblW w:w="8966" w:type="dxa"/>
        <w:jc w:val="left"/>
        <w:tblInd w:w="0" w:type="dxa"/>
        <w:tblLayout w:type="fixed"/>
        <w:tblCellMar>
          <w:top w:w="28" w:type="dxa"/>
          <w:left w:w="28" w:type="dxa"/>
          <w:bottom w:w="28" w:type="dxa"/>
          <w:right w:w="28" w:type="dxa"/>
        </w:tblCellMar>
      </w:tblPr>
      <w:tblGrid>
        <w:gridCol w:w="1421"/>
        <w:gridCol w:w="1252"/>
        <w:gridCol w:w="1257"/>
        <w:gridCol w:w="211"/>
        <w:gridCol w:w="721"/>
        <w:gridCol w:w="109"/>
        <w:gridCol w:w="109"/>
        <w:gridCol w:w="109"/>
        <w:gridCol w:w="109"/>
        <w:gridCol w:w="211"/>
        <w:gridCol w:w="826"/>
        <w:gridCol w:w="109"/>
        <w:gridCol w:w="109"/>
        <w:gridCol w:w="109"/>
        <w:gridCol w:w="109"/>
        <w:gridCol w:w="211"/>
        <w:gridCol w:w="796"/>
        <w:gridCol w:w="109"/>
        <w:gridCol w:w="109"/>
        <w:gridCol w:w="109"/>
        <w:gridCol w:w="109"/>
        <w:gridCol w:w="218"/>
        <w:gridCol w:w="218"/>
        <w:gridCol w:w="316"/>
      </w:tblGrid>
      <w:tr>
        <w:trPr/>
        <w:tc>
          <w:tcPr>
            <w:tcW w:w="142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January 31,</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Includes stock-based compensation of: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Cost of subscription and support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Cost of license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Cost of services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bl>
    <w:tbl>
      <w:tblPr>
        <w:tblW w:w="9070" w:type="dxa"/>
        <w:jc w:val="left"/>
        <w:tblInd w:w="0" w:type="dxa"/>
        <w:tblLayout w:type="fixed"/>
        <w:tblCellMar>
          <w:top w:w="28" w:type="dxa"/>
          <w:left w:w="28" w:type="dxa"/>
          <w:bottom w:w="28" w:type="dxa"/>
          <w:right w:w="28" w:type="dxa"/>
        </w:tblCellMar>
      </w:tblPr>
      <w:tblGrid>
        <w:gridCol w:w="1421"/>
        <w:gridCol w:w="1252"/>
        <w:gridCol w:w="125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6"/>
        <w:gridCol w:w="219"/>
        <w:gridCol w:w="316"/>
      </w:tblGrid>
      <w:tr>
        <w:trPr/>
        <w:tc>
          <w:tcPr>
            <w:tcW w:w="142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January 31,</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Includes stock-based compensation of: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Cost of subscription and support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Cost of license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Cost of services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support revenue during the three months ended January 31, 2024 increased by $1.0 million, compared to the same period a year ago, primarily due to increases in cloud infrastructure expense of $1.0 million, personnel costs of $0.7 million, royalties of $0.4 million, and internal-use software amortization of $0.2 million, partially offset by a decrease in professional services of $1.3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support revenue during the six months ended January 31, 2024, decreased by $6.6 million, compared to the same period a year ago, primarily due to decreases in cloud infrastructure expense of $4.9 million, professional services of $2.1 million, and amortization of intangibles of $1.4 million due to certain acquired intangible assets being fully amortized, partially offset by increases in internal-use software amortization of $0.9 million and royalties of $0.9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Cloud hosting costs are benefiting from the efficiencies that we are achieving from our development efforts associated with GWCP and the cost benefits associated with the five-year agreement with a cloud infrastructure services provider that was entered into in the second quarter of fiscal year 2023. As a result of efficiencies that we are seeing from our previous investments in cloud operations and development efforts along with the challenges presented by the macroeconomic environment, we have also slowed hiring and are critically evaluating professional services contracts and third-party software costs. However, we expect cost of subscription and support revenue to increase in absolute dollars due to the increased number of customers utilizing our cloud services, the volume of transactions by our cloud customers, and the impact of inflation and other macroeconomic events.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$0.4 million decrease in our cost of license revenue during the three months ended January 31, 2024, compared to the same period a year ago, was due to lower personnel costs associated with the development of online training curriculum included with the latest releases of InsuranceSuite of $0.3 million and a decrease in royalties of $0.1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$1.0 million decrease in our cost of license revenue during the six months ended January 31, 2024, compared to the same period a year ago, was primarily due to decreases in personnel costs associated with the development of online training curriculum included with the latest releases of InsuranceSuite of $0.8 million and royalties of $0.2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anticipate lower cost of license revenue over time as our term license customers transition to cloud subscription agreements.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$11.3 million decrease in cost of services revenue during the three months ended January 31, 2024, compared to the same period a year ago, was primarily due to decreases in subcontractor expenses of $14.1 million due to the completion of certain fixed fee engagements and more customer engagements being led by SIs and professional services of $0.1 million, partially offset by an increase in personnel costs of $2.9 million which includes severance expense of $3.3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$31.0 million decrease in cost of services revenue during the six months ended January 31, 2024, compared to the same period a year ago, was primarily due to decreases in subcontractor expenses of $32.2 million due to the completion of certain fixed fee engagements and more customer engagements being led by SIs and professional services of $0.3 million, partially offset by an increase in personnel costs of $1.4 million which includes severance expense of $3.3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595 cloud operations and technical support employees and 770 professional services employees at January 31, 2024, compared to 649 cloud operations and technical support employees and 804 professional services employees at January 31, 2023.</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Gross Profit:</w:t>
      </w:r>
    </w:p>
    <w:tbl>
      <w:tblPr>
        <w:tblW w:w="9859" w:type="dxa"/>
        <w:jc w:val="left"/>
        <w:tblInd w:w="0" w:type="dxa"/>
        <w:tblLayout w:type="fixed"/>
        <w:tblCellMar>
          <w:top w:w="28" w:type="dxa"/>
          <w:left w:w="28" w:type="dxa"/>
          <w:bottom w:w="28" w:type="dxa"/>
          <w:right w:w="28" w:type="dxa"/>
        </w:tblCellMar>
      </w:tblPr>
      <w:tblGrid>
        <w:gridCol w:w="783"/>
        <w:gridCol w:w="685"/>
        <w:gridCol w:w="692"/>
        <w:gridCol w:w="211"/>
        <w:gridCol w:w="826"/>
        <w:gridCol w:w="109"/>
        <w:gridCol w:w="109"/>
        <w:gridCol w:w="109"/>
        <w:gridCol w:w="109"/>
        <w:gridCol w:w="220"/>
        <w:gridCol w:w="220"/>
        <w:gridCol w:w="550"/>
        <w:gridCol w:w="109"/>
        <w:gridCol w:w="109"/>
        <w:gridCol w:w="109"/>
        <w:gridCol w:w="211"/>
        <w:gridCol w:w="826"/>
        <w:gridCol w:w="109"/>
        <w:gridCol w:w="109"/>
        <w:gridCol w:w="109"/>
        <w:gridCol w:w="109"/>
        <w:gridCol w:w="220"/>
        <w:gridCol w:w="220"/>
        <w:gridCol w:w="550"/>
        <w:gridCol w:w="109"/>
        <w:gridCol w:w="109"/>
        <w:gridCol w:w="109"/>
        <w:gridCol w:w="211"/>
        <w:gridCol w:w="721"/>
        <w:gridCol w:w="109"/>
        <w:gridCol w:w="109"/>
        <w:gridCol w:w="109"/>
        <w:gridCol w:w="109"/>
        <w:gridCol w:w="216"/>
        <w:gridCol w:w="219"/>
        <w:gridCol w:w="316"/>
      </w:tblGrid>
      <w:tr>
        <w:trPr/>
        <w:tc>
          <w:tcPr>
            <w:tcW w:w="7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January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gross profit increased $18.9 million during the three months ended January 31, 2024, compared to the same period a year ago. Gross profit was impacted by an increase in subscription and support gross profit due to the increase in subscription revenue and cloud operations efficiencies, partially offset by decreases in services gross profit due to the investments that we are making in our customers' transition to subscription services and the impact of a reduction-in-force during the quarter and, to a lesser extent, license gross profit due to customer migrations to subscription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gross margin increased to 59% during the three months ended January 31, 2024 from 53% during the same period a year ago. Gross margin was primarily impacted by the increase in subscription and support revenue at a higher margin due to cloud operations efficiencies, offset by a decrease in services revenue, which has a negative margin and was impacted by a reduction-in-force during the quarter, due to more SIs contracting directly with our customers.</w:t>
      </w:r>
    </w:p>
    <w:tbl>
      <w:tblPr>
        <w:tblW w:w="9785" w:type="dxa"/>
        <w:jc w:val="left"/>
        <w:tblInd w:w="0" w:type="dxa"/>
        <w:tblLayout w:type="fixed"/>
        <w:tblCellMar>
          <w:top w:w="28" w:type="dxa"/>
          <w:left w:w="28" w:type="dxa"/>
          <w:bottom w:w="28" w:type="dxa"/>
          <w:right w:w="28" w:type="dxa"/>
        </w:tblCellMar>
      </w:tblPr>
      <w:tblGrid>
        <w:gridCol w:w="783"/>
        <w:gridCol w:w="685"/>
        <w:gridCol w:w="692"/>
        <w:gridCol w:w="211"/>
        <w:gridCol w:w="826"/>
        <w:gridCol w:w="109"/>
        <w:gridCol w:w="109"/>
        <w:gridCol w:w="109"/>
        <w:gridCol w:w="109"/>
        <w:gridCol w:w="220"/>
        <w:gridCol w:w="220"/>
        <w:gridCol w:w="550"/>
        <w:gridCol w:w="109"/>
        <w:gridCol w:w="109"/>
        <w:gridCol w:w="109"/>
        <w:gridCol w:w="211"/>
        <w:gridCol w:w="826"/>
        <w:gridCol w:w="109"/>
        <w:gridCol w:w="109"/>
        <w:gridCol w:w="109"/>
        <w:gridCol w:w="109"/>
        <w:gridCol w:w="220"/>
        <w:gridCol w:w="220"/>
        <w:gridCol w:w="550"/>
        <w:gridCol w:w="109"/>
        <w:gridCol w:w="109"/>
        <w:gridCol w:w="109"/>
        <w:gridCol w:w="211"/>
        <w:gridCol w:w="721"/>
        <w:gridCol w:w="109"/>
        <w:gridCol w:w="109"/>
        <w:gridCol w:w="109"/>
        <w:gridCol w:w="109"/>
        <w:gridCol w:w="180"/>
        <w:gridCol w:w="181"/>
        <w:gridCol w:w="316"/>
      </w:tblGrid>
      <w:tr>
        <w:trPr/>
        <w:tc>
          <w:tcPr>
            <w:tcW w:w="7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January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gross profit increased $59.1 million during the six months ended January 31, 2024, compared to the same period a year ago. Gross profit was impacted by an increase in subscription and support gross profit due to the increase in subscription revenue and cloud operations efficiencies and improvements in services gross profit due to the completion of certain implementation projects that required significant investment by us and more SIs contracting directly with our customers, partially offset by a decrease in license gross profit due to lower license revenue as customers migrate to subscription 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gross margin increased to 57% during the six months ended January 31, 2024, from 46% during the same period a year ago. Gross margin was primarily impacted by the increase in subscription and support revenue at a higher margin due to cloud operations efficiencies and, to a lesser extent, improvements in services gross margin due to completion of certain implementation projects that required significant investment by us and more SIs contracting directly with our customers.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subscription and support gross margin to improve over the next several years as we gain efficiencies and increase the number of cloud customers. We expect services gross margin will improve as we lower our reliance on subcontractors and enter into fewer fixed fee arrangements. We expect license gross profit and license gross margin to decline based on changes in revenue due to customers migrating from licenses to subscription services, the timing of delivery of new multi-year term licenses, and the execution of multi-year term license renewals, as cost of license revenue is expected to be relatively consistent from period to period in the future. Overall, we expect gross margins to continue to improve over time as improvements in subscription and support gross margin and services gross margin will more than offset the negative impact of revenue shifts away from high margin license revenue.</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 We allocate overhead such as information technology infrastructure and software expenses, information security infrastructure and software expenses, and facilities expenses to all functional departments based on headcount. As such, these general overhead expenses are reflected in cost of revenue and each functional operating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tbl>
      <w:tblPr>
        <w:tblW w:w="10205" w:type="dxa"/>
        <w:jc w:val="left"/>
        <w:tblInd w:w="0" w:type="dxa"/>
        <w:tblLayout w:type="fixed"/>
        <w:tblCellMar>
          <w:top w:w="28" w:type="dxa"/>
          <w:left w:w="28" w:type="dxa"/>
          <w:bottom w:w="28" w:type="dxa"/>
          <w:right w:w="28" w:type="dxa"/>
        </w:tblCellMar>
      </w:tblPr>
      <w:tblGrid>
        <w:gridCol w:w="890"/>
        <w:gridCol w:w="587"/>
        <w:gridCol w:w="590"/>
        <w:gridCol w:w="211"/>
        <w:gridCol w:w="826"/>
        <w:gridCol w:w="109"/>
        <w:gridCol w:w="109"/>
        <w:gridCol w:w="109"/>
        <w:gridCol w:w="109"/>
        <w:gridCol w:w="424"/>
        <w:gridCol w:w="424"/>
        <w:gridCol w:w="426"/>
        <w:gridCol w:w="109"/>
        <w:gridCol w:w="109"/>
        <w:gridCol w:w="109"/>
        <w:gridCol w:w="211"/>
        <w:gridCol w:w="826"/>
        <w:gridCol w:w="109"/>
        <w:gridCol w:w="109"/>
        <w:gridCol w:w="109"/>
        <w:gridCol w:w="109"/>
        <w:gridCol w:w="424"/>
        <w:gridCol w:w="424"/>
        <w:gridCol w:w="426"/>
        <w:gridCol w:w="109"/>
        <w:gridCol w:w="109"/>
        <w:gridCol w:w="109"/>
        <w:gridCol w:w="211"/>
        <w:gridCol w:w="616"/>
        <w:gridCol w:w="109"/>
        <w:gridCol w:w="109"/>
        <w:gridCol w:w="109"/>
        <w:gridCol w:w="109"/>
        <w:gridCol w:w="202"/>
        <w:gridCol w:w="204"/>
        <w:gridCol w:w="321"/>
      </w:tblGrid>
      <w:tr>
        <w:trPr/>
        <w:tc>
          <w:tcPr>
            <w:tcW w:w="89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January 31,</w:t>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Includes stock-based compensation of: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0"/>
        <w:gridCol w:w="602"/>
        <w:gridCol w:w="606"/>
        <w:gridCol w:w="211"/>
        <w:gridCol w:w="826"/>
        <w:gridCol w:w="109"/>
        <w:gridCol w:w="109"/>
        <w:gridCol w:w="109"/>
        <w:gridCol w:w="109"/>
        <w:gridCol w:w="297"/>
        <w:gridCol w:w="290"/>
        <w:gridCol w:w="722"/>
        <w:gridCol w:w="109"/>
        <w:gridCol w:w="109"/>
        <w:gridCol w:w="109"/>
        <w:gridCol w:w="211"/>
        <w:gridCol w:w="826"/>
        <w:gridCol w:w="109"/>
        <w:gridCol w:w="109"/>
        <w:gridCol w:w="109"/>
        <w:gridCol w:w="109"/>
        <w:gridCol w:w="297"/>
        <w:gridCol w:w="290"/>
        <w:gridCol w:w="722"/>
        <w:gridCol w:w="109"/>
        <w:gridCol w:w="109"/>
        <w:gridCol w:w="109"/>
        <w:gridCol w:w="211"/>
        <w:gridCol w:w="616"/>
        <w:gridCol w:w="109"/>
        <w:gridCol w:w="109"/>
        <w:gridCol w:w="109"/>
        <w:gridCol w:w="109"/>
        <w:gridCol w:w="146"/>
        <w:gridCol w:w="148"/>
        <w:gridCol w:w="322"/>
      </w:tblGrid>
      <w:tr>
        <w:trPr/>
        <w:tc>
          <w:tcPr>
            <w:tcW w:w="9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January 31,</w:t>
            </w:r>
          </w:p>
        </w:tc>
      </w:tr>
      <w:tr>
        <w:trPr/>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r>
      <w:tr>
        <w:trPr/>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 %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r>
      <w:tr>
        <w:trPr/>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2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Includes stock-based compensation of: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primarily consist of personnel costs for our technical staff and consultants providing professional services.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$3.8 million increase in research and development expenses during the three months ended January 31, 2024, compared to the same period a year ago, was primarily due to increases in personnel costs of $3.6 million associated with higher headcount, professional services of $0.6 million, and software subscription costs of $0.1 million. These increases were partially offset by decreases in acquisition consideration holdback costs of $0.4 million recognized over a service period relating to the HazardHub acquisition and cloud hosting costs of $0.2 million.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$8.1 million increase in research and development expenses during the six months ended January 31, 2024, compared to the same period a year ago, was primarily due to increases in personnel costs of $9.8 million associated with higher headcount, software subscription costs of $0.8 million, and travel costs of $0.1 million. These increases were partially offset by decreases in cloud hosting costs of $1.9 million, and acquisition consideration holdback costs of $0.8 million recognized over a service period relating to the HazardHub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Cloud hosting costs are benefiting from the efficiencies that we are achieving with GWCP and the five-year agreement with a cloud infrastructure services provider that was entered into in the second quarter of fiscal year 2023.</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headcount was 1,087 at January 31, 2024, compared with 1,002 at January 31, 2023.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research and development expenses to increase in absolute dollars due to inflation and investments to support our growing customer base, but decrease as a percentage of revenue after our recent period of significant investment in cloud platform capabilities as overall hiring slows and we focus on hiring in lower cost regions. We continue to dedicate internal resources to develop, improve, and expand the functionality of our solutions and migrate our solutions to the cloud. Research and development expenses may also increase if we pursue additional acquisitions. </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sales and marketing expenses primarily consist of personnel costs for our sales and marketing employees. Included in our personnel costs are commissions, which are considered contract acquisition costs and are capitalized when earned and expensed over the anticipated period of time that goods and services are expected to be provided to a customer, which we estimate to be approximately five years. Sales and marketing expenses also include travel expenses, professional services for marketing activities, and amortization of certain acquired intangibles.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$4.4 million increase in sales and marketing expenses during the three months ended January 31, 2024, compared to the same period a year ago, was primarily due to increases in marketing and advertising expenses of $2.8 million due to the timing of Connections, our annual customer conference, which was held in the first quarter of fiscal year 2023 as compared to the second quarter of fiscal year 2024, personnel costs of $1.2 million, including $1.0 million related to contract acquisition costs, travel costs of $0.2 million, and professional services costs of $0.2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$2.5 million increase in sales and marketing expenses during the six months ended January 31, 2024, compared to the same period a year ago, was primarily due to increases in personnel costs of $2.2 million, including $0.9 million related to contract acquisition costs, marketing and advertising costs of $0.3 million, and software subscription costs of $0.2 million, partially offset by lower cloud hosting costs of $0.2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sales and marketing headcount was 469 at January 31, 2024, compared with 470 at January 31, 2023.</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sales and marketing expenses to continue to increase in absolute dollars due to inflation and investments to support ongoing growth, but decrease as a percentage of revenue as overall hiring slows after our recent period of investment to build out our customer success team and add analytics and cloud sales capabilities.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include executive, finance, human resources, information technology, information security, legal, and corporate development and strategy functions, and primarily consist of personnel costs and, to a lesser extent, professional services, software costs, and cloud hosting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was relatively flat during the three months ended January 31, 2024, compared to the same period a year ago, which was due to a decrease in facilities costs of $1.1 million primarily due to the assignment of the lease agreement for our previous headquarters and concurrent sublease for less office space in San Mateo, California during the third quarter of fiscal year 2023, offset by increases in personnel costs of $0.6 million due to the results of a payroll tax audit in Ireland and software subscription costs of $0.4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$3.1 million decrease in general and administrative expenses during the six months ended January 31, 2024, compared to the same period a year ago, was due to decreases in facilities costs of $2.3 million primarily due to the assignment of the lease agreement for our previous headquarters and concurrent sublease for less office space in San Mateo, California during the third quarter of fiscal year 2023, personnel costs of $0.8 million due to the results of a payroll tax audit in Ireland, and professional services of $0.7 million, partially offset by an increase in software subscription and web hosting costs of $0.9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headcount was 449 at January 31, 2024, compared with 449 at January 31, 2023. General and administrative headcount includes facilities personnel whose expenses are allocated across all functional departments.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general and administrative expenses will increase in absolute dollars due to inflation and investments required to support our strategic initiatives, grow our business, and meet our product and information security, compliance and reporting obligations, but decrease as a percentage of revenue as overall hiring and investments slow. Additionally, we have three customers in Argentina, which represent approximately $6.5 million of accounts receivable and approximately $5 million of ARR as of January 31, 2024, who have limitations and restrictions on paying outstanding amounts due to us because of certain government restrictions limiting the amount of U.S. dollars that can be sent out of such country. If these customers are not able to send U.S. dollars outside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Argentina, we may have to record a reserve against our accounts receivable and, potentially, make changes to the way we do business in such country that may have other adverse impacts to our business, financial condition, and results of operations.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tbl>
      <w:tblPr>
        <w:tblW w:w="7170" w:type="dxa"/>
        <w:jc w:val="left"/>
        <w:tblInd w:w="0" w:type="dxa"/>
        <w:tblLayout w:type="fixed"/>
        <w:tblCellMar>
          <w:top w:w="28" w:type="dxa"/>
          <w:left w:w="28" w:type="dxa"/>
          <w:bottom w:w="28" w:type="dxa"/>
          <w:right w:w="28" w:type="dxa"/>
        </w:tblCellMar>
      </w:tblPr>
      <w:tblGrid>
        <w:gridCol w:w="864"/>
        <w:gridCol w:w="757"/>
        <w:gridCol w:w="76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January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tbl>
      <w:tblPr>
        <w:tblW w:w="7271" w:type="dxa"/>
        <w:jc w:val="left"/>
        <w:tblInd w:w="0" w:type="dxa"/>
        <w:tblLayout w:type="fixed"/>
        <w:tblCellMar>
          <w:top w:w="28" w:type="dxa"/>
          <w:left w:w="28" w:type="dxa"/>
          <w:bottom w:w="28" w:type="dxa"/>
          <w:right w:w="28" w:type="dxa"/>
        </w:tblCellMar>
      </w:tblPr>
      <w:tblGrid>
        <w:gridCol w:w="864"/>
        <w:gridCol w:w="757"/>
        <w:gridCol w:w="76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January 31,</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represents interest earned on our cash, cash equivalents, and investments.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$4.9 million and $10.9 million during the three and six months ended January 31, 2024, compared to the same period a year ago, primarily due to higher interest rates on invested funds.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includes both stated interest and the amortization of debt issuance costs associated with our Convertible Senior Notes. The amortization of debt issuance costs are recognized on an effective interest basis. Stated interest expense is consistent in the comparative periods as the outstanding principal and stated interest rate have not changed.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three months ended January 31, 2024 consists of stated interest of $1.3 million and non-cash interest expense of $0.4 million related to amortization of debt issuance costs. Interest expense for the three months ended January 31, 2023 consists of stated interest of $1.3 million and non-cash interest expense of $0.4 million related to the amortization of debt issuance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six months ended January 31, 2024 consists of stated interest of $2.5 million and non-cash interest expense of $0.9 million related to amortization of debt issuance costs. Interest expense for the six months ended January 31, 2023 consists of stated interest of $2.5 million and non-cash interest expense of $0.8 million related to the amortization of debt discount and issuance costs.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We have significant transactions in the following currencies: Australian Dollar, British Pound, Canadian Dollar, Euro, Indian Rupee, Japanese Yen, Malaysian Ringgit, and Polish Zloty.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during the three and six months ended January 31, 2024 was income of $10.8 million and expense of $3.0 million, respectively, as compared to income of $11.3 million and expense of $2.5 million during the respective periods a year ago, due primarily to fluctuations in foreign currency exchange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foreign currency exchange rate fluctuations during the three months ended January 31, 2024, one of our strategic investments was acquired by a privately-held limited partnership. As a result, we received $12.1 million in consideration for our equity interest in the investee, composed of $6.5 million in cash and $5.6 million of an ownership interest in the privately-held limited partnership, and recognized a $1.8 million gain in excess of cost in other income (expense), net.</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taxes in the United States as well as other tax jurisdictions and countries in which we conduct business. Earnings from our non-U.S. activities are subject to local country income tax and may also be subject to U.S. income tax. </w:t>
      </w:r>
    </w:p>
    <w:tbl>
      <w:tblPr>
        <w:tblW w:w="8404" w:type="dxa"/>
        <w:jc w:val="left"/>
        <w:tblInd w:w="0" w:type="dxa"/>
        <w:tblLayout w:type="fixed"/>
        <w:tblCellMar>
          <w:top w:w="28" w:type="dxa"/>
          <w:left w:w="28" w:type="dxa"/>
          <w:bottom w:w="28" w:type="dxa"/>
          <w:right w:w="28" w:type="dxa"/>
        </w:tblCellMar>
      </w:tblPr>
      <w:tblGrid>
        <w:gridCol w:w="1243"/>
        <w:gridCol w:w="1094"/>
        <w:gridCol w:w="1098"/>
        <w:gridCol w:w="211"/>
        <w:gridCol w:w="691"/>
        <w:gridCol w:w="271"/>
        <w:gridCol w:w="109"/>
        <w:gridCol w:w="109"/>
        <w:gridCol w:w="109"/>
        <w:gridCol w:w="211"/>
        <w:gridCol w:w="466"/>
        <w:gridCol w:w="271"/>
        <w:gridCol w:w="109"/>
        <w:gridCol w:w="109"/>
        <w:gridCol w:w="109"/>
        <w:gridCol w:w="211"/>
        <w:gridCol w:w="691"/>
        <w:gridCol w:w="109"/>
        <w:gridCol w:w="109"/>
        <w:gridCol w:w="109"/>
        <w:gridCol w:w="109"/>
        <w:gridCol w:w="269"/>
        <w:gridCol w:w="271"/>
        <w:gridCol w:w="316"/>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January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404" w:type="dxa"/>
        <w:jc w:val="left"/>
        <w:tblInd w:w="0" w:type="dxa"/>
        <w:tblLayout w:type="fixed"/>
        <w:tblCellMar>
          <w:top w:w="28" w:type="dxa"/>
          <w:left w:w="28" w:type="dxa"/>
          <w:bottom w:w="28" w:type="dxa"/>
          <w:right w:w="28" w:type="dxa"/>
        </w:tblCellMar>
      </w:tblPr>
      <w:tblGrid>
        <w:gridCol w:w="1243"/>
        <w:gridCol w:w="1094"/>
        <w:gridCol w:w="1098"/>
        <w:gridCol w:w="211"/>
        <w:gridCol w:w="796"/>
        <w:gridCol w:w="271"/>
        <w:gridCol w:w="109"/>
        <w:gridCol w:w="109"/>
        <w:gridCol w:w="109"/>
        <w:gridCol w:w="211"/>
        <w:gridCol w:w="796"/>
        <w:gridCol w:w="271"/>
        <w:gridCol w:w="109"/>
        <w:gridCol w:w="109"/>
        <w:gridCol w:w="109"/>
        <w:gridCol w:w="211"/>
        <w:gridCol w:w="466"/>
        <w:gridCol w:w="109"/>
        <w:gridCol w:w="109"/>
        <w:gridCol w:w="109"/>
        <w:gridCol w:w="109"/>
        <w:gridCol w:w="164"/>
        <w:gridCol w:w="166"/>
        <w:gridCol w:w="316"/>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January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Change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percentages)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an income tax benefit of $2.7 million and an income tax provision of $1.0 million for the three months ended January 31, 2024 and 2023, respectively; and an income tax benefit of $14.2 million and $15.1 million for the six months ended January 31, 2024 and 2023, respectively. The change in the amount of income tax recorded for the three months ended January 31, 2024, compared to the same period a year ago, was primarily due to an increase in tax deductions from stock-based compensation, offset by a decrease in the loss before taxes. The change in the amount of income tax recorded for the six months ended January 31, 2024, compared to the same period a year ago, was primarily due to a decrease in the loss before taxes, offset by an increase in tax deductions from stock-based compensation, the U.S. Foreign-Derived Intangible Income (“FDII”) deduction, and research and development credits.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of (39)% and 45% for the three and six months ended January 31, 2024, respectively, differs from the statutory U.S. Federal income tax rate of 21% primarily due to state taxes, permanent differences related to stock-based compensation, research and development credits, foreign earnings taxed in the U.S., the FDII deduction, and certain non-deductible expenses, including the limitation on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specific items excluded from GAAP in the calculation of non-GAAP financial measures for the periods indicated below (in thousands, except share and per share data):</w:t>
      </w:r>
    </w:p>
    <w:tbl>
      <w:tblPr>
        <w:tblW w:w="8730" w:type="dxa"/>
        <w:jc w:val="left"/>
        <w:tblInd w:w="0" w:type="dxa"/>
        <w:tblLayout w:type="fixed"/>
        <w:tblCellMar>
          <w:top w:w="28" w:type="dxa"/>
          <w:left w:w="28" w:type="dxa"/>
          <w:bottom w:w="28" w:type="dxa"/>
          <w:right w:w="28" w:type="dxa"/>
        </w:tblCellMar>
      </w:tblPr>
      <w:tblGrid>
        <w:gridCol w:w="1281"/>
        <w:gridCol w:w="1126"/>
        <w:gridCol w:w="113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31,</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 reconciliation: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gross profit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gross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 reconciliation: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income (loss) from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consideration holdback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income (loss) from operations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reconciliation: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tbl>
      <w:tblPr>
        <w:tblW w:w="10205" w:type="dxa"/>
        <w:jc w:val="left"/>
        <w:tblInd w:w="0" w:type="dxa"/>
        <w:tblLayout w:type="fixed"/>
        <w:tblCellMar>
          <w:top w:w="28" w:type="dxa"/>
          <w:left w:w="28" w:type="dxa"/>
          <w:bottom w:w="28" w:type="dxa"/>
          <w:right w:w="28" w:type="dxa"/>
        </w:tblCellMar>
      </w:tblPr>
      <w:tblGrid>
        <w:gridCol w:w="1798"/>
        <w:gridCol w:w="1545"/>
        <w:gridCol w:w="1555"/>
        <w:gridCol w:w="223"/>
        <w:gridCol w:w="738"/>
        <w:gridCol w:w="109"/>
        <w:gridCol w:w="109"/>
        <w:gridCol w:w="109"/>
        <w:gridCol w:w="109"/>
        <w:gridCol w:w="219"/>
        <w:gridCol w:w="742"/>
        <w:gridCol w:w="109"/>
        <w:gridCol w:w="109"/>
        <w:gridCol w:w="109"/>
        <w:gridCol w:w="109"/>
        <w:gridCol w:w="219"/>
        <w:gridCol w:w="742"/>
        <w:gridCol w:w="109"/>
        <w:gridCol w:w="109"/>
        <w:gridCol w:w="109"/>
        <w:gridCol w:w="109"/>
        <w:gridCol w:w="219"/>
        <w:gridCol w:w="742"/>
        <w:gridCol w:w="155"/>
      </w:tblGrid>
      <w:tr>
        <w:trPr/>
        <w:tc>
          <w:tcPr>
            <w:tcW w:w="179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consideration holdback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Gain on sale of strategic investment </w:t>
            </w:r>
            <w:r>
              <w:rPr>
                <w:rFonts w:ascii="Times New Roman;sans-serif" w:hAnsi="Times New Roman;sans-serif"/>
                <w:b w:val="false"/>
                <w:color w:val="000000"/>
                <w:sz w:val="12"/>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impact of non-GAAP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(loss)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Tax provision (benefit) reconciliation: </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tax provision (benefit)</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consideration holdback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Gain on sale of strategic investment </w:t>
            </w:r>
            <w:r>
              <w:rPr>
                <w:rFonts w:ascii="Times New Roman;sans-serif" w:hAnsi="Times New Roman;sans-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impact of non-GAAP adjustments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tax provision (benefit)</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income (loss) per share reconciliation: </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(loss) per share — 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Amortization of intangibles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consideration holdback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Gain on sale of strategic investment </w:t>
            </w:r>
            <w:r>
              <w:rPr>
                <w:rFonts w:ascii="Times New Roman;sans-serif" w:hAnsi="Times New Roman;sans-serif"/>
                <w:b w:val="false"/>
                <w:color w:val="000000"/>
                <w:sz w:val="12"/>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impact of non-GAAP adjustments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convertible debt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dilutive shares excluded from GAAP net income (loss) per share calculation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net income (loss) per share — diluted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Shares used in computing Non-GAAP net income (loss) per share amounts: </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GAAP weighted average shares —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83,305,080 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82,051,867 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81,912,272 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82,686,420 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dilutive shares excluded from GAAP net income (loss) per share calculation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 forma weighted average shares — diluted`</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86,821,560 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82,051,867 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82,943,494 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82,686,420 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During the three months ended January 31, 2024, one of Guidewire’s strategic investments was acquired by a privately-held limited partnership. As a result, Guidewire received $12.1 million in consideration for its equity interest in the investee, composed of $6.5 million in cash and $5.6 million of an ownership interest in the privately-held limited partnership, and recognized a $1.8 million gain in excess of cost in other income (expense), net. Prior to the second quarter of fiscal year 2024, there were no transactions similar to the gain on sale of strategic investment in any periods presented.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tbl>
      <w:tblPr>
        <w:tblW w:w="6579" w:type="dxa"/>
        <w:jc w:val="left"/>
        <w:tblInd w:w="0" w:type="dxa"/>
        <w:tblLayout w:type="fixed"/>
        <w:tblCellMar>
          <w:top w:w="28" w:type="dxa"/>
          <w:left w:w="28" w:type="dxa"/>
          <w:bottom w:w="28" w:type="dxa"/>
          <w:right w:w="28" w:type="dxa"/>
        </w:tblCellMar>
      </w:tblPr>
      <w:tblGrid>
        <w:gridCol w:w="1221"/>
        <w:gridCol w:w="1075"/>
        <w:gridCol w:w="1078"/>
        <w:gridCol w:w="292"/>
        <w:gridCol w:w="1146"/>
        <w:gridCol w:w="151"/>
        <w:gridCol w:w="109"/>
        <w:gridCol w:w="109"/>
        <w:gridCol w:w="109"/>
        <w:gridCol w:w="228"/>
        <w:gridCol w:w="895"/>
        <w:gridCol w:w="166"/>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616" w:type="dxa"/>
            <w:gridSpan w:val="6"/>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932,684 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927,467 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Cash Equivalents, and Investments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are comprised of cash and liquid investments with remaining maturities of 90 days or less from the date of purchase, primarily commercial paper and money market funds. Our investments primarily consist of corporate debt securities, U.S. government and agency debt securities, commercial paper, asset-backed securities, and non-U.S. government securities, which include state, municipal, and foreign government securities.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approximately $66.4 million of our cash and cash equivalents were domiciled in foreign jurisdictions. We may repatriate foreign earnings to the United States in the future to the extent that the repatriation is not restricted by local laws or there are no substantial incremental costs associated with such repatriation.</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our board of directors authorized and approved a share repurchase program of up to $400.0 million of our outstanding common stock. During the six months ended January 31, 2024, we did not repurchase any shares of our common stock. As of January 31, 2024, $138.2 million remained available for future share repurchases.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operations are significantly impacted by timing of invoicing and collections of accounts receivable, annual bonus payments, as well as payments of payroll, commissions, payroll taxes, and other taxes. We expect that we will generate positive cash flows from operations on an annual basis in the future, although this may fluctuate significantly on a quarterly basis. In particular, we typically use more cash during our first fiscal quarter, which is the quarter ending October 31, as we generally pay cash bonuses to our employees for the prior fiscal year and seasonally higher sales commissions from increased customer orders booked in our fourth fiscal quarter of the prior year. Additionally, our capital expenditures may fluctuate depending on future office build outs and development activities subject to capitalization.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and sources of liquidity will be sufficient to fund our operations for at least the next 12 months. Our future cash requirements will depend on many factors, including our rate of revenue growth, the expansion of our sales and marketing activities, the timing and extent of our spending to support our research and development and cloud operations efforts, investments in cloud infrastructure, cybersecurity, and operating costs, and expansion into other markets. We also may invest in or acquire complementary businesses, applications or technologies, or may execute on a board-authorized share repurchase program, which may require the use of significant cash resources and/or additional financing.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of cash flows for the periods indicated has been derived from our condensed consolidated financial statements included elsewhere in this Quarterly Report on Form 10-Q (in thousands):</w:t>
      </w:r>
    </w:p>
    <w:tbl>
      <w:tblPr>
        <w:tblW w:w="6955" w:type="dxa"/>
        <w:jc w:val="left"/>
        <w:tblInd w:w="0" w:type="dxa"/>
        <w:tblLayout w:type="fixed"/>
        <w:tblCellMar>
          <w:top w:w="28" w:type="dxa"/>
          <w:left w:w="28" w:type="dxa"/>
          <w:bottom w:w="28" w:type="dxa"/>
          <w:right w:w="28" w:type="dxa"/>
        </w:tblCellMar>
      </w:tblPr>
      <w:tblGrid>
        <w:gridCol w:w="1524"/>
        <w:gridCol w:w="1340"/>
        <w:gridCol w:w="1350"/>
        <w:gridCol w:w="213"/>
        <w:gridCol w:w="806"/>
        <w:gridCol w:w="110"/>
        <w:gridCol w:w="110"/>
        <w:gridCol w:w="110"/>
        <w:gridCol w:w="110"/>
        <w:gridCol w:w="213"/>
        <w:gridCol w:w="913"/>
        <w:gridCol w:w="156"/>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January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$2.8 million for the six months ended January 31, 2024 compared to net cash used in operating activities of $86.2 million during the six months ended January 31, 2023. This $83.4 million decrease in operating cash used was attributable to a $52.9 million decrease in net loss, after excluding the impact of non-cash charges such as deferred taxes, stock-based compensation expense, depreciation and amortization expense, and other non-cash items, and by a $30.4 million decrease in cash used by working capital activities. During the six months ended January 31, 2024 and 2023, changes in working capital included severance payments of $3.3 million and $2.9 million, respectively.</w:t>
      </w:r>
    </w:p>
    <w:p>
      <w:pPr>
        <w:pStyle w:val="TextBody"/>
        <w:bidi w:val="0"/>
        <w:spacing w:before="180" w:after="283"/>
        <w:ind w:left="0" w:right="0" w:firstLine="360"/>
        <w:jc w:val="left"/>
        <w:rPr/>
      </w:pPr>
      <w:r>
        <w:rPr/>
      </w:r>
    </w:p>
    <w:p>
      <w:pPr>
        <w:pStyle w:val="TextBody"/>
        <w:bidi w:val="0"/>
        <w:spacing w:before="180" w:after="283"/>
        <w:ind w:left="0" w:right="0" w:firstLine="360"/>
        <w:jc w:val="left"/>
        <w:rPr/>
      </w:pPr>
      <w:r>
        <w:rPr/>
      </w:r>
    </w:p>
    <w:p>
      <w:pPr>
        <w:pStyle w:val="TextBody"/>
        <w:bidi w:val="0"/>
        <w:spacing w:before="18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$51.2 million for the six months ended January 31, 2024 compared to net cash used in investing activities of $48.8 million during the six months ended January 31, 2023. The $2.4 million increase in cash used in investing activities was primarily due to net purchases in excess of maturities and sales of available-for-sale securities being higher compared to the same period a year ago by $12.5 million and higher capital expenditures and capitalized software development costs of $2.0 million. This increase in cash used in investing activities was partially offset by $6.5 million cash received from the sale of a strategic investment and a decrease in cash used to acquire strategic investments of $5.6 million.</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six months ended January 31, 2024 was not significant compared to $200.0 million used in financing activities for the six months ended January 31, 2023. This $200.0 million decrease in cash used was because of shares repurchased under the authorized and approved share repurchase program in the first half of fiscal year 2023. No shares were repurchased during the first half of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Commitments and Contractual Obligations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contractual obligations and commitments other than in the ordinary course of business since our fiscal year ended July 31, 2023.</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our Annual Report on Form 10-K for the fiscal year ended July 31, 2023 for additional information regarding our contractual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 January 31, 2024,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Rate Sensitivity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for changes in interest rates relates primarily to our cash, cash equivalents, and investments. Our cash, cash equivalents, and investments as of January 31, 2024 and July 31, 2023 were $932.7 million and $927.5 million, respectively, primarily consisting of cash, money market funds, corporate debt securities, U.S. government and agency debt securities, commercial paper, asset-backed securities, and non-U.S. government securities, which include state, municipal, and foreign government securities. Changes in interest rates, primarily in the United States, affect the interest earned on our cash, cash equivalents, and investments, and their market value. A hypothetical 100 basis point increase in interest rates is estimated to result in a decrease of $3.5 million and $3.0 million in the market value of our available-for-sale securities as of January 31, 2024 and July 31, 2023, respectively. Any realized gains or losses resulting from such interest rate changes would only occur if we sold the investments prior to maturity.</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ARR, and cash flows are subject to fluctuations due to changes in foreign currency exchange rates, particularly changes in the Australian Dollar, British Pound, Canadian Dollar, Euro, Indian Rupee, and Polish Zloty, the currency of the locations within which we have significant operations.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For the six months ended January 31, 2024 and 2023, we recorded a foreign currency loss of $4.6 million and $2.5 million, respectively, in other income (expense) in our condensed consolidated statement of operations primarily due to currency exchange rate fluctuations. We will continue to experience fluctuations in foreign currency exchange rates. If a hypothetical ten percent change in foreign currency exchange rates were to occur in the future, the resulting transaction gain or loss is estimated to be approximately $31.1 million. As our international operations grow, we will continue to assess our approach to managing our risk relating to fluctuations in currency rates.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material exposure to market risk with respect to investments in financial instruments, as our investments primarily consist of high-quality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strategic investments in privately held securities are in various classes of equity. The particular securities we hold, and their rights and preferences relative to those of other securities within the capital structure, may impact the magnitude by which our investment value moves in relation to movements in the total enterprise value of the company in which we are invested. As a result, our investment in a specific company may move by more or less than any change in value of that overall company. In addition, the financial success of our investment in any company is typically dependent on a liquidity event, such as a public offering, acquisition, or other favorable market event reflecting appreciation to the value of our investment. All of our investments, particularly those in privately held companies, are therefore subject to a risk of partial or total loss of invested capital.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Inherent Limitations of Internal Controls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quarter ended January 31, 2024 identified in management’s evaluation pursuant to Rules 13a-15(d) or 15d-15(d) of the Exchange Act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legal proceedings that arise in the ordinary course of our business. Any such proceedings, whether meritorious or not, could be time consuming, costly, and result in the diversion of significant operational resources and/or management time. 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5 “Commitments and Contingencies,” to our condensed consolidated financial statements included elsewhere in this Quarterly Report on Form 10-Q, which are incorporated by reference herein, we are not party to any material pending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bidi w:val="0"/>
        <w:spacing w:before="180" w:after="283"/>
        <w:ind w:left="0" w:right="0" w:hanging="1080"/>
        <w:jc w:val="left"/>
        <w:rPr/>
      </w:pPr>
      <w:r>
        <w:rPr/>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 description of the risks and uncertainties associated with our business is set forth below. You should carefully consider such risks and uncertainties, together with the other information contained in this Quarterly Report on Form 10-Q,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pStyle w:val="TextBody"/>
        <w:bidi w:val="0"/>
        <w:spacing w:lineRule="auto" w:line="288" w:before="18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SUMMARY OF MATERIAL RISKS ASSOCIATED WITH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risks and uncertainties affecting our business include (but are not limited to) the following: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trends in and timing of future sales, including the impact of seasonality;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developing market for cloud services and associated sales and delivery models, including the migration of our existing term license customers to cloud-based offerings on a subscription basis;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growth prospects of the property and casualty (“P&amp;C”) insurance industry;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reliance on orders from a relatively small number of customers in the P&amp;C insurance industry for a substantial portion of our revenue and Annual Recurring Revenue (“ARR”) and the related substantial negotiating leverage of these customers;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data security breaches of our cloud-based products or unauthorized access to our customers’ or employees’ data;</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competitive attributes of our applications, including developing and establishing our products to satisfy customer demands, maintain market acceptance, and meet local requirements of international markets;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political economies in which we operate internationally and the associated impact on interest rates, inflation, collection timeframes, and our revenue given the multi-year term for many of our international customer agreements;</w:t>
      </w:r>
    </w:p>
    <w:p>
      <w:pPr>
        <w:pStyle w:val="TextBody"/>
        <w:bidi w:val="0"/>
        <w:spacing w:lineRule="auto" w:line="288" w:before="180" w:after="283"/>
        <w:ind w:left="0" w:right="0" w:hanging="360"/>
        <w:jc w:val="both"/>
        <w:rPr/>
      </w:pPr>
      <w:r>
        <w:rPr>
          <w:strike/>
          <w:color w:val="000000"/>
        </w:rPr>
        <w:t>•</w:t>
      </w:r>
      <w:r>
        <w:rPr>
          <w:rFonts w:ascii="Times New Roman;sans-serif" w:hAnsi="Times New Roman;sans-serif"/>
          <w:b w:val="false"/>
          <w:color w:val="000000"/>
          <w:sz w:val="20"/>
        </w:rPr>
        <w:t>exposure to market risks, including geographical and political events, supply chain disruptions, inflation, financial markets’ volatility, and the recent global pandemic and their impact on our stock price and its volatility and our customers, partners, vendors, or our business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retaining existing and hiring new personnel, including managing personnel in a hybrid work environment;</w:t>
      </w:r>
    </w:p>
    <w:p>
      <w:pPr>
        <w:pStyle w:val="TextBody"/>
        <w:bidi w:val="0"/>
        <w:spacing w:lineRule="auto" w:line="288" w:before="180" w:after="283"/>
        <w:ind w:left="0" w:right="0" w:hanging="360"/>
        <w:jc w:val="both"/>
        <w:rPr/>
      </w:pPr>
      <w:r>
        <w:rPr>
          <w:strike/>
          <w:color w:val="000000"/>
        </w:rPr>
        <w:t>•</w:t>
      </w:r>
      <w:r>
        <w:rPr>
          <w:rFonts w:ascii="Times New Roman;sans-serif" w:hAnsi="Times New Roman;sans-serif"/>
          <w:b w:val="false"/>
          <w:color w:val="000000"/>
          <w:sz w:val="20"/>
        </w:rPr>
        <w:t>lengthy and variable sales and implementation cycles, with factors beyond our control including competitive pressures, potentially causing expenditure of significant time and resources prior to revenue generation;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challenges to growing our business including increasing our sales, revenue, and international operations, and its impact on our stock price;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factors that could affect our gross and operating margins, including revenue mix and costs related to operating, securing, and enhancing our subscription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timing and number of professional services engagements and the billing rates and utilization of our professional services employees and contractors;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dependence on customer renewals and expansions of their license, support, and subscription contracts for our products, which may not occur;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required compliance with current and evolving local data privacy laws in all jurisdictions where we have customers, and our ability to maintain the security of our customers’ data and our cloud-based products, limit the use of information, and related costs and liabilities incurred.</w:t>
      </w:r>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Business and Industry</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experience significant quarterly and annual fluctuations in our results of operations due to a number of factors.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may affect our results of operations include: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impact of economic downturns and related market volatility caused by economic volatility, inflation, bank failures and associated financial instability and crises, or other national and worldwide events on our business and the businesses of our customers, partners, and vendors;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attract new domestic and international customers and renew existing customers;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seasonal buying patterns of our potential customers and our ability to sell additional software and services to existing customers;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proportion and timing of subscription sales as opposed to term or perpetual software licenses, and the variations in revenue recognition between these contract types;</w:t>
      </w:r>
    </w:p>
    <w:p>
      <w:pPr>
        <w:pStyle w:val="TextBody"/>
        <w:bidi w:val="0"/>
        <w:spacing w:lineRule="auto" w:line="268" w:before="180" w:after="283"/>
        <w:ind w:left="0" w:right="0" w:hanging="360"/>
        <w:jc w:val="left"/>
        <w:rPr/>
      </w:pPr>
      <w:r>
        <w:rPr>
          <w:color w:val="000000"/>
        </w:rPr>
        <w:t>•</w:t>
      </w:r>
      <w:r>
        <w:rPr>
          <w:rFonts w:ascii="Times New Roman;sans-serif" w:hAnsi="Times New Roman;sans-serif"/>
          <w:b w:val="false"/>
          <w:color w:val="000000"/>
          <w:sz w:val="20"/>
        </w:rPr>
        <w:t>changes in contract durations of term software licenses and renewals or modifications of customer contracts;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increases in costs related to cloud operations, product development, and services;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develop and achieve market adoption of cloud-based services, including the impact of our customers transitioning from term software licenses to subscription services;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erosion in services margins or significant fluctuations in services revenue caused by changing customer demand, negotiated professional services billing rates, investments in customer implementation and migration projects, or fixed fee contracts;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enter into contracts on favorable terms, including terms related to price, payment timing, service levels, acceptance, and product delivery, especially with customers and prospects that possess substantial negotiating leverage and procurement expertise;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incurrence of penalties or having to renegotiate contract terms for failing to meet certain contractual obligations, including service levels, product development cycles and functionality, and implementation times and objectives;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security and privacy concerns related to employee data, customer data, and systems that are accessed or otherwise used by our hybrid workforce and customers;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employee retention, the ability to hire and onboard appropriate personnel, and the timing of hiring personnel and employee related expenses;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realize expected benefits from our acquisitions and other strategic business transactions;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reductions in our customers’ budgets for information technology purchases and delays in their purchasing decisions;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the impact of a recession or any other adverse global economic condition on our business, including pandemics, geographic and political conflicts, trade tariffs, trade agreements, and other uncertainties that may cause a delay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entering into, a failure to enter into, or cancel significant customer agreements or the fulfillment of professional service arrangements;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adverse litigation judgments, dispute-related settlement payments, or litigation-related costs; </w:t>
      </w:r>
    </w:p>
    <w:p>
      <w:pPr>
        <w:pStyle w:val="TextBody"/>
        <w:bidi w:val="0"/>
        <w:spacing w:lineRule="auto" w:line="268" w:before="180" w:after="283"/>
        <w:ind w:left="0" w:right="0" w:hanging="360"/>
        <w:jc w:val="left"/>
        <w:rPr/>
      </w:pPr>
      <w:r>
        <w:rPr>
          <w:color w:val="000000"/>
        </w:rPr>
        <w:t>•</w:t>
      </w:r>
      <w:r>
        <w:rPr>
          <w:rFonts w:ascii="Times New Roman;sans-serif" w:hAnsi="Times New Roman;sans-serif"/>
          <w:b w:val="false"/>
          <w:color w:val="000000"/>
          <w:sz w:val="20"/>
        </w:rPr>
        <w:t>future accounting pronouncements, changes in accounting rules, new tax laws or regulations, or tax interpretations and our related accounting policies, interpretations, and controls;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fluctuations in foreign currency exchange rates; and</w:t>
      </w:r>
    </w:p>
    <w:p>
      <w:pPr>
        <w:pStyle w:val="TextBody"/>
        <w:bidi w:val="0"/>
        <w:spacing w:lineRule="auto" w:line="268" w:before="180" w:after="283"/>
        <w:ind w:left="0" w:right="0" w:hanging="360"/>
        <w:jc w:val="left"/>
        <w:rPr/>
      </w:pPr>
      <w:r>
        <w:rPr>
          <w:color w:val="000000"/>
        </w:rPr>
        <w:t>•</w:t>
      </w:r>
      <w:r>
        <w:rPr>
          <w:rFonts w:ascii="Times New Roman;sans-serif" w:hAnsi="Times New Roman;sans-serif"/>
          <w:b w:val="false"/>
          <w:color w:val="000000"/>
          <w:sz w:val="20"/>
        </w:rPr>
        <w:t>the effects of inflation or deflation in the economies in which we operate, including Argentina, whose government is limiting the amount of U.S. dollars that can be sent out of the country, and their impact on interest rates, collection timeframes, and our revenue given the multi-year term of most customer agreements.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factors are difficult to forecast, and these, as well as other factors, could materially adversely affect our quarterly and annual results of operations. Further, due to multi-year term licenses and multi-year term license renewals, increased cloud-based subscription services, timing of and billing rates for professional services engagements, and other ongoing changes to our business, it is challenging to forecast our quarterly and annual results.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Seasonal sales patterns may cause significant fluctuations in our results of operations and cash flows and may prevent us from achieving our quarterly or annual forecasts, which may cause our stock price to decline.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see increased new orders in our fourth fiscal quarter, which is the quarter ending July 31, due to efforts by our sales team to achieve annual incentives. As a result, a significantly higher percentage of our annual license revenue and cash receipts have historically been recognized in our fourth fiscal quarter. Since a substantial majority of our license revenue has annual renewals after the initial term of the contract, we expect to continue to experience this seasonality effect in subsequent years. Generally, accounting under ASC 606 has and may continue to heighten or change the seasonal impact due to license revenue for the entire committed term of our new term licenses and multi-year term license renewals being recognized at the beginning of the agreement. Because of the upfront nature of revenue recognition for new multi-year term licenses and multi-year term license renewals, any quarter in which a significant agreement of this nature is signed, renewed, cancelled, or not renewed when scheduled to do so may be impacted.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quarter-over-quarter and year-over-year revenue growth comparisons. Cash flow expectations and comparisons could also be impacted because of the ramped nature of the annual installments of these multi-year subscription services arrangements but will most likely remain concentrated in the fourth fiscal quarter. Additionally, ARR, which reflects the annualized recurring value of active customer contracts at the end of a reporting period, will be impacted by the seasonality of new sales orders, even if the revenue is recognized ratably.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growth in revenue or ARR also may not coincide with new orders or cash flows in a given quarter, which could mask the impact of seasonal variations. This mismatch is primarily due to the following reasons: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subscription arrangements are recognized ratably and only a portion, if any, of the revenue from an order is recognized in the same fiscal period of the order;</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subscription arrangements generally have ramped invoicing schedules over the initial term, which affects ARR, but revenue is recognized ratably over the initial term;</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term license agreements and multi-year term license renewals generally have annual billing arrangements even though revenue is recognized upfront for the entire committed term;</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as customers enter into a subscription agreement to migrate from an existing term license agreement or as we invest in certain cloud implementations to assist our customers with their migration to our cloud services, the timing of revenue recognition may be impacted by the allocation of revenue between different performance obligations;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may enter into agreements with future product delivery requirements, specified terms for product upgrades or functionality, acceptance terms, early termination rights, or unconditional return rights, which may require us to delay revenue recognition for a period of time;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revenue recognition may not occur in the period when the order is placed due to certain revenue recognition criteria not being met, such as delivery of the software or providing access to the subscription 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seasonal patterns may be affected by the timing of particularly large transactions and the number of renewals in a given quarter. Seasonal and other variations may cause significant fluctuations in our revenue,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fail to successfully manage our transition to a business model focused on delivering cloud-based offerings on a subscription basis or fail to meet stipulated service levels with our subscription services, our results of operations could be harmed.</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To address demand trends in the P&amp;C insurance industry, we now offer customers the use of our software products through a cloud-based offering sold on a subscription basis in addition to our self-managed offering. This change to our business model requires a considerable investment of technical, operational, financial, legal, and sales resources.</w:t>
      </w:r>
      <w:r>
        <w:rPr>
          <w:color w:val="000000"/>
        </w:rPr>
        <w:t xml:space="preserve"> </w:t>
      </w:r>
      <w:r>
        <w:rPr>
          <w:rFonts w:ascii="Times New Roman;sans-serif" w:hAnsi="Times New Roman;sans-serif"/>
          <w:b w:val="false"/>
          <w:color w:val="000000"/>
          <w:sz w:val="20"/>
        </w:rPr>
        <w:t xml:space="preserve">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be the focus of existing resources, require us to hire additional resources, and increase costs, especially in cost of subscription and support revenue, cost of services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third-party infrastructure in which we rely to host our subscription services, may be difficult to predict over time, especially in light of our limited experience with the costs of delivering cloud-based versions of our applications. Furthermore, we may assume greater responsibilities for implementation of subscription services due to our operating and maintaining the cloud environment for our customers. As a result, we may face risks associated with new and complex implementations or migrations, the cost of which may differ from original estimates. Our subscription contracts also contain penalty clauses, for matters such as failing to meet stipulated service levels or other contractual provisions, which represent new risks we are not accustomed to managing. Should these penalties be triggered, our results of operations may be adversely affected. These penalties and costs could take the form of monetary credits for current or future service engagements, reduced fees for additional services or products or upon renewal of existing agreements, and a customer’s renegotiation or refusal to pay its contractually-obligated subscription or service fees.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under our cloud-based subscription model will generally be recognized ratably over the term of the contract. The transition to ratable revenue recognition will result in lower revenue than we otherwise would have recognized in the initial period of the customer agreement under term license agreements. This effect on recognized revenue may be magnified in any fiscal year due to the concentration of our orders in the fourth fiscal quarter. A combination of increased costs and delayed recognition of revenue would adversely impact our gross and operating margins compared to prior periods. Additionally, the change in our business model and the timing of our customers’ decision to transition from self-managed licenses to cloud-based subscription services could negatively affect our ability to forecast the timing and amount of our revenue in any period.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market acceptance of our cloud-based offerings may be affected by a variety of factors, including, but not limited to, price, security, reliability, performance, customer preference, public concerns regarding privacy, and the enactment of restrictive laws or regulations. We are continually updating our existing products and developing new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our customers’ ability to successfully migrate to and implement our subscription services, tax and accounting implications, and our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 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and ARR are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The composition of our individual top customers has and will vary from year to year. In fiscal years 2022 and 2023, our ten largest customers in each fiscal year accounted for 23% of our revenue. Additionally, our ten largest customers based on ARR accounted for 24% of total ARR at July 31, 2023. Customers for these metrics are calculated at the parent corporation level, while our total customer count is based on entities that have placed orders for our services or products. While we expect this reliance to decrease over time as our revenue, customer base and subscription services as a percentage of revenue grows, we expect that we will continue to depend upon a relatively small number of customers for a significant portion of our revenue and ARR for the foreseeable future. As a result, if we fail to successfully sell our products to one or more of these anticipated customers in any particular period or fail to identify additional potential customers or such customers purchase fewer of our products or professional services, defer or cancel orders, fail to renew their license or subscription agreements or otherwise terminate or reduce their relationship with us, our business, results of operations, and financial condition would be harmed. Additionally, if one or more of these anticipated customers enters into or transitions to a subscription agreement in any particular period, or if we fail to achieve the required performance or acceptance criteria for one or more of this relatively small number of customers, our quarterly and annual results of operations may fluctuate significantly.</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Recent global events have adversely affected, and may continue to adversely affect,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 global events have adversely affected and are continuing to adversely affect workforces, organizations, economies, and financial markets globally, leading to economic downturns, inflation, and increased market volatility. The ongoing wars between Israel and Hamas and between Russia and Ukraine, escalating tensions in the South China Sea, high inflation, increasing interest rates, bank failures and associated financial instability and crises, and supply chain issues have added to global economic and market volatility. Our past business and financial results, including our ARR growth rates, services revenue, and margins, were adversely impacted due to the disruptions resulting from these events. These global events have also disrupted the normal operations of our customers’ businesses and our SI partners’ businesses. The related impacts of recent global events on the global economy could decrease or delay technology spending and adversely affect demand for our products. Further, our sales and implementation cycles have increased and could continue to increase, which has resulted in and could result in contract terms more favorable to customers and a potentially longer delay between incurring operating expenses and the generation of corresponding revenue, if any, or difficulty in accurately forecasting our financial results. Additionally, our customers may be unable to pay outstanding invoices or may request amended payment terms due to the economic impacts from these global events and related implementation delays. As a result of these developments and the related economic impact to our business, we may be required to record impairment related to our operating lease assets, investments, long-lived assets, or goodwill. We may experience further operational challenges, including increased costs, as a portion of our workforce returns to working in person and gradually shifts to assisting customers in person, difficulty in hiring necessary personnel, and higher employee attrition. Due to the continuing and evolving nature of these global events, it is not possible for us to accurately predict the duration or magnitude of the adverse impacts and effects on our business, results of operations, or financial condition. Further, to the extent recent global events adversely affects our business, results of operations, or financial condition, it may also have the effect of heightening many of the other risks described in this “Risk Factors”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have transitioned to a hybrid in-person and remote workforce, which will subject us to certain operational challenges and risks and potential harm to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transitioned to a hybrid work environment in which a significant portion of our workforce works either in-person on a part-time basis or remotely on a permanent basis. As a result, we expect to continue to be subject to the challenges and risks of having a remote workforce, as well as new challenges and risks from operating with a hybrid workforce. For example, certain security systems in homes or other remote workplaces may be less secure than those used in our offices, which may subject us to increased security risks, including cybersecurity-related events, and expose us to risks of data or financial loss and associated disruptions to our business operations. Members of our workforce who work remotely may not have access to technology that is as robust as that in our offices, which could cause the networks, information systems, applications, and other tools available to those remote workers to be more limited or less reliable than in our offices. We may also be exposed to risks associated with the locations of remote workers, including compliance with local laws and regulations or exposure to compromised internet infrastructure. Allowing members of our workforce to work remotely may create intellectual property risk if employees create intellectual property on our behalf while residing in a jurisdiction with unenforced or uncertain intellectual property laws. Further, if employees fail to inform us of changes in their work location, we may be exposed to additional risks without our knowledge. The transition to hybrid in-person as well as remote working may also subject us to other operational challenges and risks. For example, our shift to hybrid working may adversely affect our ability to recruit and retain personnel who prefer a fully remote or fully in-person work environment. Operating our business with both remote and in-person workers, or workers who work in flexible locations and on flexible schedules, could have a negative impact on our corporate culture, decrease the ability of our workforce to collaborate and communicate effectively, decrease innovation and productivity, or negatively affect workforce morale and retention rates. In addition, we expect to incur costs related to the transition to a hybrid workforce to, among other things, facilitate permanent remote work for a portion of our workforce and update our offices to offer more collaborative workspaces. If we are unable to effectively transition to a hybrid workforce, manage the cybersecurity and other risks of remote work, and maintain our corporate culture and workforce morale, our business could be harmed or otherwise negatively impacted.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face intense competition in our market, which could negatively impact our business, results of operations, and financial condition and cause our market share to decline.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our products is intensely competitive. The competitors we face in any sale opportunity may change depending on, among other things, the line of business purchasing the software, the application or service being sold, the geography in which the customer is operating, and the size of the insurance carrier to which we are selling. For example, we are more likely to face competition from small independent firms when addressing the needs of small insurers. These competitors may compete on the basis of price, the time and cost required for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re-engineering and new technology implementation, may cause customers to prefer maintaining legacy systems. Also, maintaining these legacy systems may be so time consuming and costly for our potential customers that they do not have adequate resources to devote to the purchase and implementation of our products. We also compete against technology consulting firms that either helped create such legacy systems or may own, in full or in part, subsidiaries that develop software and systems for the P&amp;C insurance industry.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our product portfolio, we may begin to compete with software and service providers we have not competed against previously. Such potential competitors offer data and analytics tools that may, in time, become more competitive with our offerings.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competitors’ products, services, or technologies become more accepted than our solutions, if they are successful in bringing their products or services to market earlier than we are, if their products or services are more technologically capable than ours (including, without limitation, as a result of new or better use of evolving AI technologies, such as generative AI), or if customers replace our solutions with custom-built software, then our revenue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intensity of competition to remain high in the future, as the amount of capital invested in current and potential competitors, including insurtech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services and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security and lower the cost of delivery of our cloud-based solutions. New competitors are able to develop cloud-based solutions without the cost of maintaining or migrating existing solutions and satisfying existing customer requirements, which may allow them to introduce new services and products more quickly and on more efficient technologies than us. This may increase our costs more than we anticipate and may adversely impact our results of operations.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services and products,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sales and implementation cycles are lengthy and variable, depend upon factors outside our control, and could cause us to expend significant time and resources prior to generating revenue.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typical sales cycle for our products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products, including the technical capabilities of our products, the potential cost savings achievable by organizations deploying our products, and the benefits and risks associated with cloud-based services. Customers typically undertake a significant evaluation process, which frequently involves not only our products, but also those of our competitors. We spend substantial time, effort, and money in our sales 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and ARR. In addition, we sometimes commit to include specific functions in our base product offering at the request of a customer or group of customers and are unable to recognize revenue until the specific functions have been added to our products. Providing this additional functionality may be time consuming and may involve factors that are outside of our control. Customers may also insist that we commit to certain time frames in which systems built around our products will be operational or that once implemented our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implementation and testing of our products by our customers typically lasts six to 24 months or longer and unexpected implementation delays and difficulties can occur. Implementing our products typically involves integration with our customers’ and third parties’ systems and creating or updating the digital experience, as well as adding customer and third-party data to our platform. This process can be complex, time consuming, and expensive for our customers and can result in delays in the implementation and deployment of our products. Failing to meet the expectations of our customers during the implementation of our products could result in a loss of customers and negative publicity about us and our products. Such failure could result from deficiencies in our product capabilities, performance issues,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products or upon renewal of existing products, potential reversals of previously recognized revenue, renegotiating existing customers’ contractual terms, and a customer’s refusal to pay their contractually-obligated license, subscription, support, or service fees. In addition, time-consuming and delayed implementations may also increase the amount of services personnel we must allocate to the implementation for it to be successful, thereby increasing our costs and adversely affecting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sales and implementation cycles could be interrupted or affected by other factors outside of our control. We have had, and may in the future have, restrictions on travel, which are in accordance with recommendations by the U.S. government, The Centers for Disease Control and Prevention, and other equivalent agencies in the locations in which we operate, and our customers, SI partners, and prospects have likewise enacted their own preventative policies and travel restrictions. Widespread restrictions on travel and in-person meetings have affected and could, in the future, affect services delivery, delay implementations, and interrupt sales activity. We cannot predict the duration or the extent of adverse impacts from pandemics and other global events on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Failure to manage our expanding operations effectively could harm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consistent growth and expect to continue to expand our operations, including the number of employees and the locations and scope of our international operations. Additionally, we have transitioned to a hybrid work environment in which a large portion of our workforce works either in-person on a part-time basis or remotely on a permanent basis, which brings new challenges to managing our business and workforce. This expansion and changing work environment has placed, and will continue to place, a significant strain on our operational and financial resources and our personnel. To manage our anticipated future operational expansion effectively, we must continue to maintain and may need to enhance our information technology and cybersecurity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enhanced, or more secure products or investments in cloud operations. If we increase the size of our organization without experiencing an increase in sales of our products, we will experience reductions in our gross and operating margins and net income. If we are unable to effectively manage our expanding operations or hybrid work environment, our expenses may increase more than expected, our revenue could decline or grow more slowly than expected, and we may be unable to implement our business strategy.</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Revenue mix, as well as declines in our subscription and support gross margin or our services gross margin, could adversely affect our overall gross margin and profitability.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subscription and support revenue was 48% and 42% of total revenue for fiscal years 2023 and 2022, respectively. Our subscription and support revenue produces lower gross margins than our license revenue. The gross margin of our subscription and support revenue was 51% and 41% for fiscal years 2023 and 2022, respectively, while the gross margin for license revenue was 98% and 97% for fiscal years 2023 and 2022, respectively. As our cloud transition continues, we expect that subscription revenue will continue to increase as a percentage of total revenue as we contract with new cloud customers and existing customers migrate from term licenses to subscription services. Additionally, we are incurring significant expenses to develop our cloud services and scale our cloud operations which may not result in an improvement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 customers with their migration to our cloud services, continued growth and efficiency of our cloud operations and technical support teams, and the impact on the global economy as a result of pandemics, inflation, or other global events and disasters.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our services revenue was 23% and 26% of total revenue for fiscal years 2023 and 2022, respectively. Our services revenue produces lower gross margin than either our license revenue or our subscription and support revenue. The gross margin of our services revenue was negative in both fiscal years 2023 and 2022. If we experience an increase in the percentage of total revenue represented by services revenue, due to acquisitions or other factors, such increase could reduce our overall gross and operating margins. Fluctuation in our services revenue can result from several factors, some of which may be beyond our control, including the pace of our customers’ migration from term license to subscription services as we continue our cloud transition, change in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services team’s involvement in the implementation of new products, the rates we charge or discounts we offer for our services, our ability to bill our customers for all time incurred to complete a project, the extent and quality of implementations and migrations provided by our SI partners, and the impact on the global economy as a result of economic volatility, inflation, or other global events and disasters. Additionally, the failure to improve, or the erosion of, our services margin, whether due to discounts related to encouraging clients to accelerate their cloud transition or otherwise, particularly in combination with any increase in services revenue, could adversely affect our overall gross and operating margins. Our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or if we require additional personnel on unexpectedly difficult projects to ensure customer success, perhaps without receiving commensurate compensation.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customers include the world’s largest P&amp;C insurers. These customers have significant bargaining power when negotiating new licenses or subscriptions or renewals of existing agreements, and have the ability to buy similar products from other vendors or develop such systems internally. These customers have and may continue to seek advantageous pricing and other commercial and performance terms that may require us to develop additional features in the products we sell to them or add complexity to our customer agreements. These customers may also delay making payments under existing agreements, or at renewal, in an attempt to obtain more favorable terms from us. We have been required to, and may continue to be required to, reduce the average selling price and ARR of our products, along with agreeing to steeper ramps that delay reaching fully-ramped ARR, in response to these pressures. If we are unable to avoid reducing our average selling prices or ARR, our results of operations could be harmed.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business depends on customers renewing and expanding their license, support, and subscription contracts for our products. A decline in our customer renewals and expansions could harm our future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support arrangements after the expiration of the initial contractual period. Our customers’ renewal rates may fluctuate or decline because of several factors, including their satisfaction or dissatisfaction with our products, the prices of our products, the prices of products offered by our competitors, reduction in our customers’ business including their DWP, reductions in our customers’ spending levels due to the macroeconomic environment or other factors, or the sale of their operations to a buyer that is not a current customer.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Failure of any of our established services or products to satisfy customer demands or to maintain market acceptance could harm our business, results of operations, financial condition, and growth prospects.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derive a significant majority of our revenue and cash flows from our established product offerings, including Guidewire InsuranceSuite Cloud, Guidewire InsuranceNow, Guidewire InsuranceSuite for self-managed installations, and our digital and data products. We expect to continue to derive a substantial portion of our revenue from these sources. As such, continued market acceptance of these products is critical to our growth and success. Demand for our products is affected by a number of factors, some of which are beyond our control, including the successful implementation of our products, the timing of development and release of product upgrades, enhancements, and new products by us and our competitors, the cost and effort to migrate from self-managed products to subscription services, the ease of integrating our software to third-party software and services, technological advances that reduce the appeal of our products, changes in the regulations that our customers must comply with in the jurisdictions in which they 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products, our business, results of operations, financial condition and growth prospects may be adversely affected.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are unable to develop, introduce, and market new and enhanced versions of our products, we may be put at a competitive disadvantage.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Our success depends on our continued ability to develop, introduce, and market new and enhanced versions of our products to meet evolving customer requirements. Because some of our products are complex and require rigorous testing, new features, new functionality, and updates to our existing products can take significant time and resources to develop and bring to market.</w:t>
      </w:r>
      <w:r>
        <w:rPr>
          <w:color w:val="000000"/>
        </w:rPr>
        <w:t xml:space="preserve"> </w:t>
      </w:r>
      <w:r>
        <w:rPr>
          <w:rFonts w:ascii="Times New Roman;sans-serif" w:hAnsi="Times New Roman;sans-serif"/>
          <w:b w:val="false"/>
          <w:color w:val="000000"/>
          <w:sz w:val="20"/>
        </w:rPr>
        <w:t>As we expand internationally, our products must be modified and adapted to comply with regulations and other requirements of the countries in which our customers do business. Additionally, market conditions may dictate that we change the delivery method of our products or the technology platform underlying our existing products or that new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If we fail to develop new products, enhance our existing products, or migrate our products to the cloud, our business could be adversely affected, especially if our competitors are able to introduce products with enhanced functionality in the cloud. It is critical to our success for us to anticipate changes in technology, industry standards and regulations, and customer requirements and to successfully introduce new, enhanced, and competitive products to meet our customers’ and prospective customers’ needs on a timely basis. We have invested and intend to increase investments in research and development and cloud operations to meet these challenges.</w:t>
      </w:r>
      <w:r>
        <w:rPr>
          <w:color w:val="000000"/>
        </w:rPr>
        <w:t xml:space="preserve"> </w:t>
      </w:r>
      <w:r>
        <w:rPr>
          <w:rFonts w:ascii="Times New Roman;sans-serif" w:hAnsi="Times New Roman;sans-serif"/>
          <w:b w:val="false"/>
          <w:color w:val="000000"/>
          <w:sz w:val="20"/>
        </w:rPr>
        <w:t>Revenue may not be sufficient to support the future product development that is required for us to remain competitive. If we fail to develop products in a timely manner that are competitive in technology and price or develop products that fail to meet customer demands, our market share will decline and our business and results of operations could be harmed.</w:t>
      </w:r>
      <w:r>
        <w:rPr>
          <w:color w:val="000000"/>
        </w:rPr>
        <w:t xml:space="preserve"> </w:t>
      </w:r>
      <w:r>
        <w:rPr>
          <w:rFonts w:ascii="Times New Roman;sans-serif" w:hAnsi="Times New Roman;sans-serif"/>
          <w:b w:val="false"/>
          <w:color w:val="000000"/>
          <w:sz w:val="20"/>
        </w:rPr>
        <w:t>If our development efforts do not develop services, products or features that our customers find valuable, then we might incur impairment charges related to our capitalized software development costs.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Real or perceived errors or failures in our products and professional services, including implementation services, may affect our reputation, cause us to lose customers, and reduce sales and renewal rates, which may harm our business and results of operations and subject us to liability for breach of warranty claims.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Because we offer complex products, undetected errors or failures may exist or occur, especially when products are first introduced or when new versions or updates are released. Our products are often installed and used in large-scale computing environments with different operating systems, system management software, and equipment and networking configurations, which may cause errors or failures in our products or may expose undetected errors, failures, or bugs in our products. Despite testing by us, we may not identify all errors, failures, or bugs in new products or releases until after commencement of commercial sales or installation. In the past, we have discovered software errors, failures, and bugs in some of our offerings after their introduction. Additionally, our Guidewire Cloud offerings rely on third-party hosting services, primarily AWS.</w:t>
      </w:r>
      <w:r>
        <w:rPr>
          <w:color w:val="000000"/>
        </w:rPr>
        <w:t xml:space="preserve"> </w:t>
      </w:r>
      <w:r>
        <w:rPr>
          <w:rFonts w:ascii="Times New Roman;sans-serif" w:hAnsi="Times New Roman;sans-serif"/>
          <w:b w:val="false"/>
          <w:color w:val="000000"/>
          <w:sz w:val="20"/>
        </w:rPr>
        <w:t>Any material disruption or slowdown in these services or the systems of third parties who we depend upon could cause outages or delays in our products, which could harm our reputation and adversely affect our results of operations.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We provide our customers with upfront estimates regarding the duration, resources, and costs associated with the migration and</w:t>
      </w:r>
      <w:r>
        <w:rPr>
          <w:color w:val="000000"/>
        </w:rPr>
        <w:t xml:space="preserve"> </w:t>
      </w:r>
      <w:r>
        <w:rPr>
          <w:rFonts w:ascii="Times New Roman;sans-serif" w:hAnsi="Times New Roman;sans-serif"/>
          <w:b w:val="false"/>
          <w:color w:val="000000"/>
          <w:sz w:val="20"/>
        </w:rPr>
        <w:t>implementation of our products. Failure to meet these upfront estimates and the expectations of our customers could result from our product capabilities or professional service engagements performed by us, our SI partners, or our customers’ employees, the latter two of which are beyond our direct control. The consequences could include, and have included, monetary credits for current or future service engagements, reduced fees for additional products or upon renewal of existing products, renegotiation or modification of existing contracts that could potentially result in reversals of previously recognized revenue, or a customer’s refusal to pay its contractually-obligated fees. In addition, time-consuming or difficult migrations and implementations may also increase the amount of services personnel we must allocate to the project, potentially without commensurate compensation, thereby increasing our costs, lowering our services margin, and adversely affecting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license, subscription, and support of our products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ability to sell our services and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services and products to new customers and renew agreements with our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SI partners do not effectively assist our customers in deploying our products, successfully help our customers quickly resolve post-deployment issues, assist our customers in migrating from self-managed licenses to subscription services, and provide effective ongoing support, our ability to renew existing agreements and sell additional products to existing customers would be adversely affected and our reputation with potential customers could be damaged. Once our products are deployed and integrated with our customers’ existing information technology environment, our customers may depend on our technical support services and/or the support of SI partners or internal resources to resolve any issues relating to our products. High-quality support is critical for the continued successful marketing and sale of our products. In addition, as we continue to expand our operations internationally, our support organization will face additional challenges, including those associated with delivering support, training, and documentation in multiple languages. Many enterprise customers require higher levels of support than smaller customers. If we fail to meet the requirements of our larger customers, it may be more difficult to sell additional products to these customers or to transition existing license customers to subscription services, a key strategy for the growth of our revenue and profitability. In addition, as we further expand our cloud-based products, our professional services, cloud operations and support organizations will face new challenges, including hiring, training, and integrating a large number of new personnel with experience in delivering high-quality services and support for cloud-based offerings. Further, as we continue to rely on SIs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of our products by our SI partners. Our failure to maintain high-quality implementation and support services, or to ensure that SIs provide the same, could have a material adverse effect on our business, results of operations, financial condition, and growth prospects.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Issues in the development and use of AI, combined with an uncertain regulatory environment, may result in reputational harm, liability, or other adverse consequences to our business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machine learning and AI technologies in our offerings and business, and we are making investments in expanding our AI capabilities in our products, professional services, and tools, including ongoing deployment and improvement of existing machine learning and AI technologies, as well as developing new product features using generative AI technologies. AI technologies are complex and generative AI technologies, in particular, are rapidly evolving. We face significant competition from other companies as well as an evolving regulatory landscape in relation to these technologies. The introduction of AI technologies, including generative AI, into new or existing products may result in new or enhanced governmental or regulatory scrutiny, litigation, confidentiality or security risks, ethical concerns, or other complications that could adversely affect our business, reputation, or financial results. The intellectual property ownership and license rights, including without limitation copyright, surrounding AI technologies generally, and generative AI technologies specifically, has not been fully addressed by competent legal tribunals or applicable laws or regulations. Further, the use or adoption of third-party AI technologies, including generative AI technologies, into our products and services may result in exposure to claims of copyright infringement or other intellectual property-related causes of action.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Uncertainty around new and emerging AI technologies, such as generative AI, may require additional investment in the development and maintenance of proprietary datasets and machine learning models, development of new approaches and processes to provide attribution or remuneration to creators of training data, and development of appropriate protections and safeguards for handling the use of customer data with such technologies, which may be costly and could impact our expenses if we decide to expand AI technologies, including generative AI, into our product offerings. AI technologies, including without limitation generative AI, may create content that appears facially correct but is factually inaccurate or flawed. Our customers or others may rely on or use such factually incorrect or flawed content to their detriment, which may expose us to brand or reputational harm, competitive harm, and/or legal liability. In all events, the development, marketing and use of AI technologies, including, in particular, generative AI, presents emerging ethical and social issues, and if we enable or offer solutions that draw scrutiny or controversy due to their perceived or actual impact on customers or on society as a whole, we may experience brand or reputational harm, competitive harm, and/or legal liability.</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expand through acquisitions or partnerships with other companies, which may divert our management’s attention and result in unexpected operating and technology integration difficulties, increased costs, and dilution to our stockholders.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strategy includes the potential acquisition of shares or assets of companies with software, cloud-based services, technologies, or businesses complementary to ours. Our strategy also includes alliances with such companies. For example, we have made several acquisitions in the past, including most recently in August 2021, we acquired HazardHub, Inc., a leading insurtech provider of property risk insights. Acquisitions and alliances, such as our strategic partnerships with One Inc. and Smart Communications, may result in unforeseen operating difficulties and expenditures, be dilutive to earnings,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an acquisition or the establishment of an alliance offering new products, the timing of revenue from the sale of products that we acquired or that result from the alliance, or from the sale of a bundle of products that includes such new products, may be different than the timing of revenue from existing products. In addition, our ability to maintain favorable pricing of new products may be challenging if we bundle such products with existing products. A delay in the recognition of revenue from sales of acquired or alliance products, or reduced pricing due to bundled sales, may cause fluctuations in our quarterly financial results, may adversely affect our operating margins, and may reduce the benefits of such acquisitions or alliances.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are unable to continue the successful development of our global direct sales force and the expansion of our relationships with our strategic partners, sales of our products will suffer and our growth could be slower than we project.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products will suffer and our growth will be impeded.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SI partners help us reach additional customers. We believe our future growth also will depend on the retention and expansion of successful relationships with SI partners, including with SI partners that will focus on products we may acquire in the future. Our growth in revenue, particularly in international markets, will be influenced by the development and maintenance of relationships with SI partners, including regional and local SI partners. Although we have established relationships with some of the leading SI partners, our products may compete directly against products that such leading SI partners support or market. Additionally, we are unable to control the quantity or quality of resources that our SI partners commit to migrating or implementing our products, the quality or timeliness of such migrations and implementations, or the effects of pandemics and other global events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products, would have an adverse effect on our business and our results of operations could fail to grow in line with our projections.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international sales and operations subject us to additional risks that can adversely affect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products to customers located outside the United States, and we are continuing to expand our international operations as part of our growth strategy. In fiscal years 2023, 2022, and 2021, $331.5 million, $296.2 million, and $271.1 million of our revenue, respectively, was from customers outside of the United States. Our current international operations and our plans to expand our international operations subject us to a variety of risks, including: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management, travel, infrastructure, legal, and compliance costs associated with having multiple international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unique terms and conditions in contract negotiations imposed by customers in foreign countries;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longer payment cycles and difficulties in enforcing contracts and collecting accounts receivable;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need to localize our contracts and our products for international customers;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lack of familiarity with and unexpected changes in foreign regulatory requirements;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exposure to fluctuations in currency exchange rates, especially on revenue and ARR;</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highly inflationary international economies and certain governments, such as Argentina, which have placed controls on sending U.S. dollars outside of the country, resulting in extended collection periods and which may limit the collectibility of accounts receivable;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geographic and political conflicts, such as the wars between Israel and Hamas and between Russia and Ukraine and the escalating tensions in the South China Sea;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burdens and costs of complying with a wide variety of foreign laws and legal standards, including without limitation any new or evolving laws and regulations relating to the use of data in AI, generative AI, machine learning technologies, climate-related disclosures, and the General Data Protection Regulation in the European Union (“EU”) and the U.K.;</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compliance with the U.S. Foreign Corrupt Practices Act of 1977, as amended, the U.K. Bribery Act of 2010 and other anti-corruption regulations, particularly in emerging market countries;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compliance by international staff with accounting practices generally accepted in the United States, including adherence to our accounting policies and internal controls;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import and export license requirements, tariffs, taxes and other trade barriers;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financial accounting, tax and reporting burdens and complexities;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weaker protection of intellectual property rights in some countries;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multiple and possibly overlapping tax regimes, including certain Organization for Economic Cooperation and Development (“OECD”) proposals, including the implementation of the global minimum tax under the Pillar Two model rules;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government sanctions that may interfere with our ability to sell into particular countries, such as Russia;</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disruption to our operations caused by epidemics or pandemics;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political, social, and economic instability abroad, terrorist attacks, and security concerns in general.</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increase the number of products we offer, increase the number of countries in which we operate, and incorporate new technologies and capabilities into our products (including, without limitation, the use of AI, generative AI and machine learning technologies), the complexity of adjusting our offerings to comply with legal and regulatory changes will increase.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Incorrect or improper use of our products or our failure to properly train customers on how to utilize our products could result in customer dissatisfaction and negatively affect our business, results of operations, financial condition, and growth prospects.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are complex and are deployed in a wide variety of environments. The proper use of our products requires training of the customer. If our products are not used correctly or as intended, inadequate performance may result. Our products may also be intentionally misused or abused by customers or their employees or third parties who are able to access or use our products. Because our customers rely on our services, products, and support to manage a wide range of operations, the incorrect or improper use of our products, our failure to properly train customers on how to efficiently and effectively use our products, or our failure to properly provide services to our customers may result in negative publicity or legal claims against us. Also, any failure by us to properly provide training or other services to existing customers will likely result in lost opportunities for follow-on and increased sales of our products.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there is substantial turnover of customer personnel responsible, especially at the executive level, for the use and support of our products, or if customer personnel are not well trained in the use and support of our products, customers may defer the deployment of our products, may deploy them in a more limited manner than originally anticipated, or may not deploy them at all. Further, if there is substantial turnover of the customer personnel responsible for use of our products, our ability to renew existing licenses and make additional sales may be substantially limited.</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We may not be able to obtain capital when desired on favorable terms, if at all, and we may not be able to obtain capital or complete acquisitions through the use of equity without dilution to our stockholders.</w:t>
      </w:r>
      <w:r>
        <w:rPr>
          <w:color w:val="000000"/>
        </w:rPr>
        <w:t xml:space="preserv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need additional financing to execute on our current or future business strategies, including to develop new or enhance existing products, acquire businesses and technologies, or otherwise to respond to competitive pressures.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raise additional funds through the issuance of equity or convertible debt securities, the percentage ownership of our existing stockholders could be significantly diluted, and newly-issued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are not available on acceptable terms, when we desire them, our ability to fund our operations, take advantage of unanticipated opportunities, develop or enhance our products, or otherwise respond to competitive pressures would be significantly limited. Any of these factors could harm our results of operations.</w:t>
      </w:r>
    </w:p>
    <w:p>
      <w:pPr>
        <w:pStyle w:val="TextBody"/>
        <w:bidi w:val="0"/>
        <w:spacing w:lineRule="auto" w:line="288" w:before="180" w:after="283"/>
        <w:ind w:left="0" w:right="0" w:firstLine="495"/>
        <w:jc w:val="center"/>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Data Security and Privacy, Intellectual Property, and Information Technology</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If our products experience cybersecurity breaches, there is unauthorized access to our customers’ data, or unauthorized use of our products or any of these events are perceived to happen, we may lose current or future customers and our reputation and business may be harmed.</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If our security measures are breached, unauthorized access to our or our customers’ data, or unauthorized use of our products or any of these events are perceived to happen, our cloud services may be perceived as not being secure, customers may reduce the use of or stop using our products, we may incur significant liabilities, and our reputation could be harmed. Our products involve the storage and transmission of customer data (including, in some cases, personal data), are involved in the collection and distribution of funds, and may provide business critical analytics necessary for our customers’ operations. Security breaches could result in public disclosure of confidential information, loss or modification of data affecting our customers’ operations, fraud or theft, ransom demands, or other misuse of confidential information, which in turn could result in litigation, breach of contract claims, indemnity obligations, additional reporting requirements and/or oversight, restrictions on processing customer data, and other liabilities for our Company.</w:t>
      </w:r>
      <w:r>
        <w:rPr>
          <w:color w:val="000000"/>
        </w:rPr>
        <w:t xml:space="preserve"> </w:t>
      </w:r>
      <w:r>
        <w:rPr>
          <w:rFonts w:ascii="Times New Roman;sans-serif" w:hAnsi="Times New Roman;sans-serif"/>
          <w:b w:val="false"/>
          <w:color w:val="000000"/>
          <w:sz w:val="20"/>
        </w:rPr>
        <w:t xml:space="preserve">While we have taken, and are continually updating and enhancing, steps to protect the confidential information and customer data to which we have access, including confidential information we may obtain through our customer support services or customer usage of our cloud-based services, our security measures or the security measures of companies we rely on, such as AWS,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infiltrate systems change frequently and generally are not identified until they are launched against a target, we may be unable to anticipate these techniques or to implement adequate preventative measures despite our efforts in implementing and deploying security measures. The use of constantly evolving technologies by threat actors are sophisticated and complex and may increase the velocity of such threats, frequency of incident cases, and otherwise magnifying the risks associated with these types of attacks. Although we have developed systems and processes designed to protect our and our customers’ data, prevent loss or unauthorized modification of data, ensure only authorized use of services, and other cybersecurity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with existing customers, could cause existing customers to elect not to renew their term licenses or subscription agreements, or could subject us to third-party lawsuits, regulatory fines or other action or liability, thereby adversely affecting our results of operations and reputation. </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Privacy concerns could result in regulatory changes and impose additional costs and liabilities on us, limit our use of information, and adversely affect our business.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As adoption of our cloud-based products occurs, the amount of customer data, including customer personal information, that we manage, hold, and/or collect continues to increase.</w:t>
      </w:r>
      <w:r>
        <w:rPr>
          <w:color w:val="000000"/>
        </w:rPr>
        <w:t xml:space="preserve"> </w:t>
      </w:r>
      <w:r>
        <w:rPr>
          <w:rFonts w:ascii="Times New Roman;sans-serif" w:hAnsi="Times New Roman;sans-serif"/>
          <w:b w:val="false"/>
          <w:color w:val="000000"/>
          <w:sz w:val="20"/>
        </w:rPr>
        <w:t xml:space="preserve">In addition, our products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privacy and data security has become a significant issue in the United States, Europe, the U.K., and many other jurisdictions where we operate.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Many federal, state, and foreign legislatures and government agencies have imposed, are considering imposing, or are considering changing restrictions and requirements about the collection, use, and disclosure of personal information. Changes to laws or regulations affecting privacy could impose additional costs and liabilities, including fines, on us and could limit our use of such information to add value for customers, including for example, the California Consumer Privacy Act and the California Privacy Rights Act, which substantially went into effect on January 1, 2023, other state privacy laws enacted in recent years, and the Court of Justice of the EU’s invalidation of the Privacy Shield framework in July 2020. On July 16, 2020, the Court of Justice of the EU issued a verdict that ruled that the EU-US Privacy Shield, on which many companies relied on to transfer their data between the EU and the U.S., was invalidated due to concerns around surveillance by U.S. state and law enforcement agencies, known as the Schrems II decision.</w:t>
      </w:r>
      <w:r>
        <w:rPr>
          <w:color w:val="000000"/>
        </w:rPr>
        <w:t xml:space="preserve"> </w:t>
      </w:r>
      <w:r>
        <w:rPr>
          <w:rFonts w:ascii="Times New Roman;sans-serif" w:hAnsi="Times New Roman;sans-serif"/>
          <w:b w:val="false"/>
          <w:color w:val="000000"/>
          <w:sz w:val="20"/>
        </w:rPr>
        <w:t>Schrems II now requires companies to conduct case-by-case assessments of each data transfer to a non-EU country in order to ensure that such data is adequately protected. In July of 2023, the European Commission adopted a new adequacy decision in relation to the EU-US Data Privacy Framework (“DPF”), rendering the DPF effective as a General Data Protection Regulation 2016/679 (“GDPR”) transfer mechanism to U.S. entities self-certified under the DPF. We expect the DPF Adequacy Decision to be challenged and international transfers to the U.S. and to other jurisdictions more generally to continue to be subject to enhanced scrutiny by regulators. If we were required to change our business activities or revise or eliminate services, or to implement burdensome compliance measures, our business and results of operations could be harmed.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products and reduce overall demand.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concerns regarding data privacy and/or security may cause our customers’ customers to resist providing the data and information necessary to allow our customers to use our products effectively. Even the perception that the privacy and/or security of personal information is not satisfactorily managed, or does not meet applicable legal, regulatory, and other requirements, could inhibit sales of our services or products, and could limit adoption of our solutions, resulting in a negative impact on our sales, reputation, and results from operations.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Emerging policy and regulatory responses to AI and machine learning and their potential implications for the fields of information technology, data privacy and security may result in increased compliance costs and associated concerns for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present, multiple jurisdictions are taking a heightened interest in AI and machine learning, which we make use of. There has been a recent wave of policy and regulatory responses from various governments rolling out action plans for risk mitigation to legislation being introduced to generally oversee the use of AI. For example, on October 30, 2023, the President of the United States issued an executive order on the Safe, Secure, and Trustworthy Development and Use of Artificial Intelligence, which issued guidelines and standards to certain executive departments for development and deployment of AI. In the EU, there is now political agreement on the EU Artificial Intelligence Act (“EU AI Act”), which establishes a comprehensive, risk-based governance framework for AI in the EU market. The EU AI Act is expected to become effective in 2024, and the majority of the substantive requirements will apply two years later. The EU AI Act will apply to companies that develop, use and/or provide AI in the EU and includes requirements around transparency, conformity assessments and monitoring, risk assessments, human oversight, security, accuracy, general purpose AI and foundation models, and proposes fines for breach of up to 7% of worldwide annual turnover (revenue). In addition, in 2022, the European Commission proposed two directives seeking to establish a harmonized civil liability regime for AI in the EU, in order to facilitate civil claims in respect of harm caused by AI and to include AI-enabled products within the scope of the EU’s existing strict liability regime.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such global laws and regulations, if adopted, including those relating to rapidly evolving generative AI, has and will continue to require valuable management and employee time and resources, and any actual or perceived failure to comply with these laws and regulations could include severe penalties, reputational harm, and reduce demand for our products.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Privacy concerns in the EU and the U.K. are evolving and we may face fines and other penalties, as well as reputational harm, if we fail to comply with these current and evolving laws, and compliance with these laws may increase our expenses and adversely affect our business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27, 2016, the EU adopted the GDPR, that took effect on May 25, 2018. The GDPR applies to any company established in the European Economic Area (“EEA”) as well as to those outside the EEA if they carry out processing of personal data of individuals in the EEA that is related to the offering of goods or services to them or the monitoring of their behavior. The GDPR has enhanced data protection obligations for processors and controllers of personal data, including, for example, expanded disclosures about how personal data is to be used, limitations on retention of personal data, enhanced data subject rights, mandatory data breach notification requirements, and onerous new obligations on data processors. Non-compliance with the GDPR can trigger fines of up to €20 million, or 4% of total worldwide annual revenues, whichever is higher. Given the breadth and depth of changes in data protection obligations, complying with GDPR requirements has caused us to expend significant resources and such expenditures are likely to continue into the near future as we respond to new interpretations, regulatory guidance, and enforcement decisions and as we continue to negotiate data processing agreements with our customers and business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In addition, the GDPR restricts transfers of personal data outside of the EEA to countries deemed to lack adequate privacy protections, including the U.S., unless an appropriate safeguard specified by the GDPR is implemented, such as the Standard Contractual Clauses (“SCCs”) approved by the European Commission and, until July 16, 2020, the Privacy Shield for EU–U.S. data transfers. On July 16, 2020, the European Court of Justice (“ECJ”) invalidated the EU-U.S. Privacy Shield, but it deemed that SCCs are valid, provided additional safeguards are in place. However, the ECJ ruled that transfers made pursuant to SCCs and other alternative transfer mechanisms need to be analyzed on a case-by-case basis to ensure EU standards of data protection are met in the jurisdiction where the data importer is based, and there continue to be concerns about whether SCCs will face additional challenges.</w:t>
      </w:r>
      <w:r>
        <w:rPr>
          <w:color w:val="000000"/>
        </w:rPr>
        <w:t xml:space="preserve"> </w:t>
      </w:r>
      <w:r>
        <w:rPr>
          <w:rFonts w:ascii="Times New Roman;sans-serif" w:hAnsi="Times New Roman;sans-serif"/>
          <w:b w:val="false"/>
          <w:color w:val="000000"/>
          <w:sz w:val="20"/>
        </w:rPr>
        <w:t>For transfers to the U.S., the European Commission has now adopted an Adequacy Decision for entities self-certified under the new DPF, rendering the DPF effective as a GDPR transfer mechanism for such entities. However,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Moreover, on September 8, 2020, the Swiss Federal Data Protection and Information Commissioner announced that it no longer considers the Swiss-U.S. Privacy Shield to provide adequate protections for transfers of Swiss personal data to the U.S., following the invalidation of the EU-U.S. Privacy Shield by the ECJ. Further, on June 4, 2021, the European Commission published revised standard contractual clauses for data transfers from the EEA. We are required to implement the revised standard contractual clauses in relation to our customer arrangements within the relevant time frames, which could increase our compliance costs and adversely affect our business. We (and many other companies) may be required to adopt additional measures to accomplish and maintain legitimate means for the transfer and receipt of personal data from the EU to the United States and other countries.</w:t>
      </w:r>
      <w:r>
        <w:rPr>
          <w:color w:val="000000"/>
        </w:rPr>
        <w:t xml:space="preserve"> </w:t>
      </w:r>
      <w:r>
        <w:rPr>
          <w:rFonts w:ascii="Times New Roman;sans-serif" w:hAnsi="Times New Roman;sans-serif"/>
          <w:b w:val="false"/>
          <w:color w:val="000000"/>
          <w:sz w:val="20"/>
        </w:rPr>
        <w:t>As data protection authorities continue to issue further guidance and orders on personal data export mechanisms and/or continue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hesitancy, reluctance, or refusal by European or multi-national customers to continue to use our products due to the potential risk exposure to such customers as a result of such developments and the data protection obligations imposed on them by various data protection authorities. Such customers may also view any alternative approaches to the transfer of any personal data as being too costly, too burdensome, or otherwise objectionable, and therefore may decide not to do business with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Given our current transition to more cloud-based products and the current data protection landscape in the EU, we may be subject to greater risk of potential inquiries and/or enforcement actions from regulators. We may find it necessary to establish alternative systems to maintain EEA personal data within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Since January 1, 2021, as a result of Brexit, the U.K. has brought the GDPR into domestic U.K. law with the Data Protection Act 2018 (“U.K. GDPR”), which remains in force. As we are subject to the supervision of relevant data protection authorities under both the GDPR and UK GDPR, we could be fined under each of those regimes independently in respect of the same breach. The U.K. GDPR mirrors the data protection obligations and fines under the GDPR, but there may be further developments about the regulation of particular issues such as U.K. data exports. The United Kingdom’s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We will be required to implement the latest U.K. data transfer documentation for data transfers subject to the U.K. GDPR, in relation to relevant existing contracts and certain additional contracts and customer arrangements, within the relevant time frames. On June 28, 2021, the European Commission adopted an adequacy decision in favor of the U.K., enabling data transfers from EEA member states to the U.K. without additional safeguards. However, the U.K. adequacy decision will automatically expire in June 2025 unless the European Commission re-assesses and renews/extends that decision, and it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w:t>
      </w:r>
      <w:r>
        <w:rPr>
          <w:color w:val="000000"/>
        </w:rPr>
        <w:t xml:space="preserve"> </w:t>
      </w:r>
      <w:r>
        <w:rPr>
          <w:rFonts w:ascii="Times New Roman;sans-serif" w:hAnsi="Times New Roman;sans-serif"/>
          <w:b w:val="false"/>
          <w:color w:val="000000"/>
          <w:sz w:val="20"/>
        </w:rPr>
        <w:t>These changes may lead to additional costs and increase our overall risk exposure.</w:t>
      </w:r>
      <w:r>
        <w:rPr>
          <w:color w:val="000000"/>
        </w:rPr>
        <w:t xml:space="preserv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Anticipated further evolution of EU and U.K. regulations on data privacy and security and any related changes to the regulatory framework in these or other countries may increase substantially our risk exposure to the penalties to which we could be subject in the event of any non-compliance. We may incur substantial expense in complying with the new obligations to be imposed by new regulations and interpretations of existing regulations and we may be required to make significant changes to our software applications and expanding business operations, all of which may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Assertions by third parties of infringement or other violation by us of their intellectual property rights could result in significant costs and substantially harm our business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our products do not infringe upon the intellectual property rights of third parties, we cannot assure that we are not infringing or otherwise violating any third-party intellectual property rights or that third parties will not assert infringement or misappropriation claims against us with respect to current or future services or products, or that any such assertions will not require us to enter into royalty arrangements, result in costly litigation, or result in us being unable to use certain intellectual property.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services or products that are alleged to infringe or misappropriate the intellectual property of others; expend additional development resources to redesign our services or products;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Failure to protect our intellectual property could substantially harm our business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services or products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products that have enabled us to be successful to date.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and our customers rely on technology and intellectual property of third parties, the loss of which could limit the functionality of our products and disrupt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technology and intellectual property licensed from unaffiliated third parties in certain of our products, and we may license additional third-party technology and intellectual property in the future. Any errors, defects or security issues in this third-party technology and intellectual property or the integration of third-party technology and intellectual property with our products could result in errors that could harm our brand and business. Moreover, licensed technology and intellectual property may not continue to be available on commercially reasonable terms, or at all, or otherwise will be subject to restrictions that under applicable law could adversely affect our proprietary software. The loss of the right to license and distribute this third-party technology could limit the functionality of our products and might require us to redesign our products.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Guidewire Cloud offerings rely on third-party hosting and infrastructure services provided by AWS, for the continuous, reliable, and secure operation of servers, related hardware and software, and network infrastructure. A prolonged AWS service disruption or slowdown for any reason could damage our reputation with current and potential customers, expose us to liability, cause us to lose customers, or otherwise harm our business. </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Some of our products and technologies may use “open source” software, which may restrict how we use or distribute our services or require that we release the source code of certain products subject to those licenses.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products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 Further, this third-party technology and intellectual property has the potential for security-related concerns, given that we do not create or maintain such third-party technology and intellectual property that may be exposed to unknown future security risks, such as the Log4j vulnerability.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may be obligated to disclose our proprietary source code to our customers, which may limit our ability to protect our intellectual property and could reduce the renewals of our support 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software license agreements typically contain provisions permitting the customer to become a party to, or a beneficiary of, a source code escrow agreement under which we place the proprietary source code for our applicable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products by exercising this right, and others may do so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Disclosing the content of our source code may limit the intellectual property protection we can obtain or maintain for that source code or the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pStyle w:val="TextBody"/>
        <w:bidi w:val="0"/>
        <w:spacing w:lineRule="auto" w:line="288" w:before="180" w:after="283"/>
        <w:ind w:left="0" w:right="0" w:firstLine="360"/>
        <w:jc w:val="center"/>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Legal, Regulatory, Accounting, and Tax Matters</w:t>
      </w:r>
    </w:p>
    <w:p>
      <w:pPr>
        <w:pStyle w:val="TextBody"/>
        <w:bidi w:val="0"/>
        <w:spacing w:lineRule="auto" w:line="288" w:before="180" w:after="283"/>
        <w:ind w:left="0" w:right="0" w:firstLine="360"/>
        <w:jc w:val="both"/>
        <w:rPr/>
      </w:pPr>
      <w:r>
        <w:rPr>
          <w:rFonts w:ascii="Times New Roman;sans-serif" w:hAnsi="Times New Roman;sans-serif"/>
          <w:b/>
          <w:i/>
          <w:color w:val="000000"/>
          <w:sz w:val="20"/>
        </w:rPr>
        <w:t>The nature of our business requires the application of accounting guidance that requires management to make estimates and assumptions. Reported results under United States Generally Accepted Accounting Principles (“GAAP”) may vary from key metrics used to measure our business. Additionally, changes in accounting guidance may cause us to experience greater volatility in our quarterly and annual results.</w:t>
      </w:r>
      <w:r>
        <w:rPr>
          <w:color w:val="000000"/>
        </w:rPr>
        <w:t xml:space="preserve"> </w:t>
      </w:r>
      <w:r>
        <w:rPr>
          <w:rFonts w:ascii="Times New Roman;sans-serif" w:hAnsi="Times New Roman;sans-serif"/>
          <w:b/>
          <w:i/>
          <w:color w:val="000000"/>
          <w:sz w:val="20"/>
        </w:rPr>
        <w:t>If we are unsuccessful in adapting to and interpreting the requirements of new guidance, or in clearly explaining to stockholders how new guidance affects reporting of our results of operations, our stock price may decline.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prepare our consolidated financial statements to conform to GAAP. These accounting principles are subject to interpretation by the SEC, Financial Accounting Standards Board (“FASB”), and various bodies formed to interpret and create accounting rules and regulations. Accounting standards, such as ASC 606 - Revenue from Contracts with Customers or ASC 842 - Leases,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impact of future changes to accounting principles or our related accounting policies on our financial statements going forward. In addition, were we to change our accounting estimates, including those related to the timing of revenue recognition and those used to allocate revenue between various performance obligations, our reported revenue and results of operations could be significantly impacted. If we are unsuccessful in adapting to the requirements of any new standard, or if changes to our go-to-market strategy create new risks, then we may experience greater volatility in our quarterly and annual results, which may cause our stock price to decline.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Further, revenue recognition standards require significant judgment and estimates that impact our reported revenue and results of operations. Additionally, reported revenue has and will vary from the ARR, a non-GAAP metric, and cash flow associated with each customer agreement.</w:t>
      </w:r>
      <w:r>
        <w:rPr>
          <w:color w:val="000000"/>
        </w:rPr>
        <w:t xml:space="preserve"> </w:t>
      </w:r>
      <w:r>
        <w:rPr>
          <w:rFonts w:ascii="Times New Roman;sans-serif" w:hAnsi="Times New Roman;sans-serif"/>
          <w:b w:val="false"/>
          <w:color w:val="000000"/>
          <w:sz w:val="20"/>
        </w:rPr>
        <w:t>For example, for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This potential difference and variability in the trends of reported amounts may cause volatility in our stock price.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fail to maintain effective internal control over financial reporting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publicly-traded company we disclose whether our internal control over financial reporting and disclosure controls and procedures are effective.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continually undertake steps to improve our internal control over financial reporting as our business changes, we may not be successful in making the improvements and changes necessary to be able to identify and remediate control deficiencies or material weaknesses on a timely basis.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be subject to regulatory investigations and penalties; investors may lose confidence in our financial reporting; we may suffer defaults under our debt instruments; and our stock price may decline.</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tax laws change or we experience adverse outcomes resulting from examination of our income tax returns, it could adversely affect our results of operations.</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and local income taxes in the United States and in foreign jurisdictions. Our future effective tax rates and the value of our deferred tax assets could be adversely affected by changes in, interpretations of, and guidance regarding tax laws, including impacts of the Tax Cuts and Jobs Act of 2017 (the “Tax Act”), the Coronavirus Aid, Relief, Economic Security Act of 2020, the Inflation Reduction Act of 2022, and certain OECD proposals, including the implementation of the global minimum tax under the Pillar Two model rules.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pStyle w:val="TextBody"/>
        <w:bidi w:val="0"/>
        <w:spacing w:lineRule="auto" w:line="288" w:before="180" w:after="283"/>
        <w:ind w:left="0" w:right="0" w:firstLine="360"/>
        <w:jc w:val="center"/>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Ownership of Our Common Stock</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stock price may be volatile, which could result in securities class action litigation against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be subject to wide fluctuations in response to, among other things, the risk factors described in this report, the timing and amount of any share repurchases by us, and other factors beyond our control, such as fluctuations in the valuation of companies perceived by investors to be comparable to us and research analyst coverage about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inflation or deflation, armed conflict, or international currency fluctuations, have and may continue to affect the market price of our common stock.</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In the past, we and many companies</w:t>
      </w:r>
      <w:r>
        <w:rPr>
          <w:color w:val="000000"/>
        </w:rPr>
        <w:t xml:space="preserve"> </w:t>
      </w:r>
      <w:r>
        <w:rPr>
          <w:rFonts w:ascii="Times New Roman;sans-serif" w:hAnsi="Times New Roman;sans-serif"/>
          <w:b w:val="false"/>
          <w:color w:val="000000"/>
          <w:sz w:val="20"/>
        </w:rPr>
        <w:t>that have experienced volatility in the market price of their stock have been subject to securities class action litigation and we may become the target of complaints of this type of litigation in the future. Securities litigation against us could result in substantial costs and divert our management’s attention from our business, which could seriously harm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currently do not intend to pay dividends on our common stock and, consequently, the only opportunity to achieve a return on investment is if the price of our common stock appreciates.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Certain provisions of our certificate of incorporation and bylaws and of Delaware law could prevent a takeover that stockholders consider favorable and could also reduce the market price of our stock.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not providing for cumulative voting in the election of directors, which limits the ability of minority stockholders to elect director candidates;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authorizing our board of directors to issue, without stockholder approval, preferred stock rights senior to those of common stock, which could be used to significantly dilute the ownership of a hostile acquirer;</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prohibiting stockholder action by written consent, which forces stockholder action to be taken at an annual or special meeting of our stockholders;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limiting the persons who may call special meetings of stockholders, which could delay the ability of our stockholders to force consideration of a proposal or to take action, including the removal of directors;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affirmative vote of the holders of at least a majority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of our shares being lower than it would be without these provisions.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Our amended and restated bylaws designate certain state or federal courts as the exclusive forum for certain litigation that may be initiated by our stockholders, which could limit stockholders’ ability to obtain a favorable judicial forum for disputes with us.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bylaws provide that, unless we consent in writing to the selection of an alternative forum, to the fullest extent permitted by law, the Court of Chancery of the State of Delaware will be the sole and exclusive forum for any state law claim for: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any derivative action or proceeding brought on our behalf;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any action asserting a claim of breach of a fiduciary duty owed by any of our directors, officers, or other employees to us or our stockholders;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any action asserting a claim arising pursuant to the Delaware General Corporation Law, our amended and restated certificate of incorporation or our amended and restated bylaws; or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any action asserting a claim that is governed by the internal affairs doctrine (the “Delaware Forum Provision”).</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The Delaware Forum Provision will not apply to any causes of action arising</w:t>
      </w:r>
      <w:r>
        <w:rPr>
          <w:color w:val="000000"/>
        </w:rPr>
        <w:t xml:space="preserve"> </w:t>
      </w:r>
      <w:r>
        <w:rPr>
          <w:rFonts w:ascii="Times New Roman;sans-serif" w:hAnsi="Times New Roman;sans-serif"/>
          <w:b w:val="false"/>
          <w:color w:val="000000"/>
          <w:sz w:val="20"/>
        </w:rPr>
        <w:t>under the Securities Act or the Exchange Act.</w:t>
      </w:r>
      <w:r>
        <w:rPr>
          <w:color w:val="000000"/>
        </w:rPr>
        <w:t xml:space="preserve"> </w:t>
      </w:r>
      <w:r>
        <w:rPr>
          <w:rFonts w:ascii="Times New Roman;sans-serif" w:hAnsi="Times New Roman;sans-serif"/>
          <w:b w:val="false"/>
          <w:color w:val="000000"/>
          <w:sz w:val="20"/>
        </w:rPr>
        <w:t>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 as we 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(including, without limitation, any claims in respect of stockholder nominations of directors as permitted under our amended and restated bylaws),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We cannot guarantee that any share repurchase program will be fully consummated or it will enhance stockholder value, and share repurchases could affect the price of our common stock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our board of directors authorized and approved a share repurchase program of up to $400.0 million of our outstanding common stock. As of January 31, 2024, $138.2 million of the share repurchase program remained available for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repurchases. Share repurchases under the program may be made from time to time, in the open market, in privately negotiated transactions and otherwise, at the discretion of management and in accordance with applicable federal securities laws, including Rule 10b-18 of the Exchange Act, and other applicable legal requirements. Such repurchases may also be made in compliance with Rule 10b5-1 trading plans entered into by us. The timing, pricing, and size of these repurchases will depend on a number of factors, including the market price of our common stock and general market and economic conditions. The share repurchase program does not obligate us to repurchase any dollar amount or number of shares, and the program may be suspended or discontinued at any time, which may result in a decrease in the price of our common stock. The share repurchase program could affect the price of our common stock, increase volatility, and diminish our cash reserves.</w:t>
      </w:r>
    </w:p>
    <w:p>
      <w:pPr>
        <w:pStyle w:val="TextBody"/>
        <w:bidi w:val="0"/>
        <w:spacing w:lineRule="auto" w:line="288" w:before="180" w:after="283"/>
        <w:ind w:left="0" w:right="0" w:firstLine="495"/>
        <w:jc w:val="center"/>
        <w:rPr>
          <w:rFonts w:ascii="Times New Roman;sans-serif" w:hAnsi="Times New Roman;sans-serif"/>
          <w:b/>
          <w:color w:val="000000"/>
          <w:sz w:val="20"/>
          <w:u w:val="single"/>
        </w:rPr>
      </w:pPr>
      <w:r>
        <w:rPr>
          <w:rFonts w:ascii="Times New Roman;sans-serif" w:hAnsi="Times New Roman;sans-serif"/>
          <w:b/>
          <w:color w:val="000000"/>
          <w:sz w:val="20"/>
          <w:u w:val="single"/>
        </w:rPr>
        <w:t>General Risk Factors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If we are unable to retain our personnel and hire and integrate additional skilled personnel, we may be unable to achieve our goals and our business will suffer.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Additionally, our stakeholders increasingly expect us to have a culture that embraces diversity, inclusion, and belonging. Our inability to attract and retain diverse and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 delay or prevent us from achieving our business and/or development objectives and could disrupt or materially harm our business.</w:t>
      </w:r>
      <w:r>
        <w:rPr>
          <w:color w:val="000000"/>
        </w:rPr>
        <w:t xml:space="preserve"> </w:t>
      </w:r>
      <w:r>
        <w:rPr>
          <w:rFonts w:ascii="Times New Roman;sans-serif" w:hAnsi="Times New Roman;sans-serif"/>
          <w:b w:val="false"/>
          <w:color w:val="000000"/>
          <w:sz w:val="20"/>
        </w:rPr>
        <w:t>Although we strive to reduce the challenges of any transition, failure to ensure effective transfer of knowledge and a smooth transition could disrupt or adversely affect our business, results of operations, financial condition, and prospects.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 such personnel, and we may lose new employees to our competitors or other technology companies before we realize the benefit of our investment after recruiting and training them.</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Additionally, current global events and recent economic conditions have increased attrition and decreased the number of available candidates for open positions, which has increased the time to identify and hire new employees. We may be unable to attract and retain suitably qualified individuals who are capable of meeting our growing technical, operational, and managerial requirements, including managing employees and contractors remotely or in a hybrid environment, or we may be required to pay increased compensation in order to do so.</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ability to expand geographically depends, in large part, on our ability to attract, retain, and integrate managers with the appropriate skills to lead the local business and employees. Similarly, our profitability depends on our ability to effectively utilize personnel with the right mix of skills and experience to perform services for our clients, including our ability to transition employees to new assignments on a timely basis. If we are unable to effectively deploy our employees globally on a timely basis to fulfill the needs of our clients, our reputation could suffer and our ability to attract new clients may be harmed.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technical nature of our products and the dynamic market in which we compete, any failure to attract, integrate, and retain qualified direct sales, professional services, cloud operations, and product development personnel, as well as our contract workers, could harm our ability to generate sales, deliver consulting services, manage our customers’ cloud environments, or successfully develop new products and enhancements of existing products.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Increased and complex scrutiny of environmental, social, and governance (“ESG”) matters may require us to incur additional costs or otherwise adversely impact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Increased investor, governmental, and societal attention to and expectations around the wide range of issues generally referred to as ESG matters and our response to the same, may result in increased costs (including, but not limited to, increased costs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compliance, stakeholder engagement and contracting), impact our reputation, or otherwise negatively affect our business performance. In addition, organizations that provide information to investors on corporate governance and related matters have developed ratings processes for evaluating companies on ESG matters, while other organizations are pushing corporations not to focus on ESG matters in decision making. Both unfavorable ESG ratings and engaging in activities designed to improve such ratings could lead to negative investor sentiment toward us and/or our industry, which could have a negative impact on our access to and costs of capital. To the extent ESG matters negatively impact our reputation, we may also not be able to compete as effectively to recruit or retain employees. We may take certain actions in relation to ESG matters in response to stakeholder demand; however, such actions may be costly or be subject to numerous conditions that are outside our control, and we cannot guarantee that such actions will have the desired effect or outcome.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while we may create and publish voluntary disclosures regarding ESG matters (in particular, information related to environmental and human capital matters) from time to time, many of the statements in such voluntary disclosures are based on certain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environmental and human capital matters. Such disclosures may also be at least partially reliant on third-party information that we have not independently verified or that otherwise cannot be independently verified.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about our environmental and human capital initiatives and goals, and progress against those goals, may be based on standards for measuring progress that are still developing, internal controls and processes that continue to evolve, and assumptions that are subject to change in the future. If our related data, processing and reporting are incomplete or otherwise inaccurate, or if we fail to achieve progress on certain metrics on a timely basis, our reputation, business, financial performance and growth could be adversely affected.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expect there will likely be increasing levels of regulation, disclosure-related and otherwise, with respect to ESG matters, and increased regulation will likely lead to increased compliance costs as well as scrutiny that could heighten all of the associated risks identified in this risk factor. Such compliance matters may also impact our customers, which could adversely impact our business, financial condition, or results of operations.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customers may defer or forego purchases of our services or products in the event of weakened global economic conditions, political transitions, and industry consolidation.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worldwide economic conditions remain unstable, and prolonged economic uncertainties or downturns could harm our business, results of operations, or financial condition. In particular, global inflation concerns, the ongoing wars between Israel and Hamas and between Russia and Ukraine, the recent pandemic, and escalating tensions in the South China Sea, have created and may continue to create global economic uncertainty in regions in which we have significant operations. These conditions may make it difficult for our customers and us to forecast and plan future business activities accurately, and could cause our customers to reevaluate their decision to purchase our products, which could delay and lengthen our sales cycles, delay or increase pricing pressures on services engagements,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accounts receivable allowance,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United States and abroad, including conditions resulting from financial and credit market fluctuations and inflation, could cause a decrease in corporate spending on enterprise software in general, and in the insurance industry specifically, and negatively affect the rate of growth of our business.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increased pace of consolidation in the P&amp;C insurance industry may result in reduced overall spending on our products and professional services. Acquisitions of customers or potential customers can delay or cancel sales cycles or result in existing arrangements not being renewed and because we cannot predict the timing or duration of such acquisitions, our results of operations could be materially impacted.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Factors outside of our control, including, but not limited to, natural catastrophes, the geopolitical landscape, and terrorism may adversely impact the P&amp;C insurance industry, preventing us from expanding or maintaining our existing customer base and increasing our revenue. Our business is subject to the risks of earthquakes, fire, floods, and other natural catastrophic events, and to interruption by man-made problems such as computer viruses.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excessive heat, epidemics, pandemics, and fires. Climate change and other environmental factors are contributing to an increase in erratic weather patterns globally and intensifying the impact of certain types of catastrophes. Moreover, acts of terrorism or armed conflict or uncertainty in the geopolitical landscape, including as a result of escalation in the ongoing wars between Israel and Hamas and between Russia and Ukraine as well as the escalation of tensions in the South China Sea, could cause disruptions to our business or our customers’ businesses or the economy as a whole. The risks associated with natural catastrophes, the geopolitical landscape, and terrorism are inherently unpredictable, and it is difficult to forecast the timing of such events or estimate the amount of losses they will generate. Recently, for example, various parts of the United States have suffered extensive damage due to hurricanes, droughts, floods, severe heat and cold events, fires, and other natural disasters, the island of Maui in the State of Hawaii has experienced severe fires, Turkey and Syria have experienced severe earthquakes, Germany, Pakistan, and other parts of Europe have experienced flooding, Canada has experienced fires, and Australia has experienced extensive damage due to fires and flooding. The combined and expected effect of those losses on P&amp;C insurers is significant. Such losses and losses due to future events may adversely impact our current or potential customers, which may prevent us from maintaining or expanding our customer base and increasing our revenue, as such events may cause customers to postpone purchases and professional service engagements or to discontinue existing projects.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headquarters and the majority of our operations are located in the San Francisco Bay Area, a region known for seismic activity and near an area subject to severe fire damage. A significant natural disaster, such as an earthquake, tsunami, fire, flood, epidemic, or pandemic could have a material adverse impact on our business, results of operations, and financial condition.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information technology systems are vulnerable to computer viruses, break-ins, and similar disruptions from unauthorized tampering, such as the Log4j vulnerability. To the extent that such disruptions result in delays or cancellations of customer orders or collections, or the deployment or availability of our products, our business, results of operations, and financial condition would be adversely affected.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Adverse developments affecting certain financial institutions, as well as the banking system as a whole, could negatively affect our current and projected business operations and our financial condition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Adverse developments that may affect certain financial institutions and the banking system as a whole, such as events involving liquidity that are either rumored or actual, have in the past and may in the future lead to bank failures and market-wide liquidity concerns. On March 10, 2023, Silicon Valley Bank was closed by the California Department of Financial Protection and Innovation, which appointed the Federal Deposit Insurance Corporation as receiver. Up until March of 2023, our primary banking partner in the United States was Silicon Valley Bank. Since such time, we have further diversified our banking relationships. In connection with such developments, we have not experienced any material adverse impact to our cash flow or to our current and projected business operations, financial condition or results of operations. Although we are continuing to evaluate and diversify our banking relationships, uncertainty remains over liquidity concerns in the broader financial services industry. As a consequence, our business, our business partners, or industry as a whole may be adversely impacted in ways that we cannot predict at this time. Uncertainty remains over liquidity concerns in the broader financial services industry, and there may be additional impacts to our business and our industry that we cannot currently predict. Further, a significant portion of our assets are held in cash, cash equivalent and marketable securities. If any financial uncertainty were to impact a broad segment of the financial services industry, our enterprise value and our future prospects could be harmed or otherwise negatively impacted.</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revenue, results of operations and cash flows are subject to fluctuations due to changes in foreign currency exchange rates, particularly changes in the Australian Dollar, British Pound, Canadian Dollar, Euro, Indian Rupee, and Polish Zloty.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volatility of exchange rates depends on many factors that we cannot forecast with reliable accuracy. Although we believe our operating activities act as a natural hedge for a majority of our foreign currency exposure at the cash flow or operating income level because we typically collect revenue and incur costs in the currency of the location in which we provide our software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cash flows, revenue or financial results in such quarter.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ARR, and operating income, which could have an adverse effect on our stock price. We do business in Argentina, which is experiencing extremely high inflation and currency fluctuations. The Argentina government has placed restrictions on sending U.S. dollars outside of the country, which has impacted our customers’ timeliness in paying their obligations to us and could impact the collectibility of our accounts receivable in such respects. We expect global exchange rates for various currencies may be more volatile than normal as a result of the ongoing wars between Israel and Hamas and between Russia and Ukraine and related events. We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continue to experience fluctuations in foreign currency exchange rates, which, if material, may harm our revenue or results of operations.</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we had outstanding an aggregate principal amount of $400.0 million of our 1.25% Convertible Senior Notes due 2025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Convertible Senior Notes, if triggered, may adversely affect our financial condition and results of operations.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Transactions relating to our Convertible Senior Notes may affect the value of our common stock.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76" w:before="180" w:after="283"/>
        <w:ind w:left="0" w:right="0" w:firstLine="360"/>
        <w:jc w:val="both"/>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The accounting method for convertible debt securities that may be settled in cash, such as the Convertible Senior Notes, could have a material effect on our reported financial results.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2020, the FASB issued Accounting Standards Update (“ASU”) 2020-06, Debt—Debt with Conversion and Other Options (Subtopic 470-20) and Derivatives and Hedging—Contracts in Entity’s Own Equity (Subtopic 815-40), which we adopted on August 1, 2022. The ASU simplifies the accounting for convertible instruments, and among other things, eliminates the treasury stock method to calculate diluted earnings per share for convertible instruments and requires the use of the if-converted method. When calculating diluted EPS, the if-converted method requires us to assume that convertible debt instruments (and any applicable conversion premium) are converted to common stock as of the beginning of the period presented regardless of the price of our stock in periods that we have net income. Additionally, the if-converted method does not allow us to offset the impact of our capped call transactions on the calculation. We expect that such calculations will negatively affect our reported diluted EPS in the periods that we have net income irrespective of actual conversion of the Convertible Senior Notes.</w:t>
      </w:r>
    </w:p>
    <w:p>
      <w:pPr>
        <w:pStyle w:val="TextBody"/>
        <w:bidi w:val="0"/>
        <w:spacing w:lineRule="auto" w:line="288" w:before="18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subject to counterparty risk with respect to the capped call transactions.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option counterparties are financial institutions, and we will be subject to the risk that any or all of them might default under the capped call transactions. Our exposure to the credit risk of the option counterparties will not be secured by any collateral. Past and recent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January 31, 2024, our officer listed below adopted a trading arrangement for the sale of shares of our common stock in amounts and prices set forth in such plan:</w:t>
      </w:r>
    </w:p>
    <w:p>
      <w:pPr>
        <w:pStyle w:val="TextBody"/>
        <w:bidi w:val="0"/>
        <w:spacing w:before="0" w:after="0"/>
        <w:jc w:val="left"/>
        <w:rPr/>
      </w:pPr>
      <w:r>
        <w:rPr/>
      </w:r>
    </w:p>
    <w:tbl>
      <w:tblPr>
        <w:tblW w:w="10008" w:type="dxa"/>
        <w:jc w:val="left"/>
        <w:tblInd w:w="0" w:type="dxa"/>
        <w:tblLayout w:type="fixed"/>
        <w:tblCellMar>
          <w:top w:w="28" w:type="dxa"/>
          <w:left w:w="28" w:type="dxa"/>
          <w:bottom w:w="28" w:type="dxa"/>
          <w:right w:w="28" w:type="dxa"/>
        </w:tblCellMar>
      </w:tblPr>
      <w:tblGrid>
        <w:gridCol w:w="1412"/>
        <w:gridCol w:w="1240"/>
        <w:gridCol w:w="1248"/>
        <w:gridCol w:w="109"/>
        <w:gridCol w:w="109"/>
        <w:gridCol w:w="109"/>
        <w:gridCol w:w="363"/>
        <w:gridCol w:w="363"/>
        <w:gridCol w:w="368"/>
        <w:gridCol w:w="109"/>
        <w:gridCol w:w="109"/>
        <w:gridCol w:w="109"/>
        <w:gridCol w:w="497"/>
        <w:gridCol w:w="497"/>
        <w:gridCol w:w="505"/>
        <w:gridCol w:w="109"/>
        <w:gridCol w:w="109"/>
        <w:gridCol w:w="109"/>
        <w:gridCol w:w="741"/>
        <w:gridCol w:w="741"/>
        <w:gridCol w:w="1052"/>
      </w:tblGrid>
      <w:tr>
        <w:trPr/>
        <w:tc>
          <w:tcPr>
            <w:tcW w:w="141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Name and Title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Shares to be Sold</w:t>
            </w:r>
          </w:p>
        </w:tc>
      </w:tr>
      <w:tr>
        <w:trPr/>
        <w:tc>
          <w:tcPr>
            <w:tcW w:w="3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Mullen, President, Chief Revenue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Adoption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Up to 12,150</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 Intended to satisfy the affirmative defense conditions of Rule 10b5-1(c) with sales occurring periodically from the estimated selling start date of April 15, 2024 and continuing through December 31, 2024.</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sales under Rule 10b5-1(c) plans, shares are sold at vesting to cover the holder’s tax liability associated with the vesting of such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e0fb07a589e7422f984f8c26cc58e455_7">
        <w:r>
          <w:rPr>
            <w:rStyle w:val="InternetLink"/>
            <w:rFonts w:ascii="Times New Roman;sans-serif" w:hAnsi="Times New Roman;sans-serif"/>
            <w:b w:val="false"/>
            <w:color w:val="000080"/>
            <w:sz w:val="20"/>
            <w:u w:val="single"/>
          </w:rPr>
          <w:t>Table</w:t>
        </w:r>
      </w:hyperlink>
      <w:hyperlink w:anchor="ie0fb07a589e7422f984f8c26cc58e455_7">
        <w:r>
          <w:rPr>
            <w:rStyle w:val="InternetLink"/>
            <w:rFonts w:ascii="Times New Roman;sans-serif" w:hAnsi="Times New Roman;sans-serif"/>
            <w:b w:val="false"/>
            <w:color w:val="000080"/>
            <w:sz w:val="20"/>
            <w:u w:val="single"/>
          </w:rPr>
          <w:t xml:space="preserv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00" w:after="283"/>
        <w:ind w:left="0" w:right="0" w:firstLine="495"/>
        <w:jc w:val="left"/>
        <w:rPr/>
      </w:pPr>
      <w:r>
        <w:rPr>
          <w:rFonts w:ascii="Times New Roman;sans-serif" w:hAnsi="Times New Roman;sans-serif"/>
          <w:b w:val="false"/>
          <w:color w:val="000000"/>
          <w:sz w:val="20"/>
        </w:rPr>
        <w:t xml:space="preserve">The exhibits listed below are filed or incorporated by reference as part of this Report. </w:t>
        <w:br/>
      </w:r>
      <w:r>
        <w:rPr>
          <w:color w:val="000000"/>
        </w:rPr>
        <w:t> </w:t>
      </w:r>
    </w:p>
    <w:tbl>
      <w:tblPr>
        <w:tblW w:w="10205" w:type="dxa"/>
        <w:jc w:val="left"/>
        <w:tblInd w:w="0" w:type="dxa"/>
        <w:tblLayout w:type="fixed"/>
        <w:tblCellMar>
          <w:top w:w="28" w:type="dxa"/>
          <w:left w:w="28" w:type="dxa"/>
          <w:bottom w:w="28" w:type="dxa"/>
          <w:right w:w="28" w:type="dxa"/>
        </w:tblCellMar>
      </w:tblPr>
      <w:tblGrid>
        <w:gridCol w:w="272"/>
        <w:gridCol w:w="240"/>
        <w:gridCol w:w="241"/>
        <w:gridCol w:w="109"/>
        <w:gridCol w:w="109"/>
        <w:gridCol w:w="109"/>
        <w:gridCol w:w="1482"/>
        <w:gridCol w:w="1365"/>
        <w:gridCol w:w="1378"/>
        <w:gridCol w:w="109"/>
        <w:gridCol w:w="109"/>
        <w:gridCol w:w="109"/>
        <w:gridCol w:w="554"/>
        <w:gridCol w:w="554"/>
        <w:gridCol w:w="558"/>
        <w:gridCol w:w="109"/>
        <w:gridCol w:w="109"/>
        <w:gridCol w:w="109"/>
        <w:gridCol w:w="355"/>
        <w:gridCol w:w="355"/>
        <w:gridCol w:w="356"/>
        <w:gridCol w:w="109"/>
        <w:gridCol w:w="109"/>
        <w:gridCol w:w="109"/>
        <w:gridCol w:w="391"/>
        <w:gridCol w:w="327"/>
        <w:gridCol w:w="469"/>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w:t>
              <w:br/>
              <w:t>Reference From</w:t>
              <w:b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w:t>
              <w:br/>
              <w:t>by Reference</w:t>
              <w:br/>
              <w:t>From</w:t>
              <w:b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Filed        </w:t>
            </w:r>
          </w:p>
        </w:tc>
      </w:tr>
      <w:tr>
        <w:trPr/>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21, 2022</w:t>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21, 2022</w:t>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Form of 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9, 2012</w:t>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101guidewire_ar2020s.htm">
              <w:r>
                <w:rPr>
                  <w:rStyle w:val="InternetLink"/>
                  <w:rFonts w:ascii="Times New Roman;sans-serif" w:hAnsi="Times New Roman;sans-serif"/>
                  <w:b w:val="false"/>
                  <w:color w:val="000080"/>
                  <w:sz w:val="20"/>
                  <w:u w:val="single"/>
                </w:rPr>
                <w:t>A</w:t>
              </w:r>
            </w:hyperlink>
            <w:hyperlink w:anchor="gwreex101guidewire_ar2020s.htm">
              <w:r>
                <w:rPr>
                  <w:rStyle w:val="InternetLink"/>
                  <w:rFonts w:ascii="Times New Roman;sans-serif" w:hAnsi="Times New Roman;sans-serif"/>
                  <w:b w:val="false"/>
                  <w:color w:val="000080"/>
                  <w:sz w:val="20"/>
                  <w:u w:val="single"/>
                </w:rPr>
                <w:t>mended and Restated 2020 Stock Plan and forms of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3111312024-10q.htm">
              <w:r>
                <w:rPr>
                  <w:rStyle w:val="InternetLink"/>
                  <w:rFonts w:ascii="Times New Roman;sans-serif" w:hAnsi="Times New Roman;sans-serif"/>
                  <w:b w:val="false"/>
                  <w:color w:val="0000FF"/>
                  <w:sz w:val="20"/>
                  <w:u w:val="single"/>
                </w:rPr>
                <w:t>Certification of the Chief Executive Officer pursuant to Section 302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3121312024-10q.htm">
              <w:r>
                <w:rPr>
                  <w:rStyle w:val="InternetLink"/>
                  <w:rFonts w:ascii="Times New Roman;sans-serif" w:hAnsi="Times New Roman;sans-serif"/>
                  <w:b w:val="false"/>
                  <w:color w:val="0000FF"/>
                  <w:sz w:val="20"/>
                  <w:u w:val="single"/>
                </w:rPr>
                <w:t>Certification of the Chief Financial Officer pursuant to Section 302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wreex3211312024-10q.htm">
              <w:r>
                <w:rPr>
                  <w:rStyle w:val="InternetLink"/>
                  <w:rFonts w:ascii="Times New Roman;sans-serif" w:hAnsi="Times New Roman;sans-serif"/>
                  <w:b w:val="false"/>
                  <w:color w:val="0000FF"/>
                  <w:sz w:val="20"/>
                  <w:u w:val="single"/>
                </w:rPr>
                <w:t>Certification of the Chief Executive Officer and the Chief Financial Officer pursuant to Section 906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0" w:after="0"/>
        <w:ind w:left="0" w:right="0" w:hanging="540"/>
        <w:jc w:val="both"/>
        <w:rPr/>
      </w:pPr>
      <w:r>
        <w:rPr/>
      </w:r>
    </w:p>
    <w:p>
      <w:pPr>
        <w:pStyle w:val="TextBody"/>
        <w:bidi w:val="0"/>
        <w:spacing w:before="0" w:after="0"/>
        <w:ind w:left="0" w:right="0" w:hanging="540"/>
        <w:jc w:val="both"/>
        <w:rPr/>
      </w:pPr>
      <w:r>
        <w:rPr/>
      </w:r>
    </w:p>
    <w:p>
      <w:pPr>
        <w:pStyle w:val="TextBody"/>
        <w:bidi w:val="0"/>
        <w:spacing w:before="60" w:after="283"/>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622"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458"/>
        <w:gridCol w:w="458"/>
        <w:gridCol w:w="458"/>
        <w:gridCol w:w="988"/>
        <w:gridCol w:w="988"/>
        <w:gridCol w:w="142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47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GUIDEWIRE SOFTWARE,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 COOPER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Jeff Cooper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Chief Financial Officer</w:t>
              <w:b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10.1</w:t>
      </w:r>
    </w:p>
    <w:p>
      <w:pPr>
        <w:pStyle w:val="TextBody"/>
        <w:bidi w:val="0"/>
        <w:spacing w:lineRule="auto" w:line="240" w:before="0" w:after="240"/>
        <w:jc w:val="center"/>
        <w:rPr>
          <w:rFonts w:ascii="Times New Roman;sans-serif" w:hAnsi="Times New Roman;sans-serif"/>
          <w:b/>
          <w:color w:val="000000"/>
          <w:sz w:val="28"/>
        </w:rPr>
      </w:pPr>
      <w:r>
        <w:rPr>
          <w:rFonts w:ascii="Times New Roman;sans-serif" w:hAnsi="Times New Roman;sans-serif"/>
          <w:b/>
          <w:color w:val="000000"/>
          <w:sz w:val="28"/>
        </w:rPr>
        <w:t>GUIDEWIRE SOFTWARE, INC.</w:t>
      </w:r>
    </w:p>
    <w:p>
      <w:pPr>
        <w:pStyle w:val="TextBody"/>
        <w:bidi w:val="0"/>
        <w:spacing w:lineRule="auto" w:line="240" w:before="0" w:after="240"/>
        <w:jc w:val="center"/>
        <w:rPr>
          <w:rFonts w:ascii="Times New Roman;sans-serif" w:hAnsi="Times New Roman;sans-serif"/>
          <w:b/>
          <w:color w:val="000000"/>
          <w:sz w:val="28"/>
        </w:rPr>
      </w:pPr>
      <w:r>
        <w:rPr>
          <w:rFonts w:ascii="Times New Roman;sans-serif" w:hAnsi="Times New Roman;sans-serif"/>
          <w:b/>
          <w:color w:val="000000"/>
          <w:sz w:val="28"/>
        </w:rPr>
        <w:t>AMENDED AND RESTATED 2020 STOCK PLAN</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1. </w:t>
      </w:r>
      <w:r>
        <w:rPr>
          <w:rFonts w:ascii="Times New Roman;sans-serif" w:hAnsi="Times New Roman;sans-serif"/>
          <w:b w:val="false"/>
          <w:color w:val="000000"/>
          <w:sz w:val="24"/>
          <w:u w:val="single"/>
        </w:rPr>
        <w:t>GENERAL PURPOSE OF THE PLAN; DEFINITIONS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name of the plan is the Guidewire Software, Inc. Amended and Restated 2020 Stock Plan (the “Plan”). The purpose of the Plan is to encourage and enable the officers, employees, Non-Employee Directors and Consultants of Guidewire Software,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following terms shall be defined as set forth below:</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Act”</w:t>
      </w:r>
      <w:r>
        <w:rPr>
          <w:color w:val="000000"/>
        </w:rPr>
        <w:t xml:space="preserve"> </w:t>
      </w:r>
      <w:r>
        <w:rPr>
          <w:rFonts w:ascii="Times New Roman;sans-serif" w:hAnsi="Times New Roman;sans-serif"/>
          <w:b w:val="false"/>
          <w:color w:val="000000"/>
          <w:sz w:val="24"/>
        </w:rPr>
        <w:t>means the Securities Act of 1933, as amended, and the rules and regulations thereunder.</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Administrator”</w:t>
      </w:r>
      <w:r>
        <w:rPr>
          <w:color w:val="000000"/>
        </w:rPr>
        <w:t xml:space="preserve"> </w:t>
      </w:r>
      <w:r>
        <w:rPr>
          <w:rFonts w:ascii="Times New Roman;sans-serif" w:hAnsi="Times New Roman;sans-serif"/>
          <w:b w:val="false"/>
          <w:color w:val="000000"/>
          <w:sz w:val="24"/>
        </w:rPr>
        <w:t>means either the Board or the compensation committee of the Board or a similar committee performing the functions of the compensation committee and which is comprised of not less than two Non-Employee Directors who are independent.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Affiliate</w:t>
      </w:r>
      <w:r>
        <w:rPr>
          <w:color w:val="000000"/>
        </w:rPr>
        <w:t xml:space="preserve">” </w:t>
      </w:r>
      <w:r>
        <w:rPr>
          <w:rFonts w:ascii="Times New Roman;sans-serif" w:hAnsi="Times New Roman;sans-serif"/>
          <w:b w:val="false"/>
          <w:color w:val="000000"/>
          <w:sz w:val="24"/>
        </w:rPr>
        <w:t xml:space="preserve">means, at the time of determination, any “parent” or “subsidiary” of the Company as such terms are defined in Rule 405 of the Act. The Board will have the authority to determine the time or times at which “parent” or “subsidiary” status is determined within the foregoing definition. </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Award”</w:t>
      </w:r>
      <w:r>
        <w:rPr>
          <w:color w:val="000000"/>
        </w:rPr>
        <w:t xml:space="preserve">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val="false"/>
          <w:i/>
          <w:color w:val="000000"/>
          <w:sz w:val="24"/>
        </w:rPr>
        <w:t>Awards,”</w:t>
      </w:r>
      <w:r>
        <w:rPr>
          <w:color w:val="000000"/>
        </w:rPr>
        <w:t xml:space="preserve"> </w:t>
      </w:r>
      <w:r>
        <w:rPr>
          <w:rFonts w:ascii="Times New Roman;sans-serif" w:hAnsi="Times New Roman;sans-serif"/>
          <w:b w:val="false"/>
          <w:color w:val="000000"/>
          <w:sz w:val="24"/>
        </w:rPr>
        <w:t>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Award Certificate”</w:t>
      </w:r>
      <w:r>
        <w:rPr>
          <w:color w:val="000000"/>
        </w:rPr>
        <w:t xml:space="preserve"> </w:t>
      </w:r>
      <w:r>
        <w:rPr>
          <w:rFonts w:ascii="Times New Roman;sans-serif" w:hAnsi="Times New Roman;sans-serif"/>
          <w:b w:val="false"/>
          <w:color w:val="000000"/>
          <w:sz w:val="24"/>
        </w:rPr>
        <w:t>means a written or electronic document setting forth the terms and provisions applicable to an Award granted under the Plan. Each Award Certificate is subject to the terms and conditions of the Plan.</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Cash-Based Award”</w:t>
      </w:r>
      <w:r>
        <w:rPr>
          <w:color w:val="000000"/>
        </w:rPr>
        <w:t xml:space="preserve"> </w:t>
      </w:r>
      <w:r>
        <w:rPr>
          <w:rFonts w:ascii="Times New Roman;sans-serif" w:hAnsi="Times New Roman;sans-serif"/>
          <w:b w:val="false"/>
          <w:color w:val="000000"/>
          <w:sz w:val="24"/>
        </w:rPr>
        <w:t>means an Award entitling the recipient to receive a cash-denominated payment.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 and any successor Code, and related rules, regulations and interpretations.</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Consultant”</w:t>
      </w:r>
      <w:r>
        <w:rPr>
          <w:color w:val="000000"/>
        </w:rPr>
        <w:t xml:space="preserve"> </w:t>
      </w:r>
      <w:r>
        <w:rPr>
          <w:rFonts w:ascii="Times New Roman;sans-serif" w:hAnsi="Times New Roman;sans-serif"/>
          <w:b w:val="false"/>
          <w:color w:val="000000"/>
          <w:sz w:val="24"/>
        </w:rPr>
        <w:t xml:space="preserve">means a consultant or adviser who provides </w:t>
      </w:r>
      <w:r>
        <w:rPr>
          <w:rFonts w:ascii="Times New Roman;sans-serif" w:hAnsi="Times New Roman;sans-serif"/>
          <w:b w:val="false"/>
          <w:i/>
          <w:color w:val="000000"/>
          <w:sz w:val="24"/>
        </w:rPr>
        <w:t>bona fide</w:t>
      </w:r>
      <w:r>
        <w:rPr>
          <w:color w:val="000000"/>
        </w:rPr>
        <w:t xml:space="preserve"> </w:t>
      </w:r>
      <w:r>
        <w:rPr>
          <w:rFonts w:ascii="Times New Roman;sans-serif" w:hAnsi="Times New Roman;sans-serif"/>
          <w:b w:val="false"/>
          <w:color w:val="000000"/>
          <w:sz w:val="24"/>
        </w:rPr>
        <w:t xml:space="preserve">services to the Company or an Affiliate as an independent contractor and who qualifies as a consultant or advisor under Instruction A.1.(a)(1) of Form S-8 under the Act. </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Dividend Equivalent Right”</w:t>
      </w:r>
      <w:r>
        <w:rPr>
          <w:color w:val="000000"/>
        </w:rPr>
        <w:t xml:space="preserve"> </w:t>
      </w:r>
      <w:r>
        <w:rPr>
          <w:rFonts w:ascii="Times New Roman;sans-serif" w:hAnsi="Times New Roman;sans-serif"/>
          <w:b w:val="false"/>
          <w:color w:val="000000"/>
          <w:sz w:val="24"/>
        </w:rPr>
        <w:t xml:space="preserve">means an Award entitling the grantee to receive credits based on cash dividends that would have been paid on the shares of Stock specified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0520"/>
                <wp:effectExtent l="0" t="0" r="0" b="0"/>
                <wp:wrapNone/>
                <wp:docPr id="73" name="Frame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Dividend Equivalent Right (or other award to which it relates) if such shares had been issued to and held by the grantee.</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Effective Date”</w:t>
      </w:r>
      <w:r>
        <w:rPr>
          <w:color w:val="000000"/>
        </w:rPr>
        <w:t xml:space="preserve"> </w:t>
      </w:r>
      <w:r>
        <w:rPr>
          <w:rFonts w:ascii="Times New Roman;sans-serif" w:hAnsi="Times New Roman;sans-serif"/>
          <w:b w:val="false"/>
          <w:color w:val="000000"/>
          <w:sz w:val="24"/>
        </w:rPr>
        <w:t>means the date on which the Plan becomes effective as set forth in Section 19.</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Exchange Act”</w:t>
      </w:r>
      <w:r>
        <w:rPr>
          <w:color w:val="000000"/>
        </w:rPr>
        <w:t xml:space="preserve"> </w:t>
      </w:r>
      <w:r>
        <w:rPr>
          <w:rFonts w:ascii="Times New Roman;sans-serif" w:hAnsi="Times New Roman;sans-serif"/>
          <w:b w:val="false"/>
          <w:color w:val="000000"/>
          <w:sz w:val="24"/>
        </w:rPr>
        <w:t>means the Securities Exchange Act of 1934, as amended, and the rules and regulations thereunder.</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Fair Market Value”</w:t>
      </w:r>
      <w:r>
        <w:rPr>
          <w:color w:val="000000"/>
        </w:rPr>
        <w:t xml:space="preserve"> </w:t>
      </w:r>
      <w:r>
        <w:rPr>
          <w:rFonts w:ascii="Times New Roman;sans-serif" w:hAnsi="Times New Roman;sans-serif"/>
          <w:b w:val="false"/>
          <w:color w:val="000000"/>
          <w:sz w:val="24"/>
        </w:rPr>
        <w:t>of the Stock on any given date means the fair market value of the Stock determined 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Incentive Stock Option”</w:t>
      </w:r>
      <w:r>
        <w:rPr>
          <w:color w:val="000000"/>
        </w:rPr>
        <w:t xml:space="preserve"> </w:t>
      </w:r>
      <w:r>
        <w:rPr>
          <w:rFonts w:ascii="Times New Roman;sans-serif" w:hAnsi="Times New Roman;sans-serif"/>
          <w:b w:val="false"/>
          <w:color w:val="000000"/>
          <w:sz w:val="24"/>
        </w:rPr>
        <w:t>means any Stock Option designated and qualified as an “incentive stock option” as defined in Section 422 of the Code.</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Non-Employee Director”</w:t>
      </w:r>
      <w:r>
        <w:rPr>
          <w:color w:val="000000"/>
        </w:rPr>
        <w:t xml:space="preserve"> </w:t>
      </w:r>
      <w:r>
        <w:rPr>
          <w:rFonts w:ascii="Times New Roman;sans-serif" w:hAnsi="Times New Roman;sans-serif"/>
          <w:b w:val="false"/>
          <w:color w:val="000000"/>
          <w:sz w:val="24"/>
        </w:rPr>
        <w:t>means a member of the Board who is not also an employee of the Company or any Subsidiary.</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Non-Qualified Stock Option”</w:t>
      </w:r>
      <w:r>
        <w:rPr>
          <w:color w:val="000000"/>
        </w:rPr>
        <w:t xml:space="preserve"> </w:t>
      </w:r>
      <w:r>
        <w:rPr>
          <w:rFonts w:ascii="Times New Roman;sans-serif" w:hAnsi="Times New Roman;sans-serif"/>
          <w:b w:val="false"/>
          <w:color w:val="000000"/>
          <w:sz w:val="24"/>
        </w:rPr>
        <w:t>means any Stock Option that is not an Incentive Stock Option.</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Option”</w:t>
      </w:r>
      <w:r>
        <w:rPr>
          <w:color w:val="000000"/>
        </w:rPr>
        <w:t xml:space="preserve">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val="false"/>
          <w:i/>
          <w:color w:val="000000"/>
          <w:sz w:val="24"/>
        </w:rPr>
        <w:t>Stock Option”</w:t>
      </w:r>
      <w:r>
        <w:rPr>
          <w:color w:val="000000"/>
        </w:rPr>
        <w:t xml:space="preserve"> </w:t>
      </w:r>
      <w:r>
        <w:rPr>
          <w:rFonts w:ascii="Times New Roman;sans-serif" w:hAnsi="Times New Roman;sans-serif"/>
          <w:b w:val="false"/>
          <w:color w:val="000000"/>
          <w:sz w:val="24"/>
        </w:rPr>
        <w:t>means any option to purchase shares of Stock granted pursuant to Section 5.</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Restricted Shares”</w:t>
      </w:r>
      <w:r>
        <w:rPr>
          <w:color w:val="000000"/>
        </w:rPr>
        <w:t xml:space="preserve"> </w:t>
      </w:r>
      <w:r>
        <w:rPr>
          <w:rFonts w:ascii="Times New Roman;sans-serif" w:hAnsi="Times New Roman;sans-serif"/>
          <w:b w:val="false"/>
          <w:color w:val="000000"/>
          <w:sz w:val="24"/>
        </w:rPr>
        <w:t>means the shares of Stock underlying a Restricted Stock Award that remain subject to a risk of forfeiture or the Company’s right of repurchase.</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Restricted Stock Award”</w:t>
      </w:r>
      <w:r>
        <w:rPr>
          <w:color w:val="000000"/>
        </w:rPr>
        <w:t xml:space="preserve"> </w:t>
      </w:r>
      <w:r>
        <w:rPr>
          <w:rFonts w:ascii="Times New Roman;sans-serif" w:hAnsi="Times New Roman;sans-serif"/>
          <w:b w:val="false"/>
          <w:color w:val="000000"/>
          <w:sz w:val="24"/>
        </w:rPr>
        <w:t>means an Award of Restricted Shares subject to such restrictions and conditions as the Administrator may determine at the time of grant.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Restricted Stock Units”</w:t>
      </w:r>
      <w:r>
        <w:rPr>
          <w:color w:val="000000"/>
        </w:rPr>
        <w:t xml:space="preserve"> </w:t>
      </w:r>
      <w:r>
        <w:rPr>
          <w:rFonts w:ascii="Times New Roman;sans-serif" w:hAnsi="Times New Roman;sans-serif"/>
          <w:b w:val="false"/>
          <w:color w:val="000000"/>
          <w:sz w:val="24"/>
        </w:rPr>
        <w:t>means an Award of stock units subject to such restrictions and conditions as the Administrator may determine at the time of grant.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Sale Event”</w:t>
      </w:r>
      <w:r>
        <w:rPr>
          <w:color w:val="000000"/>
        </w:rPr>
        <w:t xml:space="preserve"> </w:t>
      </w:r>
      <w:r>
        <w:rPr>
          <w:rFonts w:ascii="Times New Roman;sans-serif" w:hAnsi="Times New Roman;sans-serif"/>
          <w:b w:val="false"/>
          <w:color w:val="000000"/>
          <w:sz w:val="24"/>
        </w:rPr>
        <w:t>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Sale Price</w:t>
      </w:r>
      <w:r>
        <w:rPr>
          <w:color w:val="000000"/>
        </w:rPr>
        <w:t xml:space="preserve">” </w:t>
      </w:r>
      <w:r>
        <w:rPr>
          <w:rFonts w:ascii="Times New Roman;sans-serif" w:hAnsi="Times New Roman;sans-serif"/>
          <w:b w:val="false"/>
          <w:color w:val="000000"/>
          <w:sz w:val="24"/>
        </w:rPr>
        <w:t>means the value as determined by the Administrator of the consideration payable, or otherwise to be received by stockholders, per share of Stock pursuant to a Sale Event.</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0520"/>
                <wp:effectExtent l="0" t="0" r="0" b="0"/>
                <wp:wrapNone/>
                <wp:docPr id="74" name="Frame7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Section 409A”</w:t>
      </w:r>
      <w:r>
        <w:rPr>
          <w:color w:val="000000"/>
        </w:rPr>
        <w:t xml:space="preserve"> </w:t>
      </w:r>
      <w:r>
        <w:rPr>
          <w:rFonts w:ascii="Times New Roman;sans-serif" w:hAnsi="Times New Roman;sans-serif"/>
          <w:b w:val="false"/>
          <w:color w:val="000000"/>
          <w:sz w:val="24"/>
        </w:rPr>
        <w:t>means Section 409A of the Code and the regulations and other guidance promulgated thereunder.</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 xml:space="preserve">Service Relationship” </w:t>
      </w:r>
      <w:r>
        <w:rPr>
          <w:rFonts w:ascii="Times New Roman;sans-serif" w:hAnsi="Times New Roman;sans-serif"/>
          <w:b w:val="false"/>
          <w:color w:val="000000"/>
          <w:sz w:val="24"/>
        </w:rPr>
        <w:t>means any relationship as an employee, director or Consultant of the Company or any Affiliate (e.g., a Service Relationship shall be deemed to continue without interruption in the event an individual’s status changes from full-time employee to part-time employee or Consultant).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Stock”</w:t>
      </w:r>
      <w:r>
        <w:rPr>
          <w:color w:val="000000"/>
        </w:rPr>
        <w:t xml:space="preserve"> </w:t>
      </w:r>
      <w:r>
        <w:rPr>
          <w:rFonts w:ascii="Times New Roman;sans-serif" w:hAnsi="Times New Roman;sans-serif"/>
          <w:b w:val="false"/>
          <w:color w:val="000000"/>
          <w:sz w:val="24"/>
        </w:rPr>
        <w:t>means the Common Stock, par value $0.0001 per share, of the Company, subject to adjustments pursuant to Section 3.</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Stock Appreciation Right”</w:t>
      </w:r>
      <w:r>
        <w:rPr>
          <w:color w:val="000000"/>
        </w:rPr>
        <w:t xml:space="preserve"> </w:t>
      </w:r>
      <w:r>
        <w:rPr>
          <w:rFonts w:ascii="Times New Roman;sans-serif" w:hAnsi="Times New Roman;sans-serif"/>
          <w:b w:val="false"/>
          <w:color w:val="000000"/>
          <w:sz w:val="24"/>
        </w:rPr>
        <w:t>means an Award entitling the recipient to receive shares of Stock (or cash, to 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Subsidiary”</w:t>
      </w:r>
      <w:r>
        <w:rPr>
          <w:color w:val="000000"/>
        </w:rPr>
        <w:t xml:space="preserve"> </w:t>
      </w:r>
      <w:r>
        <w:rPr>
          <w:rFonts w:ascii="Times New Roman;sans-serif" w:hAnsi="Times New Roman;sans-serif"/>
          <w:b w:val="false"/>
          <w:color w:val="000000"/>
          <w:sz w:val="24"/>
        </w:rPr>
        <w:t>means any corporation or other entity (other than the Company) in which the Company has at least a 50 percent interest, either directly or indirectly.</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Ten Percent Owner”</w:t>
      </w:r>
      <w:r>
        <w:rPr>
          <w:color w:val="000000"/>
        </w:rPr>
        <w:t xml:space="preserve"> </w:t>
      </w:r>
      <w:r>
        <w:rPr>
          <w:rFonts w:ascii="Times New Roman;sans-serif" w:hAnsi="Times New Roman;sans-serif"/>
          <w:b w:val="false"/>
          <w:color w:val="000000"/>
          <w:sz w:val="24"/>
        </w:rPr>
        <w:t xml:space="preserve">means an employee who owns or is deemed to own (by reason of the attribution rules of Section 424(d) of the Code) more than 10 percent of the combined voting power of all classes of stock of the Company or any parent or subsidiary corporation. </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i/>
          <w:color w:val="000000"/>
          <w:sz w:val="24"/>
        </w:rPr>
        <w:t>Unrestricted Stock Award”</w:t>
      </w:r>
      <w:r>
        <w:rPr>
          <w:color w:val="000000"/>
        </w:rPr>
        <w:t xml:space="preserve"> </w:t>
      </w:r>
      <w:r>
        <w:rPr>
          <w:rFonts w:ascii="Times New Roman;sans-serif" w:hAnsi="Times New Roman;sans-serif"/>
          <w:b w:val="false"/>
          <w:color w:val="000000"/>
          <w:sz w:val="24"/>
        </w:rPr>
        <w:t>means an Award of shares of Stock free of any restrictions.</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2. </w:t>
      </w:r>
      <w:r>
        <w:rPr>
          <w:rFonts w:ascii="Times New Roman;sans-serif" w:hAnsi="Times New Roman;sans-serif"/>
          <w:b w:val="false"/>
          <w:color w:val="000000"/>
          <w:sz w:val="24"/>
          <w:u w:val="single"/>
        </w:rPr>
        <w:t>ADMINISTRATION OF PLAN; ADMINISTRATOR AUTHORITY TO SELECT GRANTEES AND DETERMINE AWARDS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Administration of Plan</w:t>
      </w:r>
      <w:r>
        <w:rPr>
          <w:rFonts w:ascii="Times New Roman;sans-serif" w:hAnsi="Times New Roman;sans-serif"/>
          <w:b w:val="false"/>
          <w:color w:val="000000"/>
          <w:sz w:val="24"/>
        </w:rPr>
        <w:t>. The Plan shall be administered by the Administrator.</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Powers of Administrator</w:t>
      </w:r>
      <w:r>
        <w:rPr>
          <w:rFonts w:ascii="Times New Roman;sans-serif" w:hAnsi="Times New Roman;sans-serif"/>
          <w:b w:val="false"/>
          <w:color w:val="000000"/>
          <w:sz w:val="24"/>
        </w:rPr>
        <w:t>. The Administrator shall have the power and authority to grant Awards consistent with the terms of the Plan, including the power and authority: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to select the individuals to whom Awards may from time to time be granted;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rPr>
        <w:t>to determine the number of shares of Stock to be covered by any Award;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(v)</w:t>
      </w:r>
      <w:r>
        <w:rPr>
          <w:rFonts w:ascii="Times New Roman;sans-serif" w:hAnsi="Times New Roman;sans-serif"/>
          <w:b w:val="false"/>
          <w:color w:val="000000"/>
          <w:sz w:val="24"/>
        </w:rPr>
        <w:t>to accelerate at any time the exercisability or vesting of all or any portion of any Award in circumstances involving the grantee’s death or disability;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(vi)</w:t>
      </w:r>
      <w:r>
        <w:rPr>
          <w:rFonts w:ascii="Times New Roman;sans-serif" w:hAnsi="Times New Roman;sans-serif"/>
          <w:b w:val="false"/>
          <w:color w:val="000000"/>
          <w:sz w:val="24"/>
        </w:rPr>
        <w:t>subject to the provisions of Section 5(c), to extend at any time the period in which Stock Options may be exercised; and</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0520"/>
                <wp:effectExtent l="0" t="0" r="0" b="0"/>
                <wp:wrapNone/>
                <wp:docPr id="75" name="Frame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(vii)</w:t>
      </w:r>
      <w:r>
        <w:rPr>
          <w:rFonts w:ascii="Times New Roman;sans-serif" w:hAnsi="Times New Roman;sans-serif"/>
          <w:b w:val="false"/>
          <w:color w:val="000000"/>
          <w:sz w:val="24"/>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All decisions and interpretations of the Administrator shall be binding on all persons, including the Company and Plan grantees.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Delegation of Authority to Grant Awards</w:t>
      </w:r>
      <w:r>
        <w:rPr>
          <w:rFonts w:ascii="Times New Roman;sans-serif" w:hAnsi="Times New Roman;sans-serif"/>
          <w:b w:val="false"/>
          <w:color w:val="000000"/>
          <w:sz w:val="24"/>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Award Certificate</w:t>
      </w:r>
      <w:r>
        <w:rPr>
          <w:rFonts w:ascii="Times New Roman;sans-serif" w:hAnsi="Times New Roman;sans-serif"/>
          <w:b w:val="false"/>
          <w:color w:val="000000"/>
          <w:sz w:val="24"/>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Foreign Award Recipients</w:t>
      </w:r>
      <w:r>
        <w:rPr>
          <w:rFonts w:ascii="Times New Roman;sans-serif" w:hAnsi="Times New Roman;sans-serif"/>
          <w:b w:val="false"/>
          <w:color w:val="000000"/>
          <w:sz w:val="24"/>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w:t>
      </w:r>
      <w:r>
        <w:rPr>
          <w:color w:val="000000"/>
        </w:rPr>
        <w:t xml:space="preserve"> </w:t>
      </w:r>
      <w:r>
        <w:rPr>
          <w:rFonts w:ascii="Times New Roman;sans-serif" w:hAnsi="Times New Roman;sans-serif"/>
          <w:b w:val="false"/>
          <w:color w:val="000000"/>
          <w:sz w:val="24"/>
        </w:rPr>
        <w:t>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0520"/>
                <wp:effectExtent l="0" t="0" r="0" b="0"/>
                <wp:wrapNone/>
                <wp:docPr id="76" name="Frame7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3. </w:t>
      </w:r>
      <w:r>
        <w:rPr>
          <w:rFonts w:ascii="Times New Roman;sans-serif" w:hAnsi="Times New Roman;sans-serif"/>
          <w:b w:val="false"/>
          <w:color w:val="000000"/>
          <w:sz w:val="24"/>
          <w:u w:val="single"/>
        </w:rPr>
        <w:t>STOCK ISSUABLE UNDER THE PLAN; MERGERS; SUBSTITUTION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Stock Issuable</w:t>
      </w:r>
      <w:r>
        <w:rPr>
          <w:rFonts w:ascii="Times New Roman;sans-serif" w:hAnsi="Times New Roman;sans-serif"/>
          <w:b w:val="false"/>
          <w:color w:val="000000"/>
          <w:sz w:val="24"/>
        </w:rPr>
        <w:t>. The maximum number of shares of Stock reserved and available for issuance under the Plan shall be 10,580,000 shares, subject to adjustment as provided in this Section 3. For purposes of this limitation, the shares of Stock underlying any awards under the Plan and under the Company’s 2011 Stock Plan that are forfeited, canceled,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Notwithstanding the foregoing, the following shares shall not be added to the shares authorized for grant under the Plan: (i) shares tendered or held back upon exercise of an Option or settlement of an Award to cover the exercise price or tax withholding, and (ii) shares subject to a Stock Appreciation Right that are not issued in connection with the stock settlement of the Stock Appreciation Right upon exercise thereof.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no more than 10,580,000 shares of the Stock may be issued in the form of Incentive Stock Options. The shares available for issuance under the Plan may be authorized but unissued shares of Stock or shares of Stock reacquired by the Company.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Changes in Stock</w:t>
      </w:r>
      <w:r>
        <w:rPr>
          <w:rFonts w:ascii="Times New Roman;sans-serif" w:hAnsi="Times New Roman;sans-serif"/>
          <w:b w:val="false"/>
          <w:color w:val="000000"/>
          <w:sz w:val="24"/>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Mergers and Other Transactions</w:t>
      </w:r>
      <w:r>
        <w:rPr>
          <w:rFonts w:ascii="Times New Roman;sans-serif" w:hAnsi="Times New Roman;sans-serif"/>
          <w:b w:val="false"/>
          <w:color w:val="000000"/>
          <w:sz w:val="24"/>
        </w:rPr>
        <w:t xml:space="preserv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0520"/>
                <wp:effectExtent l="0" t="0" r="0" b="0"/>
                <wp:wrapNone/>
                <wp:docPr id="77" name="Frame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relevant Award Certificate,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Maximum Awards to Non-Employee Directors</w:t>
      </w:r>
      <w:r>
        <w:rPr>
          <w:rFonts w:ascii="Times New Roman;sans-serif" w:hAnsi="Times New Roman;sans-serif"/>
          <w:b w:val="false"/>
          <w:color w:val="000000"/>
          <w:sz w:val="24"/>
        </w:rPr>
        <w:t>. Notwithstanding anything to the contrary in this Plan, the value of all Awards awarded under this Plan and all other cash compensation paid by the Company to any Non-Employee Director in any calendar year shall not exceed $750,000. For the purpose of this limitation, the value of any Award shall be its grant date fair value, as determined in accordance with ASC 718 or successor provision but excluding the impact of estimated forfeitures related to service-based vesting provisions.</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4. </w:t>
      </w:r>
      <w:r>
        <w:rPr>
          <w:rFonts w:ascii="Times New Roman;sans-serif" w:hAnsi="Times New Roman;sans-serif"/>
          <w:b w:val="false"/>
          <w:color w:val="000000"/>
          <w:sz w:val="24"/>
          <w:u w:val="single"/>
        </w:rPr>
        <w:t>ELIGIBILITY</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 </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5. </w:t>
      </w:r>
      <w:r>
        <w:rPr>
          <w:rFonts w:ascii="Times New Roman;sans-serif" w:hAnsi="Times New Roman;sans-serif"/>
          <w:b w:val="false"/>
          <w:color w:val="000000"/>
          <w:sz w:val="24"/>
          <w:u w:val="single"/>
        </w:rPr>
        <w:t>STOCK OPTIONS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Award of Stock Options</w:t>
      </w:r>
      <w:r>
        <w:rPr>
          <w:rFonts w:ascii="Times New Roman;sans-serif" w:hAnsi="Times New Roman;sans-serif"/>
          <w:b w:val="false"/>
          <w:color w:val="000000"/>
          <w:sz w:val="24"/>
        </w:rPr>
        <w:t>. The Administrator may grant Stock Options under the Plan. Any Stock Option granted under the Plan shall be in such form as the Administrator may from time to time approve.</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Stock Options granted pursuant to this Section 5 shall be subject to the following terms and conditions and shall contain such additional terms and conditions, not inconsistent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0520"/>
                <wp:effectExtent l="0" t="0" r="0" b="0"/>
                <wp:wrapNone/>
                <wp:docPr id="78" name="Frame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terms of the Plan, as the Administrator shall deem desirable. If the Administrator so determines, Stock Options may be granted in lieu of cash compensation at the optionee’s election, subject to such terms and conditions as the Administrator may establish.</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Exercise Price</w:t>
      </w:r>
      <w:r>
        <w:rPr>
          <w:rFonts w:ascii="Times New Roman;sans-serif" w:hAnsi="Times New Roman;sans-serif"/>
          <w:b w:val="false"/>
          <w:color w:val="000000"/>
          <w:sz w:val="24"/>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the Stock Option is otherwise compliant with Section 409A.</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Option Term</w:t>
      </w:r>
      <w:r>
        <w:rPr>
          <w:rFonts w:ascii="Times New Roman;sans-serif" w:hAnsi="Times New Roman;sans-serif"/>
          <w:b w:val="false"/>
          <w:color w:val="000000"/>
          <w:sz w:val="24"/>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Exercisability; Rights of a Stockholder</w:t>
      </w:r>
      <w:r>
        <w:rPr>
          <w:rFonts w:ascii="Times New Roman;sans-serif" w:hAnsi="Times New Roman;sans-serif"/>
          <w:b w:val="false"/>
          <w:color w:val="000000"/>
          <w:sz w:val="24"/>
        </w:rPr>
        <w:t>. Stock Options shall become exercisable at such time or times, whether or not in installments, as shall be determined by the Administrator at or after the grant date. Subject to Section 2(b)(v), the Administrator may at any time accelerate the exercisability of all or any portion of any Stock Option. An optionee shall have the rights of a stockholder only as to shares acquired upon the exercise of a Stock Option and not as to unexercised Stock Options.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Method of Exercise</w:t>
      </w:r>
      <w:r>
        <w:rPr>
          <w:rFonts w:ascii="Times New Roman;sans-serif" w:hAnsi="Times New Roman;sans-serif"/>
          <w:b w:val="false"/>
          <w:color w:val="000000"/>
          <w:sz w:val="24"/>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In cash, by certified or bank check or other instrument acceptable to the Administrator;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Through the delivery (or attestation to the ownership following such procedures as the Company may prescribe) of shares of Stock that are not then subject to restrictions under any Company plan. Such surrendered shares shall be valued at Fair Market Value on the exercise date;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Payment instruments will be received subject to collection. The transfer to the optionee on the records of the Company or of the transfer agent of the shares of Stock to be purchased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0520"/>
                <wp:effectExtent l="0" t="0" r="0" b="0"/>
                <wp:wrapNone/>
                <wp:docPr id="79" name="Frame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Annual Limit on Incentive Stock Options</w:t>
      </w:r>
      <w:r>
        <w:rPr>
          <w:rFonts w:ascii="Times New Roman;sans-serif" w:hAnsi="Times New Roman;sans-serif"/>
          <w:b w:val="false"/>
          <w:color w:val="000000"/>
          <w:sz w:val="24"/>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6. </w:t>
      </w:r>
      <w:r>
        <w:rPr>
          <w:rFonts w:ascii="Times New Roman;sans-serif" w:hAnsi="Times New Roman;sans-serif"/>
          <w:b w:val="false"/>
          <w:color w:val="000000"/>
          <w:sz w:val="24"/>
          <w:u w:val="single"/>
        </w:rPr>
        <w:t>STOCK APPRECIATION RIGHTS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Award of Stock Appreciation Rights</w:t>
      </w:r>
      <w:r>
        <w:rPr>
          <w:rFonts w:ascii="Times New Roman;sans-serif" w:hAnsi="Times New Roman;sans-serif"/>
          <w:b w:val="false"/>
          <w:color w:val="000000"/>
          <w:sz w:val="24"/>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Exercise Price of Stock Appreciation Rights</w:t>
      </w:r>
      <w:r>
        <w:rPr>
          <w:rFonts w:ascii="Times New Roman;sans-serif" w:hAnsi="Times New Roman;sans-serif"/>
          <w:b w:val="false"/>
          <w:color w:val="000000"/>
          <w:sz w:val="24"/>
        </w:rPr>
        <w:t>. The exercise price of a Stock Appreciation Right shall not be less than 100 percent of the Fair Market Value of the Stock on the date of grant.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Grant and Exercise of Stock Appreciation Rights</w:t>
      </w:r>
      <w:r>
        <w:rPr>
          <w:rFonts w:ascii="Times New Roman;sans-serif" w:hAnsi="Times New Roman;sans-serif"/>
          <w:b w:val="false"/>
          <w:color w:val="000000"/>
          <w:sz w:val="24"/>
        </w:rPr>
        <w:t>. Stock Appreciation Rights may be granted by the Administrator independently of any Stock Option granted pursuant to Section 5 of the Plan.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Terms and Conditions of Stock Appreciation Rights</w:t>
      </w:r>
      <w:r>
        <w:rPr>
          <w:rFonts w:ascii="Times New Roman;sans-serif" w:hAnsi="Times New Roman;sans-serif"/>
          <w:b w:val="false"/>
          <w:color w:val="000000"/>
          <w:sz w:val="24"/>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7. </w:t>
      </w:r>
      <w:r>
        <w:rPr>
          <w:rFonts w:ascii="Times New Roman;sans-serif" w:hAnsi="Times New Roman;sans-serif"/>
          <w:b w:val="false"/>
          <w:color w:val="000000"/>
          <w:sz w:val="24"/>
          <w:u w:val="single"/>
        </w:rPr>
        <w:t>RESTRICTED STOCK AWARDS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Nature of Restricted Stock Awards</w:t>
      </w:r>
      <w:r>
        <w:rPr>
          <w:rFonts w:ascii="Times New Roman;sans-serif" w:hAnsi="Times New Roman;sans-serif"/>
          <w:b w:val="false"/>
          <w:color w:val="000000"/>
          <w:sz w:val="24"/>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0520"/>
                <wp:effectExtent l="0" t="0" r="0" b="0"/>
                <wp:wrapNone/>
                <wp:docPr id="80" name="Frame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Rights as a Stockholder</w:t>
      </w:r>
      <w:r>
        <w:rPr>
          <w:rFonts w:ascii="Times New Roman;sans-serif" w:hAnsi="Times New Roman;sans-serif"/>
          <w:b w:val="false"/>
          <w:color w:val="000000"/>
          <w:sz w:val="24"/>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Restrictions</w:t>
      </w:r>
      <w:r>
        <w:rPr>
          <w:rFonts w:ascii="Times New Roman;sans-serif" w:hAnsi="Times New Roman;sans-serif"/>
          <w:b w:val="false"/>
          <w:color w:val="000000"/>
          <w:sz w:val="24"/>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Vesting of Restricted Shares</w:t>
      </w:r>
      <w:r>
        <w:rPr>
          <w:rFonts w:ascii="Times New Roman;sans-serif" w:hAnsi="Times New Roman;sans-serif"/>
          <w:b w:val="false"/>
          <w:color w:val="000000"/>
          <w:sz w:val="24"/>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8. </w:t>
      </w:r>
      <w:r>
        <w:rPr>
          <w:rFonts w:ascii="Times New Roman;sans-serif" w:hAnsi="Times New Roman;sans-serif"/>
          <w:b w:val="false"/>
          <w:color w:val="000000"/>
          <w:sz w:val="24"/>
          <w:u w:val="single"/>
        </w:rPr>
        <w:t>RESTRICTED STOCK UNITS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Nature of Restricted Stock Units</w:t>
      </w:r>
      <w:r>
        <w:rPr>
          <w:rFonts w:ascii="Times New Roman;sans-serif" w:hAnsi="Times New Roman;sans-serif"/>
          <w:b w:val="false"/>
          <w:color w:val="000000"/>
          <w:sz w:val="24"/>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Election to Receive Restricted Stock Units in Lieu of Compensation</w:t>
      </w:r>
      <w:r>
        <w:rPr>
          <w:rFonts w:ascii="Times New Roman;sans-serif" w:hAnsi="Times New Roman;sans-serif"/>
          <w:b w:val="false"/>
          <w:color w:val="000000"/>
          <w:sz w:val="24"/>
        </w:rPr>
        <w:t xml:space="preserve">. The Administrator may, in its sole discretion, permit a grantee to elect to receive a portion of future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0520"/>
                <wp:effectExtent l="0" t="0" r="0" b="0"/>
                <wp:wrapNone/>
                <wp:docPr id="81" name="Frame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Rights as a Stockholder</w:t>
      </w:r>
      <w:r>
        <w:rPr>
          <w:rFonts w:ascii="Times New Roman;sans-serif" w:hAnsi="Times New Roman;sans-serif"/>
          <w:b w:val="false"/>
          <w:color w:val="000000"/>
          <w:sz w:val="24"/>
        </w:rPr>
        <w:t xml:space="preserve">.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9. </w:t>
      </w:r>
      <w:r>
        <w:rPr>
          <w:rFonts w:ascii="Times New Roman;sans-serif" w:hAnsi="Times New Roman;sans-serif"/>
          <w:b w:val="false"/>
          <w:color w:val="000000"/>
          <w:sz w:val="24"/>
          <w:u w:val="single"/>
        </w:rPr>
        <w:t>UNRESTRICTED STOCK AWARDS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u w:val="single"/>
        </w:rPr>
        <w:t>Grant or Sale of Unrestricted Stock</w:t>
      </w:r>
      <w:r>
        <w:rPr>
          <w:rFonts w:ascii="Times New Roman;sans-serif" w:hAnsi="Times New Roman;sans-serif"/>
          <w:b w:val="false"/>
          <w:color w:val="000000"/>
          <w:sz w:val="24"/>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10. </w:t>
      </w:r>
      <w:r>
        <w:rPr>
          <w:rFonts w:ascii="Times New Roman;sans-serif" w:hAnsi="Times New Roman;sans-serif"/>
          <w:b w:val="false"/>
          <w:color w:val="000000"/>
          <w:sz w:val="24"/>
          <w:u w:val="single"/>
        </w:rPr>
        <w:t>CASH-BASED AWARDS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u w:val="single"/>
        </w:rPr>
        <w:t>Grant of Cash-Based Awards</w:t>
      </w:r>
      <w:r>
        <w:rPr>
          <w:rFonts w:ascii="Times New Roman;sans-serif" w:hAnsi="Times New Roman;sans-serif"/>
          <w:b w:val="false"/>
          <w:color w:val="000000"/>
          <w:sz w:val="24"/>
        </w:rPr>
        <w:t xml:space="preserve">.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11. </w:t>
      </w:r>
      <w:r>
        <w:rPr>
          <w:rFonts w:ascii="Times New Roman;sans-serif" w:hAnsi="Times New Roman;sans-serif"/>
          <w:b w:val="false"/>
          <w:color w:val="000000"/>
          <w:sz w:val="24"/>
          <w:u w:val="single"/>
        </w:rPr>
        <w:t>DIVIDEND EQUIVALENT RIGHTS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Dividend Equivalent Rights</w:t>
      </w:r>
      <w:r>
        <w:rPr>
          <w:rFonts w:ascii="Times New Roman;sans-serif" w:hAnsi="Times New Roman;sans-serif"/>
          <w:b w:val="false"/>
          <w:color w:val="000000"/>
          <w:sz w:val="24"/>
        </w:rPr>
        <w:t xml:space="preserve">.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0520"/>
                <wp:effectExtent l="0" t="0" r="0" b="0"/>
                <wp:wrapNone/>
                <wp:docPr id="82" name="Frame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another Award shall provide that such Dividend Equivalent Right shall be settled only upon vesting, settlement or payment of, or lapse of restrictions on, such other Award, and that such Dividend Equivalent Right shall expire or be forfeited or annulled under the same conditions as such other Award.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12. </w:t>
      </w:r>
      <w:r>
        <w:rPr>
          <w:rFonts w:ascii="Times New Roman;sans-serif" w:hAnsi="Times New Roman;sans-serif"/>
          <w:b w:val="false"/>
          <w:color w:val="000000"/>
          <w:sz w:val="24"/>
          <w:u w:val="single"/>
        </w:rPr>
        <w:t>TRANSFERABILITY OF AWARDS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Transferability</w:t>
      </w:r>
      <w:r>
        <w:rPr>
          <w:rFonts w:ascii="Times New Roman;sans-serif" w:hAnsi="Times New Roman;sans-serif"/>
          <w:b w:val="false"/>
          <w:color w:val="000000"/>
          <w:sz w:val="24"/>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Administrator Action</w:t>
      </w:r>
      <w:r>
        <w:rPr>
          <w:rFonts w:ascii="Times New Roman;sans-serif" w:hAnsi="Times New Roman;sans-serif"/>
          <w:b w:val="false"/>
          <w:color w:val="000000"/>
          <w:sz w:val="24"/>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Family Member</w:t>
      </w:r>
      <w:r>
        <w:rPr>
          <w:rFonts w:ascii="Times New Roman;sans-serif" w:hAnsi="Times New Roman;sans-serif"/>
          <w:b w:val="false"/>
          <w:color w:val="000000"/>
          <w:sz w:val="24"/>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Designation of Beneficiary</w:t>
      </w:r>
      <w:r>
        <w:rPr>
          <w:rFonts w:ascii="Times New Roman;sans-serif" w:hAnsi="Times New Roman;sans-serif"/>
          <w:b w:val="false"/>
          <w:color w:val="000000"/>
          <w:sz w:val="24"/>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0520"/>
                <wp:effectExtent l="0" t="0" r="0" b="0"/>
                <wp:wrapNone/>
                <wp:docPr id="83" name="Frame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13. </w:t>
      </w:r>
      <w:r>
        <w:rPr>
          <w:rFonts w:ascii="Times New Roman;sans-serif" w:hAnsi="Times New Roman;sans-serif"/>
          <w:b w:val="false"/>
          <w:color w:val="000000"/>
          <w:sz w:val="24"/>
          <w:u w:val="single"/>
        </w:rPr>
        <w:t>TAX WITHHOLDING</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Payment by Grantee</w:t>
      </w:r>
      <w:r>
        <w:rPr>
          <w:rFonts w:ascii="Times New Roman;sans-serif" w:hAnsi="Times New Roman;sans-serif"/>
          <w:b w:val="false"/>
          <w:color w:val="000000"/>
          <w:sz w:val="24"/>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Payment in Stock</w:t>
      </w:r>
      <w:r>
        <w:rPr>
          <w:rFonts w:ascii="Times New Roman;sans-serif" w:hAnsi="Times New Roman;sans-serif"/>
          <w:b w:val="false"/>
          <w:color w:val="000000"/>
          <w:sz w:val="24"/>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includable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14. </w:t>
      </w:r>
      <w:r>
        <w:rPr>
          <w:rFonts w:ascii="Times New Roman;sans-serif" w:hAnsi="Times New Roman;sans-serif"/>
          <w:b w:val="false"/>
          <w:color w:val="000000"/>
          <w:sz w:val="24"/>
          <w:u w:val="single"/>
        </w:rPr>
        <w:t>SECTION 409A AWARDS</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pStyle w:val="TextBody"/>
        <w:bidi w:val="0"/>
        <w:spacing w:lineRule="auto" w:line="240" w:before="0" w:after="240"/>
        <w:ind w:left="0" w:right="0" w:hanging="1530"/>
        <w:jc w:val="left"/>
        <w:rPr/>
      </w:pPr>
      <w:r>
        <w:rPr>
          <w:rFonts w:ascii="Times New Roman;sans-serif" w:hAnsi="Times New Roman;sans-serif"/>
          <w:b w:val="false"/>
          <w:color w:val="000000"/>
          <w:sz w:val="24"/>
        </w:rPr>
        <w:t xml:space="preserve">SECTION 15. </w:t>
      </w:r>
      <w:r>
        <w:rPr>
          <w:rFonts w:ascii="Times New Roman;sans-serif" w:hAnsi="Times New Roman;sans-serif"/>
          <w:b w:val="false"/>
          <w:color w:val="000000"/>
          <w:sz w:val="24"/>
          <w:u w:val="single"/>
        </w:rPr>
        <w:t>TERMINATION OF SERVICE RELATIONSHIP, TRANSFER, LEAVE OF ABSENCE, ETC.</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Termination of Service Relationship</w:t>
      </w:r>
      <w:r>
        <w:rPr>
          <w:rFonts w:ascii="Times New Roman;sans-serif" w:hAnsi="Times New Roman;sans-serif"/>
          <w:b w:val="false"/>
          <w:color w:val="000000"/>
          <w:sz w:val="24"/>
        </w:rPr>
        <w:t xml:space="preserve">. If the grantee’s Service Relationship is with an Affiliate and such Affiliate ceases to be an Affiliate, the grantee shall be deemed to have terminated his or her Service Relationship for purposes of the Plan.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For purposes of the Plan, the following events shall not be deemed a termination of a Service Relationship:</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rPr>
        <w:t>a transfer to the employment of the Company from an Affiliate or from the Company to an Affiliate, or from one Affiliate to another; or</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0520"/>
                <wp:effectExtent l="0" t="0" r="0" b="0"/>
                <wp:wrapNone/>
                <wp:docPr id="84" name="Frame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(ii)</w:t>
      </w:r>
      <w:r>
        <w:rPr>
          <w:rFonts w:ascii="Times New Roman;sans-serif" w:hAnsi="Times New Roman;sans-serif"/>
          <w:b w:val="false"/>
          <w:color w:val="000000"/>
          <w:sz w:val="24"/>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16. </w:t>
      </w:r>
      <w:r>
        <w:rPr>
          <w:rFonts w:ascii="Times New Roman;sans-serif" w:hAnsi="Times New Roman;sans-serif"/>
          <w:b w:val="false"/>
          <w:color w:val="000000"/>
          <w:sz w:val="24"/>
          <w:u w:val="single"/>
        </w:rPr>
        <w:t>AMENDMENTS AND TERMINATION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effect repricing through cancellation and re-grants or cancellation of Stock Options or Stock Appreciation Rights in exchange for cash or other Awards or effect cash buyouts of underwater Stock Options or Stock Appreciation Rights.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17. </w:t>
      </w:r>
      <w:r>
        <w:rPr>
          <w:rFonts w:ascii="Times New Roman;sans-serif" w:hAnsi="Times New Roman;sans-serif"/>
          <w:b w:val="false"/>
          <w:color w:val="000000"/>
          <w:sz w:val="24"/>
          <w:u w:val="single"/>
        </w:rPr>
        <w:t>STATUS OF PLAN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18. </w:t>
      </w:r>
      <w:r>
        <w:rPr>
          <w:rFonts w:ascii="Times New Roman;sans-serif" w:hAnsi="Times New Roman;sans-serif"/>
          <w:b w:val="false"/>
          <w:color w:val="000000"/>
          <w:sz w:val="24"/>
          <w:u w:val="single"/>
        </w:rPr>
        <w:t>GENERAL PROVISIONS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No Distribution</w:t>
      </w:r>
      <w:r>
        <w:rPr>
          <w:rFonts w:ascii="Times New Roman;sans-serif" w:hAnsi="Times New Roman;sans-serif"/>
          <w:b w:val="false"/>
          <w:color w:val="000000"/>
          <w:sz w:val="24"/>
        </w:rPr>
        <w:t>. The Administrator may require each person acquiring Stock pursuant to an Award to represent to and agree with the Company in writing that such person is acquiring the shares without a view to distribution thereof.</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Issuance of Stock</w:t>
      </w:r>
      <w:r>
        <w:rPr>
          <w:rFonts w:ascii="Times New Roman;sans-serif" w:hAnsi="Times New Roman;sans-serif"/>
          <w:b w:val="false"/>
          <w:color w:val="000000"/>
          <w:sz w:val="24"/>
        </w:rPr>
        <w:t xml:space="preserve">.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0520"/>
                <wp:effectExtent l="0" t="0" r="0" b="0"/>
                <wp:wrapNone/>
                <wp:docPr id="85" name="Frame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Stockholder Rights</w:t>
      </w:r>
      <w:r>
        <w:rPr>
          <w:rFonts w:ascii="Times New Roman;sans-serif" w:hAnsi="Times New Roman;sans-serif"/>
          <w:b w:val="false"/>
          <w:color w:val="000000"/>
          <w:sz w:val="24"/>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Other Compensation Arrangements; No Employment Rights</w:t>
      </w:r>
      <w:r>
        <w:rPr>
          <w:rFonts w:ascii="Times New Roman;sans-serif" w:hAnsi="Times New Roman;sans-serif"/>
          <w:b w:val="false"/>
          <w:color w:val="000000"/>
          <w:sz w:val="24"/>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Trading Policy Restrictions</w:t>
      </w:r>
      <w:r>
        <w:rPr>
          <w:rFonts w:ascii="Times New Roman;sans-serif" w:hAnsi="Times New Roman;sans-serif"/>
          <w:b w:val="false"/>
          <w:color w:val="000000"/>
          <w:sz w:val="24"/>
        </w:rPr>
        <w:t>. Option exercises and other Awards under the Plan shall be subject to the Company’s insider trading policies and procedures, as in effect from time to time.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Clawback Policy</w:t>
      </w:r>
      <w:r>
        <w:rPr>
          <w:rFonts w:ascii="Times New Roman;sans-serif" w:hAnsi="Times New Roman;sans-serif"/>
          <w:b w:val="false"/>
          <w:color w:val="000000"/>
          <w:sz w:val="24"/>
        </w:rPr>
        <w:t>. Awards under the Plan shall be subject to the Company’s clawback policy, as in effect from time to time.</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19. </w:t>
      </w:r>
      <w:r>
        <w:rPr>
          <w:rFonts w:ascii="Times New Roman;sans-serif" w:hAnsi="Times New Roman;sans-serif"/>
          <w:b w:val="false"/>
          <w:color w:val="000000"/>
          <w:sz w:val="24"/>
          <w:u w:val="single"/>
        </w:rPr>
        <w:t>EFFECTIVE DATE OF PLAN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Plan shall become effective upon stockholder approval in accordance with applicable state law, the Company’s bylaws and articles of incorporation, and applicable stock exchange rules. No grants of Stock Options and other Awards may be made hereunder after December 14, 2030 and no grants of Incentive Stock Options may be made hereunder after September 9, 2030.</w:t>
      </w:r>
    </w:p>
    <w:p>
      <w:pPr>
        <w:pStyle w:val="TextBody"/>
        <w:bidi w:val="0"/>
        <w:spacing w:lineRule="auto" w:line="240" w:before="0" w:after="240"/>
        <w:ind w:left="0" w:right="0" w:hanging="1440"/>
        <w:jc w:val="left"/>
        <w:rPr/>
      </w:pPr>
      <w:r>
        <w:rPr>
          <w:rFonts w:ascii="Times New Roman;sans-serif" w:hAnsi="Times New Roman;sans-serif"/>
          <w:b w:val="false"/>
          <w:color w:val="000000"/>
          <w:sz w:val="24"/>
        </w:rPr>
        <w:t xml:space="preserve">SECTION 20. </w:t>
      </w:r>
      <w:r>
        <w:rPr>
          <w:rFonts w:ascii="Times New Roman;sans-serif" w:hAnsi="Times New Roman;sans-serif"/>
          <w:b w:val="false"/>
          <w:color w:val="000000"/>
          <w:sz w:val="24"/>
          <w:u w:val="single"/>
        </w:rPr>
        <w:t>GOVERNING LAW</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California, applied without regard to conflict of law principles.</w:t>
      </w:r>
    </w:p>
    <w:p>
      <w:pPr>
        <w:pStyle w:val="TextBody"/>
        <w:bidi w:val="0"/>
        <w:spacing w:lineRule="auto" w:line="240" w:before="60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DATE APPROVED BY BOARD OF DIRECTORS: OCTOBER 17, 2023</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DATE APPROVED BY STOCKHOLDERS: DECEMBER 19,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0520"/>
                <wp:effectExtent l="0" t="0" r="0" b="0"/>
                <wp:wrapNone/>
                <wp:docPr id="86" name="Frame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Mike Rosenbaum,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Guidewire Software, Inc.;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049"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109"/>
        <w:gridCol w:w="109"/>
        <w:gridCol w:w="109"/>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MIKE ROSENBAUM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Rosenbaum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Jeff Cooper,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Guidewire Software, Inc.;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339"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109"/>
        <w:gridCol w:w="109"/>
        <w:gridCol w:w="109"/>
        <w:gridCol w:w="1101"/>
        <w:gridCol w:w="1101"/>
        <w:gridCol w:w="156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 COOPER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 Cooper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Guidewire Software, Inc. for the quarterly period ended January 31, 2024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pStyle w:val="TextBody"/>
        <w:bidi w:val="0"/>
        <w:spacing w:lineRule="auto" w:line="288" w:before="0" w:after="0"/>
        <w:jc w:val="left"/>
        <w:rPr>
          <w:color w:val="000000"/>
        </w:rPr>
      </w:pPr>
      <w:r>
        <w:rPr>
          <w:color w:val="000000"/>
        </w:rPr>
        <w:t> </w:t>
      </w:r>
    </w:p>
    <w:tbl>
      <w:tblPr>
        <w:tblW w:w="5049"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109"/>
        <w:gridCol w:w="109"/>
        <w:gridCol w:w="109"/>
        <w:gridCol w:w="724"/>
        <w:gridCol w:w="724"/>
        <w:gridCol w:w="1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MIKE ROSENBAUM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Rosenbaum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180" w:after="283"/>
        <w:ind w:left="0" w:right="0" w:firstLine="495"/>
        <w:jc w:val="left"/>
        <w:rPr/>
      </w:pPr>
      <w:r>
        <w:rPr/>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Guidewire Software, Inc. for the quarterly period ended January 31, 2024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tbl>
      <w:tblPr>
        <w:tblW w:w="6339"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109"/>
        <w:gridCol w:w="109"/>
        <w:gridCol w:w="109"/>
        <w:gridCol w:w="1101"/>
        <w:gridCol w:w="1101"/>
        <w:gridCol w:w="156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 COOPER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 Cooper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28396/000119312522310042/d440763dex31.htm" TargetMode="External"/><Relationship Id="rId3" Type="http://schemas.openxmlformats.org/officeDocument/2006/relationships/hyperlink" Target="http://www.sec.gov/Archives/edgar/data/1528396/000119312522310042/d440763dex32.htm" TargetMode="External"/><Relationship Id="rId4" Type="http://schemas.openxmlformats.org/officeDocument/2006/relationships/hyperlink" Target="http://www.sec.gov/Archives/edgar/data/1528396/000119312512006627/d219721d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51509</Words>
  <Characters>286018</Characters>
  <CharactersWithSpaces>335615</CharactersWithSpaces>
  <Paragraphs>3976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