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8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July 31, 2020</w:t>
      </w:r>
    </w:p>
    <w:p>
      <w:pPr>
        <w:spacing w:after="0" w:line="3"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229" w:right="359" w:bottom="1440" w:gutter="0" w:footer="0" w:header="0"/>
        </w:sectPr>
      </w:pPr>
    </w:p>
    <w:p>
      <w:pPr>
        <w:spacing w:after="0" w:line="23" w:lineRule="exact"/>
        <w:rPr>
          <w:sz w:val="24"/>
          <w:szCs w:val="24"/>
          <w:color w:val="auto"/>
        </w:rPr>
      </w:pPr>
    </w:p>
    <w:p>
      <w:pPr>
        <w:ind w:left="380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001-35394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88" w:lineRule="exact"/>
        <w:rPr>
          <w:sz w:val="24"/>
          <w:szCs w:val="24"/>
          <w:color w:val="auto"/>
        </w:rPr>
      </w:pPr>
    </w:p>
    <w:p>
      <w:pPr>
        <w:sectPr>
          <w:pgSz w:w="11900" w:h="16838" w:orient="portrait"/>
          <w:cols w:equalWidth="0" w:num="2">
            <w:col w:w="6880" w:space="520"/>
            <w:col w:w="3820"/>
          </w:cols>
          <w:pgMar w:left="320" w:top="229" w:right="359" w:bottom="1440" w:gutter="0" w:footer="0" w:header="0"/>
          <w:type w:val="continuous"/>
        </w:sectPr>
      </w:pPr>
    </w:p>
    <w:p>
      <w:pPr>
        <w:ind w:left="38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ectPr>
          <w:pgSz w:w="11900" w:h="16838" w:orient="portrait"/>
          <w:cols w:equalWidth="0" w:num="1">
            <w:col w:w="11220"/>
          </w:cols>
          <w:pgMar w:left="320" w:top="229" w:right="35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Guidewire Software,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125" w:lineRule="exact"/>
        <w:rPr>
          <w:sz w:val="24"/>
          <w:szCs w:val="24"/>
          <w:color w:val="auto"/>
        </w:rPr>
      </w:pPr>
    </w:p>
    <w:tbl>
      <w:tblPr>
        <w:tblLayout w:type="fixed"/>
        <w:tblInd w:w="1840" w:type="dxa"/>
        <w:tblCellMar>
          <w:top w:w="0" w:type="dxa"/>
          <w:left w:w="0" w:type="dxa"/>
          <w:bottom w:w="0" w:type="dxa"/>
          <w:right w:w="0" w:type="dxa"/>
        </w:tblCellMar>
      </w:tblPr>
      <w:tr>
        <w:trPr>
          <w:trHeight w:val="190"/>
        </w:trPr>
        <w:tc>
          <w:tcPr>
            <w:tcW w:w="3960" w:type="dxa"/>
            <w:vAlign w:val="bottom"/>
          </w:tcPr>
          <w:p>
            <w:pPr>
              <w:jc w:val="center"/>
              <w:ind w:right="19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rPr>
              <w:t>36-4468504</w:t>
            </w:r>
          </w:p>
        </w:tc>
      </w:tr>
      <w:tr>
        <w:trPr>
          <w:trHeight w:val="161"/>
        </w:trPr>
        <w:tc>
          <w:tcPr>
            <w:tcW w:w="396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2850 S. Delaware St., Suite 400, San Mateo, California, 94403</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357-9100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3"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22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13"/>
        </w:trPr>
        <w:tc>
          <w:tcPr>
            <w:tcW w:w="26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62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GWRE</w:t>
            </w:r>
          </w:p>
        </w:tc>
        <w:tc>
          <w:tcPr>
            <w:tcW w:w="6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ectPr>
          <w:pgSz w:w="11900" w:h="16838" w:orient="portrait"/>
          <w:cols w:equalWidth="0" w:num="1">
            <w:col w:w="11220"/>
          </w:cols>
          <w:pgMar w:left="320" w:top="229" w:right="359" w:bottom="1440" w:gutter="0" w:footer="0" w:header="0"/>
          <w:type w:val="continuous"/>
        </w:sectPr>
      </w:pPr>
    </w:p>
    <w:p>
      <w:pPr>
        <w:spacing w:after="0" w:line="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5">
            <w:col w:w="7080" w:space="140"/>
            <w:col w:w="220" w:space="60"/>
            <w:col w:w="140" w:space="140"/>
            <w:col w:w="180" w:space="80"/>
            <w:col w:w="3180"/>
          </w:cols>
          <w:pgMar w:left="320" w:top="229" w:right="359" w:bottom="1440" w:gutter="0" w:footer="0" w:header="0"/>
          <w:type w:val="continuous"/>
        </w:sectPr>
      </w:pPr>
    </w:p>
    <w:p>
      <w:pPr>
        <w:spacing w:after="0" w:line="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9" w:lineRule="exact"/>
        <w:rPr>
          <w:sz w:val="24"/>
          <w:szCs w:val="24"/>
          <w:color w:val="auto"/>
        </w:rPr>
      </w:pPr>
    </w:p>
    <w:p>
      <w:pPr>
        <w:sectPr>
          <w:pgSz w:w="11900" w:h="16838" w:orient="portrait"/>
          <w:cols w:equalWidth="0" w:num="5">
            <w:col w:w="7600" w:space="120"/>
            <w:col w:w="220" w:space="80"/>
            <w:col w:w="120" w:space="140"/>
            <w:col w:w="180" w:space="80"/>
            <w:col w:w="2680"/>
          </w:cols>
          <w:pgMar w:left="320" w:top="229" w:right="359" w:bottom="1440" w:gutter="0" w:footer="0" w:header="0"/>
          <w:type w:val="continuous"/>
        </w:sectPr>
      </w:pPr>
    </w:p>
    <w:p>
      <w:pPr>
        <w:ind w:right="8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6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30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1" w:lineRule="exact"/>
        <w:rPr>
          <w:sz w:val="24"/>
          <w:szCs w:val="24"/>
          <w:color w:val="auto"/>
        </w:rPr>
      </w:pPr>
    </w:p>
    <w:p>
      <w:pPr>
        <w:ind w:right="22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54" w:lineRule="exact"/>
        <w:rPr>
          <w:sz w:val="24"/>
          <w:szCs w:val="24"/>
          <w:color w:val="auto"/>
        </w:rPr>
      </w:pPr>
    </w:p>
    <w:p>
      <w:pPr>
        <w:ind w:right="18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255"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closing price at which the common stock was sold on January 31, 2020, the last business day of the registrant’s most recently completed second fiscal quarter, as reported on the New York Stock Exchange, was approximately $5.5 billion.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On August 31, 2020, the registrant had 83,474,780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2020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Guidewire Software, Inc.</w:t>
      </w:r>
    </w:p>
    <w:p>
      <w:pPr>
        <w:spacing w:after="0" w:line="104"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780" w:type="dxa"/>
            <w:vAlign w:val="bottom"/>
          </w:tcPr>
          <w:p>
            <w:pPr>
              <w:spacing w:after="0"/>
              <w:rPr>
                <w:sz w:val="20"/>
                <w:szCs w:val="20"/>
                <w:color w:val="auto"/>
              </w:rPr>
            </w:pPr>
          </w:p>
        </w:tc>
        <w:tc>
          <w:tcPr>
            <w:tcW w:w="5040" w:type="dxa"/>
            <w:vAlign w:val="bottom"/>
          </w:tcPr>
          <w:p>
            <w:pPr>
              <w:ind w:left="4580"/>
              <w:spacing w:after="0"/>
              <w:rPr>
                <w:rFonts w:ascii="Times New Roman" w:cs="Times New Roman" w:eastAsia="Times New Roman" w:hAnsi="Times New Roman"/>
                <w:sz w:val="18"/>
                <w:szCs w:val="18"/>
                <w:b w:val="1"/>
                <w:bCs w:val="1"/>
                <w:u w:val="single" w:color="auto"/>
                <w:color w:val="0000FF"/>
                <w:w w:val="96"/>
              </w:rPr>
            </w:pPr>
            <w:hyperlink w:anchor="page4">
              <w:r>
                <w:rPr>
                  <w:rFonts w:ascii="Times New Roman" w:cs="Times New Roman" w:eastAsia="Times New Roman" w:hAnsi="Times New Roman"/>
                  <w:sz w:val="18"/>
                  <w:szCs w:val="18"/>
                  <w:b w:val="1"/>
                  <w:bCs w:val="1"/>
                  <w:u w:val="single" w:color="auto"/>
                  <w:color w:val="0000FF"/>
                  <w:w w:val="96"/>
                </w:rPr>
                <w:t>Part I</w:t>
              </w:r>
            </w:hyperlink>
          </w:p>
        </w:tc>
      </w:tr>
      <w:tr>
        <w:trPr>
          <w:trHeight w:val="24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Business</w:t>
              </w:r>
            </w:hyperlink>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Risk Factors</w:t>
              </w:r>
            </w:hyperlink>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Unresolved Staff Comments</w:t>
              </w:r>
            </w:hyperlink>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Properties</w:t>
              </w:r>
            </w:hyperlink>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Legal Proceedings</w:t>
              </w:r>
            </w:hyperlink>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040" w:type="dxa"/>
            <w:vAlign w:val="bottom"/>
          </w:tcPr>
          <w:p>
            <w:pPr>
              <w:ind w:left="1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Mine Safety Disclosures</w:t>
              </w:r>
            </w:hyperlink>
          </w:p>
        </w:tc>
      </w:tr>
    </w:tbl>
    <w:p>
      <w:pPr>
        <w:spacing w:after="0" w:line="288" w:lineRule="exact"/>
        <w:rPr>
          <w:sz w:val="20"/>
          <w:szCs w:val="20"/>
          <w:color w:val="auto"/>
        </w:rPr>
      </w:pPr>
    </w:p>
    <w:p>
      <w:pPr>
        <w:jc w:val="center"/>
        <w:ind w:left="94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Part II</w:t>
        </w:r>
      </w:hyperlink>
    </w:p>
    <w:p>
      <w:pPr>
        <w:spacing w:after="0" w:line="31"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5.</w:t>
      </w:r>
      <w:r>
        <w:rPr>
          <w:sz w:val="20"/>
          <w:szCs w:val="20"/>
          <w:color w:val="auto"/>
        </w:rPr>
        <w:tab/>
      </w:r>
      <w:hyperlink w:anchor="page37">
        <w:r>
          <w:rPr>
            <w:rFonts w:ascii="Times New Roman" w:cs="Times New Roman" w:eastAsia="Times New Roman" w:hAnsi="Times New Roman"/>
            <w:sz w:val="17"/>
            <w:szCs w:val="17"/>
            <w:u w:val="single" w:color="auto"/>
            <w:color w:val="0000FF"/>
          </w:rPr>
          <w:t>Market for Registrant’s Common Equity, Related Stockholder Matters and Issuer Purchases of Equity Securities</w:t>
        </w:r>
      </w:hyperlink>
    </w:p>
    <w:p>
      <w:pPr>
        <w:spacing w:after="0" w:line="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0000FF"/>
        </w:rPr>
        <w:t>Selected Financial Data</w:t>
      </w:r>
    </w:p>
    <w:p>
      <w:pPr>
        <w:spacing w:after="0" w:line="63" w:lineRule="exact"/>
        <w:rPr>
          <w:sz w:val="20"/>
          <w:szCs w:val="20"/>
          <w:color w:val="auto"/>
        </w:rPr>
      </w:pPr>
    </w:p>
    <w:p>
      <w:pPr>
        <w:ind w:left="20" w:right="28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7. </w:t>
      </w:r>
      <w:hyperlink w:anchor="page3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r>
        <w:rPr>
          <w:rFonts w:ascii="Times New Roman" w:cs="Times New Roman" w:eastAsia="Times New Roman" w:hAnsi="Times New Roman"/>
          <w:sz w:val="18"/>
          <w:szCs w:val="18"/>
          <w:color w:val="auto"/>
        </w:rPr>
        <w:t xml:space="preserve"> Item 7A. </w:t>
      </w:r>
      <w:hyperlink w:anchor="page57">
        <w:r>
          <w:rPr>
            <w:rFonts w:ascii="Times New Roman" w:cs="Times New Roman" w:eastAsia="Times New Roman" w:hAnsi="Times New Roman"/>
            <w:sz w:val="18"/>
            <w:szCs w:val="18"/>
            <w:u w:val="single" w:color="auto"/>
            <w:color w:val="0000FF"/>
          </w:rPr>
          <w:t>Quantitative and Qualitative Disclosures About Market Risk</w:t>
        </w:r>
      </w:hyperlink>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8.</w:t>
      </w:r>
      <w:r>
        <w:rPr>
          <w:sz w:val="20"/>
          <w:szCs w:val="20"/>
          <w:color w:val="auto"/>
        </w:rPr>
        <w:tab/>
      </w:r>
      <w:hyperlink w:anchor="page58">
        <w:r>
          <w:rPr>
            <w:rFonts w:ascii="Times New Roman" w:cs="Times New Roman" w:eastAsia="Times New Roman" w:hAnsi="Times New Roman"/>
            <w:sz w:val="18"/>
            <w:szCs w:val="18"/>
            <w:u w:val="single" w:color="auto"/>
            <w:color w:val="0000FF"/>
          </w:rPr>
          <w:t>Financial Statements and Supplementary Data</w:t>
        </w:r>
      </w:hyperlink>
    </w:p>
    <w:p>
      <w:pPr>
        <w:spacing w:after="0" w:line="63" w:lineRule="exact"/>
        <w:rPr>
          <w:sz w:val="20"/>
          <w:szCs w:val="20"/>
          <w:color w:val="auto"/>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9.</w:t>
      </w:r>
      <w:r>
        <w:rPr>
          <w:sz w:val="20"/>
          <w:szCs w:val="20"/>
          <w:color w:val="auto"/>
        </w:rPr>
        <w:tab/>
      </w:r>
      <w:hyperlink w:anchor="page95">
        <w:r>
          <w:rPr>
            <w:rFonts w:ascii="Times New Roman" w:cs="Times New Roman" w:eastAsia="Times New Roman" w:hAnsi="Times New Roman"/>
            <w:sz w:val="18"/>
            <w:szCs w:val="18"/>
            <w:u w:val="single" w:color="auto"/>
            <w:color w:val="0000FF"/>
          </w:rPr>
          <w:t>Changes in and Disagreements with Accountants on Accounting and Financial Disclosures</w:t>
        </w:r>
      </w:hyperlink>
    </w:p>
    <w:p>
      <w:pPr>
        <w:spacing w:after="0" w:line="63" w:lineRule="exact"/>
        <w:rPr>
          <w:sz w:val="20"/>
          <w:szCs w:val="20"/>
          <w:color w:val="auto"/>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9A.</w:t>
      </w:r>
      <w:r>
        <w:rPr>
          <w:sz w:val="20"/>
          <w:szCs w:val="20"/>
          <w:color w:val="auto"/>
        </w:rPr>
        <w:tab/>
      </w:r>
      <w:hyperlink w:anchor="page96">
        <w:r>
          <w:rPr>
            <w:rFonts w:ascii="Times New Roman" w:cs="Times New Roman" w:eastAsia="Times New Roman" w:hAnsi="Times New Roman"/>
            <w:sz w:val="18"/>
            <w:szCs w:val="18"/>
            <w:u w:val="single" w:color="auto"/>
            <w:color w:val="0000FF"/>
          </w:rPr>
          <w:t>Controls and Procedures</w:t>
        </w:r>
      </w:hyperlink>
    </w:p>
    <w:p>
      <w:pPr>
        <w:spacing w:after="0" w:line="63" w:lineRule="exact"/>
        <w:rPr>
          <w:sz w:val="20"/>
          <w:szCs w:val="20"/>
          <w:color w:val="auto"/>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9B.</w:t>
      </w:r>
      <w:r>
        <w:rPr>
          <w:sz w:val="20"/>
          <w:szCs w:val="20"/>
          <w:color w:val="auto"/>
        </w:rPr>
        <w:tab/>
      </w:r>
      <w:hyperlink w:anchor="page97">
        <w:r>
          <w:rPr>
            <w:rFonts w:ascii="Times New Roman" w:cs="Times New Roman" w:eastAsia="Times New Roman" w:hAnsi="Times New Roman"/>
            <w:sz w:val="18"/>
            <w:szCs w:val="18"/>
            <w:u w:val="single" w:color="auto"/>
            <w:color w:val="0000FF"/>
          </w:rPr>
          <w:t>Other Information</w:t>
        </w:r>
      </w:hyperlink>
    </w:p>
    <w:p>
      <w:pPr>
        <w:spacing w:after="0" w:line="329" w:lineRule="exact"/>
        <w:rPr>
          <w:sz w:val="20"/>
          <w:szCs w:val="20"/>
          <w:color w:val="auto"/>
        </w:rPr>
      </w:pPr>
    </w:p>
    <w:p>
      <w:pPr>
        <w:jc w:val="center"/>
        <w:ind w:left="940"/>
        <w:spacing w:after="0"/>
        <w:rPr>
          <w:rFonts w:ascii="Times New Roman" w:cs="Times New Roman" w:eastAsia="Times New Roman" w:hAnsi="Times New Roman"/>
          <w:sz w:val="18"/>
          <w:szCs w:val="18"/>
          <w:b w:val="1"/>
          <w:bCs w:val="1"/>
          <w:u w:val="single" w:color="auto"/>
          <w:color w:val="0000FF"/>
        </w:rPr>
      </w:pPr>
      <w:hyperlink w:anchor="page97">
        <w:r>
          <w:rPr>
            <w:rFonts w:ascii="Times New Roman" w:cs="Times New Roman" w:eastAsia="Times New Roman" w:hAnsi="Times New Roman"/>
            <w:sz w:val="18"/>
            <w:szCs w:val="18"/>
            <w:b w:val="1"/>
            <w:bCs w:val="1"/>
            <w:u w:val="single" w:color="auto"/>
            <w:color w:val="0000FF"/>
          </w:rPr>
          <w:t>Part III</w:t>
        </w:r>
      </w:hyperlink>
    </w:p>
    <w:p>
      <w:pPr>
        <w:spacing w:after="0" w:line="31" w:lineRule="exact"/>
        <w:rPr>
          <w:sz w:val="20"/>
          <w:szCs w:val="20"/>
          <w:color w:val="auto"/>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10.</w:t>
      </w:r>
      <w:r>
        <w:rPr>
          <w:sz w:val="20"/>
          <w:szCs w:val="20"/>
          <w:color w:val="auto"/>
        </w:rPr>
        <w:tab/>
      </w:r>
      <w:hyperlink w:anchor="page98">
        <w:r>
          <w:rPr>
            <w:rFonts w:ascii="Times New Roman" w:cs="Times New Roman" w:eastAsia="Times New Roman" w:hAnsi="Times New Roman"/>
            <w:sz w:val="18"/>
            <w:szCs w:val="18"/>
            <w:u w:val="single" w:color="auto"/>
            <w:color w:val="0000FF"/>
          </w:rPr>
          <w:t>Directors, Executive Officers and Corporate Governance</w:t>
        </w:r>
      </w:hyperlink>
    </w:p>
    <w:p>
      <w:pPr>
        <w:spacing w:after="0" w:line="58"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11.</w:t>
      </w:r>
      <w:r>
        <w:rPr>
          <w:sz w:val="20"/>
          <w:szCs w:val="20"/>
          <w:color w:val="auto"/>
        </w:rPr>
        <w:tab/>
      </w:r>
      <w:hyperlink w:anchor="page98">
        <w:r>
          <w:rPr>
            <w:rFonts w:ascii="Times New Roman" w:cs="Times New Roman" w:eastAsia="Times New Roman" w:hAnsi="Times New Roman"/>
            <w:sz w:val="17"/>
            <w:szCs w:val="17"/>
            <w:u w:val="single" w:color="auto"/>
            <w:color w:val="0000FF"/>
          </w:rPr>
          <w:t>Executive Compensation</w:t>
        </w:r>
      </w:hyperlink>
    </w:p>
    <w:p>
      <w:pPr>
        <w:spacing w:after="0" w:line="63" w:lineRule="exact"/>
        <w:rPr>
          <w:sz w:val="20"/>
          <w:szCs w:val="20"/>
          <w:color w:val="auto"/>
        </w:rPr>
      </w:pPr>
    </w:p>
    <w:p>
      <w:pPr>
        <w:ind w:left="20" w:right="2040"/>
        <w:spacing w:after="0" w:line="3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12. </w:t>
      </w:r>
      <w:hyperlink w:anchor="page98">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r>
        <w:rPr>
          <w:rFonts w:ascii="Times New Roman" w:cs="Times New Roman" w:eastAsia="Times New Roman" w:hAnsi="Times New Roman"/>
          <w:sz w:val="18"/>
          <w:szCs w:val="18"/>
          <w:color w:val="auto"/>
        </w:rPr>
        <w:t xml:space="preserve"> Item 13. </w:t>
      </w:r>
      <w:hyperlink w:anchor="page98">
        <w:r>
          <w:rPr>
            <w:rFonts w:ascii="Times New Roman" w:cs="Times New Roman" w:eastAsia="Times New Roman" w:hAnsi="Times New Roman"/>
            <w:sz w:val="18"/>
            <w:szCs w:val="18"/>
            <w:u w:val="single" w:color="auto"/>
            <w:color w:val="0000FF"/>
          </w:rPr>
          <w:t>Certain Relationships and Related Transactions, and Director Independence</w:t>
        </w:r>
      </w:hyperlink>
      <w:r>
        <w:rPr>
          <w:rFonts w:ascii="Times New Roman" w:cs="Times New Roman" w:eastAsia="Times New Roman" w:hAnsi="Times New Roman"/>
          <w:sz w:val="18"/>
          <w:szCs w:val="18"/>
          <w:color w:val="auto"/>
        </w:rPr>
        <w:t xml:space="preserve"> Item 14. </w:t>
      </w:r>
      <w:hyperlink w:anchor="page98">
        <w:r>
          <w:rPr>
            <w:rFonts w:ascii="Times New Roman" w:cs="Times New Roman" w:eastAsia="Times New Roman" w:hAnsi="Times New Roman"/>
            <w:sz w:val="18"/>
            <w:szCs w:val="18"/>
            <w:u w:val="single" w:color="auto"/>
            <w:color w:val="0000FF"/>
          </w:rPr>
          <w:t>Principal Accountant Fees and Services</w:t>
        </w:r>
      </w:hyperlink>
    </w:p>
    <w:p>
      <w:pPr>
        <w:spacing w:after="0" w:line="207" w:lineRule="exact"/>
        <w:rPr>
          <w:rFonts w:ascii="Times New Roman" w:cs="Times New Roman" w:eastAsia="Times New Roman" w:hAnsi="Times New Roman"/>
          <w:sz w:val="18"/>
          <w:szCs w:val="18"/>
          <w:color w:val="auto"/>
        </w:rPr>
      </w:pPr>
    </w:p>
    <w:p>
      <w:pPr>
        <w:jc w:val="center"/>
        <w:ind w:left="940"/>
        <w:spacing w:after="0"/>
        <w:rPr>
          <w:rFonts w:ascii="Times New Roman" w:cs="Times New Roman" w:eastAsia="Times New Roman" w:hAnsi="Times New Roman"/>
          <w:sz w:val="18"/>
          <w:szCs w:val="18"/>
          <w:b w:val="1"/>
          <w:bCs w:val="1"/>
          <w:u w:val="single" w:color="auto"/>
          <w:color w:val="0000FF"/>
        </w:rPr>
      </w:pPr>
      <w:hyperlink w:anchor="page98">
        <w:r>
          <w:rPr>
            <w:rFonts w:ascii="Times New Roman" w:cs="Times New Roman" w:eastAsia="Times New Roman" w:hAnsi="Times New Roman"/>
            <w:sz w:val="18"/>
            <w:szCs w:val="18"/>
            <w:b w:val="1"/>
            <w:bCs w:val="1"/>
            <w:u w:val="single" w:color="auto"/>
            <w:color w:val="0000FF"/>
          </w:rPr>
          <w:t>Part IV</w:t>
        </w:r>
      </w:hyperlink>
    </w:p>
    <w:p>
      <w:pPr>
        <w:spacing w:after="0" w:line="31" w:lineRule="exact"/>
        <w:rPr>
          <w:rFonts w:ascii="Times New Roman" w:cs="Times New Roman" w:eastAsia="Times New Roman" w:hAnsi="Times New Roman"/>
          <w:sz w:val="18"/>
          <w:szCs w:val="18"/>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15.</w:t>
      </w:r>
      <w:r>
        <w:rPr>
          <w:sz w:val="20"/>
          <w:szCs w:val="20"/>
          <w:color w:val="auto"/>
        </w:rPr>
        <w:tab/>
      </w:r>
      <w:hyperlink w:anchor="page99">
        <w:r>
          <w:rPr>
            <w:rFonts w:ascii="Times New Roman" w:cs="Times New Roman" w:eastAsia="Times New Roman" w:hAnsi="Times New Roman"/>
            <w:sz w:val="17"/>
            <w:szCs w:val="17"/>
            <w:u w:val="single" w:color="auto"/>
            <w:color w:val="0000FF"/>
          </w:rPr>
          <w:t>Exhibits and Financial Statement Schedules</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1</w:t>
        </w:r>
      </w:hyperlink>
    </w:p>
    <w:p>
      <w:pPr>
        <w:spacing w:after="0" w:line="63" w:lineRule="exact"/>
        <w:rPr>
          <w:rFonts w:ascii="Times New Roman" w:cs="Times New Roman" w:eastAsia="Times New Roman" w:hAnsi="Times New Roman"/>
          <w:sz w:val="18"/>
          <w:szCs w:val="18"/>
          <w:color w:val="auto"/>
        </w:rPr>
      </w:pPr>
    </w:p>
    <w:p>
      <w:pPr>
        <w:jc w:val="right"/>
        <w:spacing w:after="0"/>
        <w:rPr>
          <w:rFonts w:ascii="Times New Roman" w:cs="Times New Roman" w:eastAsia="Times New Roman" w:hAnsi="Times New Roman"/>
          <w:sz w:val="18"/>
          <w:szCs w:val="18"/>
          <w:u w:val="single" w:color="auto"/>
          <w:color w:val="0033CC"/>
        </w:rPr>
      </w:pPr>
      <w:hyperlink w:anchor="page13">
        <w:r>
          <w:rPr>
            <w:rFonts w:ascii="Times New Roman" w:cs="Times New Roman" w:eastAsia="Times New Roman" w:hAnsi="Times New Roman"/>
            <w:sz w:val="18"/>
            <w:szCs w:val="18"/>
            <w:u w:val="single" w:color="auto"/>
            <w:color w:val="0033CC"/>
          </w:rPr>
          <w:t>9</w:t>
        </w:r>
      </w:hyperlink>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5">
        <w:r>
          <w:rPr>
            <w:rFonts w:ascii="Times New Roman" w:cs="Times New Roman" w:eastAsia="Times New Roman" w:hAnsi="Times New Roman"/>
            <w:sz w:val="17"/>
            <w:szCs w:val="17"/>
            <w:u w:val="single" w:color="auto"/>
            <w:color w:val="0033CC"/>
          </w:rPr>
          <w:t>32</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6">
        <w:r>
          <w:rPr>
            <w:rFonts w:ascii="Times New Roman" w:cs="Times New Roman" w:eastAsia="Times New Roman" w:hAnsi="Times New Roman"/>
            <w:sz w:val="17"/>
            <w:szCs w:val="17"/>
            <w:u w:val="single" w:color="auto"/>
            <w:color w:val="0033CC"/>
          </w:rPr>
          <w:t>32</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6">
        <w:r>
          <w:rPr>
            <w:rFonts w:ascii="Times New Roman" w:cs="Times New Roman" w:eastAsia="Times New Roman" w:hAnsi="Times New Roman"/>
            <w:sz w:val="17"/>
            <w:szCs w:val="17"/>
            <w:u w:val="single" w:color="auto"/>
            <w:color w:val="0033CC"/>
          </w:rPr>
          <w:t>32</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6">
        <w:r>
          <w:rPr>
            <w:rFonts w:ascii="Times New Roman" w:cs="Times New Roman" w:eastAsia="Times New Roman" w:hAnsi="Times New Roman"/>
            <w:sz w:val="17"/>
            <w:szCs w:val="17"/>
            <w:u w:val="single" w:color="auto"/>
            <w:color w:val="0033CC"/>
          </w:rPr>
          <w:t>32</w:t>
        </w:r>
      </w:hyperlink>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7">
        <w:r>
          <w:rPr>
            <w:rFonts w:ascii="Times New Roman" w:cs="Times New Roman" w:eastAsia="Times New Roman" w:hAnsi="Times New Roman"/>
            <w:sz w:val="17"/>
            <w:szCs w:val="17"/>
            <w:u w:val="single" w:color="auto"/>
            <w:color w:val="0033CC"/>
          </w:rPr>
          <w:t>33</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00FF"/>
        </w:rPr>
      </w:pPr>
      <w:hyperlink w:anchor="page38">
        <w:r>
          <w:rPr>
            <w:rFonts w:ascii="Times New Roman" w:cs="Times New Roman" w:eastAsia="Times New Roman" w:hAnsi="Times New Roman"/>
            <w:sz w:val="17"/>
            <w:szCs w:val="17"/>
            <w:u w:val="single" w:color="auto"/>
            <w:color w:val="0000FF"/>
          </w:rPr>
          <w:t>35</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39">
        <w:r>
          <w:rPr>
            <w:rFonts w:ascii="Times New Roman" w:cs="Times New Roman" w:eastAsia="Times New Roman" w:hAnsi="Times New Roman"/>
            <w:sz w:val="17"/>
            <w:szCs w:val="17"/>
            <w:u w:val="single" w:color="auto"/>
            <w:color w:val="0033CC"/>
          </w:rPr>
          <w:t>35</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57">
        <w:r>
          <w:rPr>
            <w:rFonts w:ascii="Times New Roman" w:cs="Times New Roman" w:eastAsia="Times New Roman" w:hAnsi="Times New Roman"/>
            <w:sz w:val="17"/>
            <w:szCs w:val="17"/>
            <w:u w:val="single" w:color="auto"/>
            <w:color w:val="0033CC"/>
          </w:rPr>
          <w:t>53</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58">
        <w:r>
          <w:rPr>
            <w:rFonts w:ascii="Times New Roman" w:cs="Times New Roman" w:eastAsia="Times New Roman" w:hAnsi="Times New Roman"/>
            <w:sz w:val="17"/>
            <w:szCs w:val="17"/>
            <w:u w:val="single" w:color="auto"/>
            <w:color w:val="0033CC"/>
          </w:rPr>
          <w:t>55</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5">
        <w:r>
          <w:rPr>
            <w:rFonts w:ascii="Times New Roman" w:cs="Times New Roman" w:eastAsia="Times New Roman" w:hAnsi="Times New Roman"/>
            <w:sz w:val="17"/>
            <w:szCs w:val="17"/>
            <w:u w:val="single" w:color="auto"/>
            <w:color w:val="0033CC"/>
          </w:rPr>
          <w:t>92</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6">
        <w:r>
          <w:rPr>
            <w:rFonts w:ascii="Times New Roman" w:cs="Times New Roman" w:eastAsia="Times New Roman" w:hAnsi="Times New Roman"/>
            <w:sz w:val="17"/>
            <w:szCs w:val="17"/>
            <w:u w:val="single" w:color="auto"/>
            <w:color w:val="0033CC"/>
          </w:rPr>
          <w:t>92</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7">
        <w:r>
          <w:rPr>
            <w:rFonts w:ascii="Times New Roman" w:cs="Times New Roman" w:eastAsia="Times New Roman" w:hAnsi="Times New Roman"/>
            <w:sz w:val="17"/>
            <w:szCs w:val="17"/>
            <w:u w:val="single" w:color="auto"/>
            <w:color w:val="0033CC"/>
          </w:rPr>
          <w:t>93</w:t>
        </w:r>
      </w:hyperlink>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8">
        <w:r>
          <w:rPr>
            <w:rFonts w:ascii="Times New Roman" w:cs="Times New Roman" w:eastAsia="Times New Roman" w:hAnsi="Times New Roman"/>
            <w:sz w:val="17"/>
            <w:szCs w:val="17"/>
            <w:u w:val="single" w:color="auto"/>
            <w:color w:val="0033CC"/>
          </w:rPr>
          <w:t>94</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8">
        <w:r>
          <w:rPr>
            <w:rFonts w:ascii="Times New Roman" w:cs="Times New Roman" w:eastAsia="Times New Roman" w:hAnsi="Times New Roman"/>
            <w:sz w:val="17"/>
            <w:szCs w:val="17"/>
            <w:u w:val="single" w:color="auto"/>
            <w:color w:val="0033CC"/>
          </w:rPr>
          <w:t>94</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8">
        <w:r>
          <w:rPr>
            <w:rFonts w:ascii="Times New Roman" w:cs="Times New Roman" w:eastAsia="Times New Roman" w:hAnsi="Times New Roman"/>
            <w:sz w:val="17"/>
            <w:szCs w:val="17"/>
            <w:u w:val="single" w:color="auto"/>
            <w:color w:val="0033CC"/>
          </w:rPr>
          <w:t>94</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8">
        <w:r>
          <w:rPr>
            <w:rFonts w:ascii="Times New Roman" w:cs="Times New Roman" w:eastAsia="Times New Roman" w:hAnsi="Times New Roman"/>
            <w:sz w:val="17"/>
            <w:szCs w:val="17"/>
            <w:u w:val="single" w:color="auto"/>
            <w:color w:val="0033CC"/>
          </w:rPr>
          <w:t>94</w:t>
        </w:r>
      </w:hyperlink>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8">
        <w:r>
          <w:rPr>
            <w:rFonts w:ascii="Times New Roman" w:cs="Times New Roman" w:eastAsia="Times New Roman" w:hAnsi="Times New Roman"/>
            <w:sz w:val="17"/>
            <w:szCs w:val="17"/>
            <w:u w:val="single" w:color="auto"/>
            <w:color w:val="0033CC"/>
          </w:rPr>
          <w:t>94</w:t>
        </w:r>
      </w:hyperlink>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7"/>
          <w:szCs w:val="17"/>
          <w:u w:val="single" w:color="auto"/>
          <w:color w:val="0033CC"/>
        </w:rPr>
      </w:pPr>
      <w:hyperlink w:anchor="page99">
        <w:r>
          <w:rPr>
            <w:rFonts w:ascii="Times New Roman" w:cs="Times New Roman" w:eastAsia="Times New Roman" w:hAnsi="Times New Roman"/>
            <w:sz w:val="17"/>
            <w:szCs w:val="17"/>
            <w:u w:val="single" w:color="auto"/>
            <w:color w:val="0033CC"/>
          </w:rPr>
          <w:t>95</w:t>
        </w:r>
      </w:hyperlink>
    </w:p>
    <w:p>
      <w:pPr>
        <w:sectPr>
          <w:pgSz w:w="11900" w:h="16838" w:orient="portrait"/>
          <w:cols w:equalWidth="0" w:num="2">
            <w:col w:w="10280" w:space="720"/>
            <w:col w:w="180"/>
          </w:cols>
          <w:pgMar w:left="320" w:top="121" w:right="3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 Examples of forward-looking statements include statements regarding:</w:t>
      </w:r>
    </w:p>
    <w:p>
      <w:pPr>
        <w:spacing w:after="0" w:line="13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prospects of the property &amp; casualty (“P&amp;C”) insurance industry and our company;</w:t>
      </w:r>
    </w:p>
    <w:p>
      <w:pPr>
        <w:spacing w:after="0" w:line="29" w:lineRule="exact"/>
        <w:rPr>
          <w:rFonts w:ascii="Times New Roman" w:cs="Times New Roman" w:eastAsia="Times New Roman" w:hAnsi="Times New Roman"/>
          <w:sz w:val="18"/>
          <w:szCs w:val="18"/>
          <w:color w:val="auto"/>
        </w:rPr>
      </w:pPr>
    </w:p>
    <w:p>
      <w:pPr>
        <w:ind w:left="660" w:right="40" w:hanging="328"/>
        <w:spacing w:after="0" w:line="218"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the developing market for subscription services and uncertainties attendant on emerging sales and delivery models, including the migration of our existing term license customers to subscription services;</w:t>
      </w:r>
    </w:p>
    <w:p>
      <w:pPr>
        <w:ind w:left="660" w:hanging="328"/>
        <w:spacing w:after="0" w:line="204" w:lineRule="auto"/>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trends in and timing of future sales, including the mix between license and subscription revenue and seasonality;</w:t>
      </w:r>
    </w:p>
    <w:p>
      <w:pPr>
        <w:spacing w:after="0" w:line="34"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competitive environment and changes thereto;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attributes of our software applications and delivery models;</w:t>
      </w:r>
    </w:p>
    <w:p>
      <w:pPr>
        <w:spacing w:after="0" w:line="63"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and number of professional services engagements and the billing rates and utilization of our professional services employees and contractors;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challenges to further increase sales both in the United States and internationally;</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line="230" w:lineRule="auto"/>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research and development and cloud operations investment and efforts;</w:t>
      </w:r>
    </w:p>
    <w:p>
      <w:pPr>
        <w:spacing w:after="0" w:line="34"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to be incurred, and benefits to be achieved, from our acquisitions;</w:t>
      </w:r>
    </w:p>
    <w:p>
      <w:pPr>
        <w:spacing w:after="0" w:line="36" w:lineRule="exact"/>
        <w:rPr>
          <w:rFonts w:ascii="Times New Roman" w:cs="Times New Roman" w:eastAsia="Times New Roman" w:hAnsi="Times New Roman"/>
          <w:sz w:val="18"/>
          <w:szCs w:val="18"/>
          <w:color w:val="auto"/>
        </w:rPr>
      </w:pPr>
    </w:p>
    <w:p>
      <w:pPr>
        <w:ind w:left="660" w:right="820" w:hanging="328"/>
        <w:spacing w:after="0" w:line="236"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gross and operating margins and factors that affect such margins; including costs related to operating, securing and enhancing our subscription services;</w:t>
      </w:r>
    </w:p>
    <w:p>
      <w:pPr>
        <w:ind w:left="660" w:hanging="328"/>
        <w:spacing w:after="0" w:line="217" w:lineRule="auto"/>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provision for tax liabilities, judgments related to revenue recognition, and other critical accounting estimates;</w:t>
      </w:r>
    </w:p>
    <w:p>
      <w:pPr>
        <w:spacing w:after="0" w:line="34"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new regulations and laws, including tax laws and accounting standards;</w:t>
      </w:r>
    </w:p>
    <w:p>
      <w:pPr>
        <w:spacing w:after="0" w:line="49" w:lineRule="exact"/>
        <w:rPr>
          <w:rFonts w:ascii="Times New Roman" w:cs="Times New Roman" w:eastAsia="Times New Roman" w:hAnsi="Times New Roman"/>
          <w:sz w:val="18"/>
          <w:szCs w:val="18"/>
          <w:color w:val="auto"/>
        </w:rPr>
      </w:pPr>
    </w:p>
    <w:p>
      <w:pPr>
        <w:ind w:left="660" w:right="80" w:hanging="328"/>
        <w:spacing w:after="0" w:line="236"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exposure to market risks, including geographical and political events that may negatively impact our customers, partners, and vendors or our business operations;</w:t>
      </w:r>
    </w:p>
    <w:p>
      <w:pPr>
        <w:ind w:left="660" w:right="260" w:hanging="328"/>
        <w:spacing w:after="0" w:line="245"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uncertainties related to the global COVID-19 pandemic and U.S. presidential election on U.S. and global economies, our business, our employees, results of operations, financial condition, demand for our products, sales and implementation cycles, and the health of our customers' and partners' businesses;</w:t>
      </w:r>
    </w:p>
    <w:p>
      <w:pPr>
        <w:spacing w:after="0" w:line="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defend litigation brought against us; and</w:t>
      </w:r>
    </w:p>
    <w:p>
      <w:pPr>
        <w:spacing w:after="0" w:line="1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satisfy future liquidity requirements.</w:t>
      </w:r>
    </w:p>
    <w:p>
      <w:pPr>
        <w:spacing w:after="0" w:line="10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spacing w:after="0" w:line="12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7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85" w:lineRule="exact"/>
        <w:rPr>
          <w:sz w:val="20"/>
          <w:szCs w:val="20"/>
          <w:color w:val="auto"/>
        </w:rPr>
      </w:pPr>
    </w:p>
    <w:p>
      <w:pPr>
        <w:jc w:val="both"/>
        <w:ind w:firstLine="445"/>
        <w:spacing w:after="0" w:line="391"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Guidewire delivers the platform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2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7"/>
          <w:szCs w:val="17"/>
          <w:color w:val="auto"/>
        </w:rPr>
        <w:t>Our core operational products are InsuranceSuite via Guidewire Cloud, InsuranceNow, and InsuranceSuite for self-managed installations. These products are core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optimized for our Guidewire Cloud Platform (GWCP) architecture and leverage our in-house Guidewire Cloud operations team. InsuranceSuite via Guidewire Cloud is designed to support multiple releases a year to ensure that cloud customers remain on the latest version and gain rapid access to our innovation efforts. Additionally, InsuranceSuite via Guidewire Cloud has the ability to embed digital and analytics capabilities natively into our platform. Most new sales and implementations are for InsuranceSuite via Guidewire Cloud. InsuranceNow is a complete, cloud-based application that offers policy, billing, and claims management functionality to insurers that have limited IT resources. InsuranceSuite for self-managed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Guidewire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13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2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sell our cloud-delivered offerings through subscription services and our self-managed products through term licenses. We generally price our products and services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We also offer professional services, both directly and through partners, to help our customers deploy, migrate, and utilize our products and platform. Substantially all of our services revenue is billed on a time and materials basis.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began our principal business operations in 2001.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P&amp;C insurance industry is large, fragmented, highly regulated, and complex. It is also highly competitive, with insurers competing primarily on product differentiation, pricing options, customer service, marketing and advertising, affiliate programs, and channel strategies.</w:t>
      </w:r>
    </w:p>
    <w:p>
      <w:pPr>
        <w:spacing w:after="0" w:line="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P&amp;C insurers modernize their transactional core systems to manage key functional areas of P&amp;C insurance, including product definition, underwriting and policy administration, claims management, and billing. Product definition specifies the insurance coverage, pricing, and financial and legal terms of insurance policies. Underwriting and policy administration includes collecting information from potential policyholders, determining appropriate coverages and terms, pricing policies, issuing policies, and updating and maintaining policies over their lifetimes. Claims management includes loss intake,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investigation and evaluation of incidents, settlement negotiation, vendor management, litigation management, and payment processing. Billing includes policyholder invoicing, payment collection, and agent commission calculation. We believe insurers that adopt modern core systems can enhance customer experience, operate more efficiently, and introduce innovative products more rapidly.</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the P&amp;C insurance industry is experiencing accelerating change in how insurers engage with, sell to, and manage relationships with individual and business customers. Today, P&amp;C insurers are striving to respond to significant changes in their competitive marketplace and the character of the risks they underwrite. The most significant changes include:</w:t>
      </w:r>
    </w:p>
    <w:p>
      <w:pPr>
        <w:spacing w:after="0" w:line="54" w:lineRule="exact"/>
        <w:rPr>
          <w:sz w:val="20"/>
          <w:szCs w:val="20"/>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industry rapidly going through change that requires agility and efficiency from its core systems;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rise in customer expectations for digital, omni-channel interaction rather than the traditional agent model;</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for 100% digital engagement capabilities;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growth in demand for personalized products and services;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technology and market-driven changes in vehicular risk;</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coverage of emerging risks such as terrorism, cybersecurity, pandemic, and reputational risk;</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wealth of data and desire to harness data to improve and grow business;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the use of data and analytics to better market to and engage with customers, price policies, and manage claims;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opportunities to compete or partner with non-traditional players that offer disruptive technology-based value propositions;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industry leaders are facing increased competition from new entrants in the market, including insurtech companies; and</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and leveraging of new technologies, such as drones, artificial intelligence, the “Internet of Things,” chatbots, and telematics.</w:t>
      </w:r>
    </w:p>
    <w:p>
      <w:pPr>
        <w:spacing w:after="0" w:line="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Many of these trends have been accelerated as a result of the COVID-19 pandemic. In response to these trends, changes, challenges, and opportunities, we believe that the P&amp;C insurance industry is entering a phase of increasing investment in technology, characterized by investments in systems that increase agility and the growing adoption of new digital engagement and analytics offerings.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While each insurer may have different goals and priorities when pursuing new technology investments, there are several major themes that we believe guide these investments:</w:t>
      </w:r>
    </w:p>
    <w:p>
      <w:pPr>
        <w:spacing w:after="0" w:line="40"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Legacy System Modernization</w:t>
      </w:r>
      <w:r>
        <w:rPr>
          <w:rFonts w:ascii="Times New Roman" w:cs="Times New Roman" w:eastAsia="Times New Roman" w:hAnsi="Times New Roman"/>
          <w:sz w:val="18"/>
          <w:szCs w:val="18"/>
          <w:color w:val="auto"/>
        </w:rPr>
        <w:t>. A significant portion of the market continues to rely on legacy systems. We believe new claims, policy management, and billing systems will continue to be adopted as insurers that rely on legacy systems seek to gain operating efficiencies, expand into new markets and lines of business, and introduce new digital and data offerings.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Digital Engagement Models</w:t>
      </w:r>
      <w:r>
        <w:rPr>
          <w:rFonts w:ascii="Times New Roman" w:cs="Times New Roman" w:eastAsia="Times New Roman" w:hAnsi="Times New Roman"/>
          <w:sz w:val="18"/>
          <w:szCs w:val="18"/>
          <w:color w:val="auto"/>
        </w:rPr>
        <w:t>. We believe that insurers will need to provide a more intuitive, digital user experience to reduce the risk of customer dissatisfaction and loss. Investment in digital user experience will allow insurers to deepen their engagement with customers and transition from passive and transactional customer interactions to active and advisory relationships. This transition will require investments in software products and services that are designed to model user journeys and enable more frequent, informed, and dynamic interactions between insurers and their customers. We believe these efforts can improve financial performance for insurers through increased lead conversions and lower customer churn.</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Cloud-Delivered Solutions</w:t>
      </w:r>
      <w:r>
        <w:rPr>
          <w:rFonts w:ascii="Times New Roman" w:cs="Times New Roman" w:eastAsia="Times New Roman" w:hAnsi="Times New Roman"/>
          <w:sz w:val="18"/>
          <w:szCs w:val="18"/>
          <w:color w:val="auto"/>
        </w:rPr>
        <w:t>. We believe that increased recognition of the compelling economic benefits of deploying software solutions on public infrastructure combined with increased confidence in the security and reliability of such platforms will cause more insurers to consider cloud-deployed solutions. Insurers benefit from an optimized division of labor and risk, allowing third parties to manage their infrastructure as they focus on competitively differentiating activities.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Driven Decision-Making</w:t>
      </w:r>
      <w:r>
        <w:rPr>
          <w:rFonts w:ascii="Times New Roman" w:cs="Times New Roman" w:eastAsia="Times New Roman" w:hAnsi="Times New Roman"/>
          <w:sz w:val="18"/>
          <w:szCs w:val="18"/>
          <w:color w:val="auto"/>
        </w:rPr>
        <w:t>. Insurers are seeking to explore, visualize, and analyze proprietary and third-party data to optimize decision-making across the insurance lifecycle. We believe that such predictive analytical solutions are most effective when they provide predictive scores and other analytical insights to insurers’ employees as they perform their underwriting and claims management activities. Insurers may also apply data and machine learning to automate certain tasks whenever possible, thereby enabling efficiencies, such as straight-through processing, that lessen the burden on subject matter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Innovation</w:t>
      </w:r>
      <w:r>
        <w:rPr>
          <w:rFonts w:ascii="Times New Roman" w:cs="Times New Roman" w:eastAsia="Times New Roman" w:hAnsi="Times New Roman"/>
          <w:sz w:val="18"/>
          <w:szCs w:val="18"/>
          <w:color w:val="auto"/>
        </w:rPr>
        <w:t>. Insurers are under pressure to innovate across their product lifecycle in order to grow their business and improve service quality. Examples of focus areas include creating products to target under-insured risks such as cyber, supply chain disruption, and reputational risk and partnering with insurtech providers to streamline operations and improve service to policyholders and agents.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Guidewire is designed to be the platform insurers trust in order to engage, innovate, and grow efficiently. Our platform combines core operations, digital engagement, analytics, and AI applications, so that insurers can increase revenue, reduce operational costs and losses, improve pricing, and engage with a customer base that increasingly demands mobile and automated forms of self-service and communication. We are investing in research and development to accelerate improvements in our products, cloud platform, and marketplace to serve our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Operational Products</w:t>
      </w:r>
    </w:p>
    <w:p>
      <w:pPr>
        <w:spacing w:after="0" w:line="175"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We offer the following core operational products: Guidewire InsuranceSuite via Guidewire Cloud, Guidewire InsuranceNow, and Guidewire InsuranceSuite for Self-Managed.</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Guidewire InsuranceSuite via Guidewire Cloud</w:t>
      </w:r>
    </w:p>
    <w:p>
      <w:pPr>
        <w:spacing w:after="0" w:line="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Guidewire InsuranceSuite via Guidewire Cloud is comprised of three primary applications (PolicyCenter, BillingCenter, and ClaimCenter) optimized for our Guidewire Cloud Platform (“GWCP”) architecture, including some multi-tenant cloud-native services. We offer several complementary applications designed to work seamlessly with these primary applications. InsuranceSuite via Guidewire Cloud is managed by our internal cloud operations team.</w:t>
      </w:r>
    </w:p>
    <w:p>
      <w:pPr>
        <w:spacing w:after="0" w:line="5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Guidewire PolicyCenter is our flexible underwriting and policy administration application that serves as a comprehensive system-of-record supporting the entire policy lifecycle, including product definition, underwriting, quoting, binding, issuance, endorsements, audits, cancellations, and renewals. Guidewire BillingCenter automates the billing lifecycle, enables the design of a wide variety of billing and payment plans, manages agent commissions, and integrates with external payment systems. Guidewire ClaimCenter is a complete end-to-end claims management solution that offers core claims functionality. These primary applications also include predictive analytics that drive smart decisions, digital engagement, and an ecosystem of partners and insurtechs.</w:t>
      </w:r>
    </w:p>
    <w:p>
      <w:pPr>
        <w:spacing w:after="0" w:line="6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GWCP is a Guidewire-developed architecture layer built on top of Amazon Web Services (“AWS”) that provides specialized cloud services for enterprise applications and analytics. The Guidewire Data Platform is a P&amp;C insurance-specific data repository, built on GWCP, which collects data from internal and external sources to provide analytical insights across the insurance lifecycle for our customers. The Guidewire Data Platform powers all analytical applications. Additionally, we provide tools to automate routine tasks and make tasks self-service to increase our customers’ agility while providing enterprise-grade performance, availability, privacy, and security. In fiscal year 2020, we introduced a number of multi-tenant, cloud-native services that integrate digital experiences and analytics. We expect these cloud-native capabilities to grow and improve over time. Given the specialized needs of the P&amp;C insurance industry, we have developed a scalable cloud architecture that enables isolating each customer’s system of record and database instances. This approach provides our customers with the benefits of cloud-native infrastructure and services and the flexibility to provide differentiated services to their customers.</w:t>
      </w:r>
    </w:p>
    <w:p>
      <w:pPr>
        <w:spacing w:after="0" w:line="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Subscriptions to cloud services include regular updates to Guidewire software to ensure that Guidewire Cloud customers can easily access our latest innovations. New capabilities are often toggled-off so that customers can activate them at the right time for their businesses. This capability enables our customers to deliver improvements at a steady pace, optimized for their employees and customers.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take full responsibility for operating our cloud services. Subscriptions include Guidewire Cloud Assurance Services, which provides for review of all configurations and integrations to ensure they follow published standards, best practices and required security methodologies. Furthermore, we monitor application performance and optimize user adoption and experience.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InsuranceNow</w:t>
      </w:r>
    </w:p>
    <w:p>
      <w:pPr>
        <w:spacing w:after="0" w:line="6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Guidewire InsuranceNow is a complete, cloud-based platform for P&amp;C insurers in the United States with limited technology resources, that offers policy, billing, and claims management functionality to insurers that increases agility without adding complexity.</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InsuranceSuite for Self-Managed</w:t>
      </w:r>
    </w:p>
    <w:p>
      <w:pPr>
        <w:spacing w:after="0" w:line="6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InsuranceSuite for Self-Managed is comprised of three primary applications (PolicyCenter, BillingCenter, and ClaimCenter) that can be licensed separately or together and can be deployed and updated by our customers and their implementation partners on their premises or in a third-party cloud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Guidewire InsuranceSuite: Complementary Applications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offer several complementary applications designed to work seamlessly with our core operational products, including:</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Rating Management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Guidewire Rating Management enables P&amp;C insurers to manage the pricing of their insurance products.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Reinsurance Management</w:t>
      </w:r>
    </w:p>
    <w:p>
      <w:pPr>
        <w:spacing w:after="0" w:line="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Guidewire Reinsurance Management enables P&amp;C insurers to use rules-based logic to execute their reinsurance strategy through their underwriting and claims processes.</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Client Data Management</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Guidewire Client Data Management helps P&amp;C insurers capitalize on customer information more coherently, overcoming traditional siloed practices that impair efficiency and customer service.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Product Content Management</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Guidewire Product Content Management provides software tools and standards-based, line-of-business templates to enable insurers to more rapidly introduce and modify products by reducing product configuration and maintenance efforts. Any such product introduction or modification must connect to and incorporate regulatory or industry-standard data and content, such as Insurance Services Office (ISO) or National Council on Compensation Insurance (NCCI) content.</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Underwriting Management</w:t>
      </w:r>
    </w:p>
    <w:p>
      <w:pPr>
        <w:spacing w:after="0" w:line="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Guidewire Underwriting Management is a cloud-based, integrated business application designed for commercial and specialty line insurers to drive premium growth and profit from better underwriting. This feature-rich workstation delivers straight-through processing, exception-based underwriting, real-time collaboration, and knowledge management in one integrated solution. Guidewire Underwriting Management is typically sold alongside Guidewire PolicyCenter, although it functions with other policy administration systems as well.</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AppReader</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AppReader is a submission intake management solution that enables P&amp;C insurers to process Association for Cooperative Operations Research and Development (“ACORD”) forms faster and more accurately than with manual processes or traditional upload solutions. AppReader is available for both Guidewire Underwriting Management and Guidewire PolicyCenter.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ClaimCenter Package for the London Market</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ClaimCenter Package for the London Market supports the claims workflow used by London Market insurers and brokers. Integration of London Market Electronic Claims File (ECF) Write-Back lets insurers perform tasks and interact with the central industry market Claims Loss and Advice Settlement system directly from Guidewire ClaimCenter through message queues.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Engagement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Digital Engagement Applications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to improve customer service and productivity. In order to provide a holistic experience, Digital Applications are unified with InsuranceSuite.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for Salesforce</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Guidewire for Salesforce integrates Guidewire core systems with Salesforce for insurance carrier agents and service representatives. It provides customer information regarding their policies and claims.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 and Artificial Intelligence</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offer a variety of applications that allow insurers to uncover hidden opportunities and write more profitable business by enabling a seamless path from data to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Predictive Analytics</w:t>
      </w:r>
    </w:p>
    <w:p>
      <w:pPr>
        <w:spacing w:after="0" w:line="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Guidewire Predictive Analytics is a set of cloud-native applications that allow insurers to deliver better business outcomes throughout the insurance lifecycle. By building (or importing) predictive models built from multiple data sets, designing comprehensive solutions, and operationalizing the predictive insights in core platforms, Predictive Analytics enables a smart core system. Applications include Predictive Analytics for Claims and Predictive Analytics for Profitability.</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Risk Insights</w:t>
      </w:r>
    </w:p>
    <w:p>
      <w:pPr>
        <w:spacing w:after="0" w:line="10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Guidewire Risk Insights is a set of cloud-native applications that allows insurers to assess new and evolving risks. Through a process called “data listening”, Guidewire Risk Insights collects technical and behavioral data from a variety of sources (including public, open-source, proprietary, and third-party) to quantify risk losses and probabilities. Applications include Cyence for Cyber Risk Management, Cyence for Small Business, and Cyence for Personal Cyber.</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Business Intelligence</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Business Intelligence is a set of cloud-native applications that allows insurers to measure business performance consistently and accurately. It enables claims, underwriting, sales, and service teams to collaborate and make informed decisions. It also provides P&amp;C insurance industry context around performance measures with comparable peer-insurer benchmarks. Applications include Explore and Compare.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DataHub and InfoCenter</w:t>
      </w:r>
    </w:p>
    <w:p>
      <w:pPr>
        <w:spacing w:after="0" w:line="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DataHub is an operational data store that unifies, standardizes, and stores data from the patchwork of insurer’s systems as well as from external sources. It is available for self-managed customers as this functionality is replaced by Cloud Data Platform for InsuranceSuite Cloud customers. Guidewire DataHub also enables insurers to accelerate legacy system replacement.</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Guidewire InfoCenter is a business intelligence warehouse for P&amp;C insurers that provides information in easy-to-use formats for business intelligence, analysis, and enhanced decision making. With Guidewire InfoCenter, insurers gain flexible operational insights as well as the ability to optimize their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Guidewire Marketplace</w:t>
      </w:r>
    </w:p>
    <w:p>
      <w:pPr>
        <w:spacing w:after="0" w:line="54"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The Guidewire Marketplace is where insurers find trusted applications and content that complement the Guidewire platform from our PartnerConnect partners, as well as from Guidewire product and services teams. These applications and content help insurers to rapidly innovate and differentiate their businesses, helping them to build out an ecosystem that best meets their needs. As of July 31, 2020, the Guidewire Marketplace has over 140 partner developed integrations and hundreds of Guidewire developed resources available for download.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4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platform is designed to assist P&amp;C insurers to grow their business, improve customer and agent engagement, lower operating costs, and improve decision making. We have increased the scope of our platform and business through internal development and acquisitions. This growing scope has required greater investment in the development of application interfaces and shared services necessary to unify the operations and user experience across our applications. To meet the anticipated increased demand for cloud-delivered solutions, we have increased investments to leverage the growing number of technology services provided by Amazon through AWS. The shift to cloud-delivered solutions has also required significant focus in improving our ability to manage and operate our applications since our cloud-based deployments, unlike our self-managed implementations, shift many operational responsibilities to us. Finally, we continue to improve the scalability of our service, which performs millions of complex, business-critical transactions daily. This accuracy must be maintained not only during normal business operations, but also during extraordinary events such as catastrophes, which may result in extremely high transaction volume in a short period of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provide implementation and integration services to help our customers realize the benefits of our software products and cloud-based services. Our implementation teams assist customers in building implementation plans, integrating our software with their existing systems, and defining business rules and specific requirements unique to each customer. We also partner with leading system integration consulting firms, certified on our software, to achieve scalable, cost-effective implementations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market and sell our products to a wide variety of global P&amp;C insurers ranging from some of the largest global insurers to national and regional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As of July 31, 2020, we had more than 340 customers representing over 400 insurance brands, also referred to as insurers, using one or more of our products in 35 countries. We updated our definition of a customer in fiscal year 2020, and it is now defined as entities that have placed orders for our products and services. In some instances, an entity can have multiple insurance brands. Using our updated customer definition, we had approximately the same number of customers as of July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Relationships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extensive relationships with system integration (“SI”), consulting, technology, and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work closely with our network of third-party SI partners to facilitate new sales and implementations of both our self-managed products and subscription services. Our partnerships with leading SI partners allow us to increase efficiency and scale while reducing customer implementation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implementations.</w:t>
      </w:r>
    </w:p>
    <w:p>
      <w:pPr>
        <w:spacing w:after="0" w:line="6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part of our PartnerConnect alliance program, we have a community of Solution Partners developing integrations that enable software and insurance business solutions to interoperate with our products. As of July 31, 2020, more than 140 of these partner-developed integrations have been validated by us and awarded Ready for Guidewire branding. The Guidewire Marketplace provides our customers with an online forum to learn about and download Ready for Guidewire integrations for use with our products. These integrations help customers reduce implementation risk and effort, and lower the total cost of implementation and operation. The Guidewire Marketplace also empowers customers pursuing innovation initiatives by providing access to a curated collection of insurtech applications. We anticipate expanding the reach of the Guidewire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Consistent with our industry focus and the mission-critical needs our products address, our sales and marketing efforts are tailored to communicate effectively to senior executives within the P&amp;C insurance industry. Our sales, marketing, and executive teams work together to cultivate long-term relationships with current and prospective customers in each of the geographies in which we are active.</w:t>
      </w:r>
    </w:p>
    <w:p>
      <w:pPr>
        <w:spacing w:after="0" w:line="5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products through demonstrations tailored to address those needs.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user conference where customers both participate in and deliver presentations on a wide range of Guidewire and insurance technology topics. We invite potential customers and partners to our user conference, as we believe customer references are a key component of driving new sales. Our strong relationships with leading system integrators enhance our direct sales through co-marketing efforts and by providing additional market validation of the distinctiveness and quality of our offerings.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focus on enhancing our products to meet the complex requirements of P&amp;C insurers with a focus on capabilities, operational efficiency,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products and services and necessary integrations to meet the market requirements, including regulations, language, currency,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terminology, of each country or state in which our customers operate. This market-segment specific functionality must be updated regularly in order to stay current with regulatory changes in each market. We rely on a multi-national engineering team, which has grown organically and through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software market that caters to the P&amp;C insurance industry is highly competitive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to adopt more aggressive go-to-market strategies, improve existing products, introduce new products, develop innovative solutions that disrupt the market, and consolidate with other vendors. This market is also subject to changing technology preferences, shifting customer needs, and the introduction of cloud deployed solutions. These factors create an environment of increasing competition. Our current and future competitors vary in size and in the breadth and scope of the products and services they offer. As we expand our product portfolio, we may begin to compete with software and service providers we have not traditionally competed against. Our current competitors include, but are not limited to, internally developed proprietary solutions; P&amp;C insurance software vendors such as Duck Creek, Insurity, Majesco, Prima Solutions, RGI, and Sapiens; and horizontal software vendors such as SAP and Salesforce, who recently acquired Vlocity.</w:t>
      </w:r>
    </w:p>
    <w:p>
      <w:pPr>
        <w:spacing w:after="0" w:line="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and in-depth knowledge of the P&amp;C insurance industry. We typically compete favorably on the basis of these factors in most geographies.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 and other intellectual property rights. 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United States and other jurisdictions, as well as license agreements and other contractual protections. We own or have pending patents and patent applications, which generally apply to our software. Our owned patents have expiration dates starting in 2025. We also rely on several registered and unregistered trademarks, as well as pending applications for such registrations, in order to protect our brand both in the United States and internationally.</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investments in services and partners are designed to ensure customer success by committing additional resources to both cloud-based and self-managed implementation projects. Our investments in cloud operations are focused on managing the infrastructure for our cloud-based customers in a secure, efficient, and cost-effective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July 31, 2020, we had 2,690 employees, including 758 in professional services, 378 in cloud operations and technical support, 809 in research and development, 399 in sales and marketing, and 346 in general and administrative roles. As of July 31, 2020, we had 1,748 employees in the United States and 942 employees internationally. Our employees in the United States are not represented by a labor union, however, in certain foreign locations, there are workers’ councils that represent our employees. We have not experienced any work stoppages and we consider our relations with our employees to be good.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 and Geographic Revenue</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about segment and geographic revenue is set forth in Note 2 and Note 12 of the Notes to Consolidated Financial Statements under Item 8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Additionally, the adoption of new revenue recognition guidance in fiscal year 2019, also referred to as ASC 606, could continue to heighten or change the seasonal impact on us as our new term licenses and multi-year renewals recognize more revenue upfront based on the length of the committed term. Any quarter in which a significant multi-year term license or multi-year term license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non-renewal occurs may be impacted. For example, in the first quarter of fiscal year 2019, we experienced license revenue growth due to a 10-year term license deal under which revenue was recognized upfront, which overshadowed the usual positive seasonal impact in our second quarter of fiscal year 2019 and set up a challenging comparable period for the first quarter of fiscal year 2020. On an annual basis, our support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professional staff. Because we pay our services professionals the same amount throughout the year, our gross margins on our services revenue are usually lower in these quarters. This seasonal pattern, however, may be absent in any given year.</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following filings are available to view and download free of charge on our investor relations website as soon as reasonably practicable after we file them with the Securities and Exchange Commission (“SEC”): Annual Report on Form 10-K, Quarterly Reports on Form 10-Q, Current Reports on Form 8-K and our Proxy Statement for our annual meeting of stockholders. Our website is located at </w:t>
      </w:r>
      <w:r>
        <w:rPr>
          <w:rFonts w:ascii="Times New Roman" w:cs="Times New Roman" w:eastAsia="Times New Roman" w:hAnsi="Times New Roman"/>
          <w:sz w:val="18"/>
          <w:szCs w:val="18"/>
          <w:u w:val="single" w:color="auto"/>
          <w:color w:val="auto"/>
        </w:rPr>
        <w:t>www.guidewire.com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u w:val="single" w:color="auto"/>
          <w:color w:val="auto"/>
        </w:rPr>
        <w:t>http://ir.guidewire.com</w:t>
      </w:r>
      <w:r>
        <w:rPr>
          <w:rFonts w:ascii="Times New Roman" w:cs="Times New Roman" w:eastAsia="Times New Roman" w:hAnsi="Times New Roman"/>
          <w:sz w:val="18"/>
          <w:szCs w:val="18"/>
          <w:color w:val="auto"/>
        </w:rPr>
        <w:t xml:space="preserve">/. We also provide a link to the section of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has all of our public filings, including periodic reports, proxy statements and other information.</w:t>
      </w:r>
    </w:p>
    <w:p>
      <w:pPr>
        <w:spacing w:after="0" w:line="12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firstLine="445"/>
        <w:spacing w:after="0" w:line="275" w:lineRule="auto"/>
        <w:rPr>
          <w:sz w:val="20"/>
          <w:szCs w:val="20"/>
          <w:color w:val="auto"/>
        </w:rPr>
      </w:pPr>
      <w:r>
        <w:rPr>
          <w:rFonts w:ascii="Times New Roman" w:cs="Times New Roman" w:eastAsia="Times New Roman" w:hAnsi="Times New Roman"/>
          <w:sz w:val="17"/>
          <w:szCs w:val="17"/>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50"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global COVID-19 outbreak, as well as periods of increases or spikes in the number of COVID-19 cases, or future mutations or related strains of the virus in areas in which we operate, could harm our business, results of operations, and financial condition.</w:t>
      </w:r>
    </w:p>
    <w:p>
      <w:pPr>
        <w:spacing w:after="0" w:line="18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This contagious disease outbreak, which has continued to spread, and the related adverse public health developments, including orders to shelter-in-place, have adversely affected workforces, organizations, economies, and financial markets globally, leading to an economic downturn and increased market volatility. It has also disrupted the normal operations of many businesses, including our business, our customers' businesses, and our SI partners' businesses. This outbreak, as well as intensified measures undertaken to contain the spread of COVID-19 has affected and could further affect the ability to travel to customers and prospects, resulting in delays in services delivery, delays in implementations, and interruptions or modifications in our sales and marketing activities, including Connections, our annual user conference, and harm our business, results of operations, and financial condition. The related impact on the global economy could also decrease technology spending and adversely affect demand for our products. Further, our sales and implementation cycles have increased and could continue to increase, which has resulted in and could result in providing contract terms more favorable to customers and a potentially longer delay between incurring operating expenses and the generation of corresponding revenue, if any, or in difficulty accurately forecasting our financial results. Additionally, our customers may be unable to pay or request amended payment terms for their outstanding invoices due to the economic impacts from COVID-19. As a result of these containment measures and the related economic impact to our business, we may be required to record impairment related to our operating lease assets, investments, long-lived assets, or goodwill. The outbreak also presents operational challenges as our entire workforce is currently working remotely and shifting to assisting customers who are also generally working remotely. It is not possible for us to predict the duration or magnitude of the adverse results of the outbreak and its effects on our business, results of operations, or financial condition at this time. Further, to the extent the COVID-19 pandemic adversely affects our business, results of operations, or financial condition, it may also have the effect of heightening many of the other risks described in this “Risk Factors” section.</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104" w:lineRule="exact"/>
        <w:rPr>
          <w:sz w:val="20"/>
          <w:szCs w:val="20"/>
          <w:color w:val="auto"/>
        </w:rPr>
      </w:pPr>
    </w:p>
    <w:p>
      <w:pPr>
        <w:ind w:left="980" w:right="2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 related market volatility caused by the COVID-19 pandemic or the upcoming U.S. presidential election on our business and the businesses of our customers, partners and vendors;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potential customers and our ability to sell additional software and services to existing customers;</w:t>
      </w:r>
    </w:p>
    <w:p>
      <w:pPr>
        <w:spacing w:after="0" w:line="9" w:lineRule="exact"/>
        <w:rPr>
          <w:rFonts w:ascii="Times New Roman" w:cs="Times New Roman" w:eastAsia="Times New Roman" w:hAnsi="Times New Roman"/>
          <w:sz w:val="18"/>
          <w:szCs w:val="18"/>
          <w:color w:val="auto"/>
        </w:rPr>
      </w:pPr>
    </w:p>
    <w:p>
      <w:pPr>
        <w:ind w:left="98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or perpetual software licenses, and the variations in revenue recognition between these contract types;</w:t>
      </w: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 and renewals;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product development,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0" w:hanging="486"/>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cloud-based services, including the impact of our customers transitioning from term software licenses to subscription services;</w:t>
      </w:r>
    </w:p>
    <w:p>
      <w:pPr>
        <w:ind w:left="980" w:hanging="486"/>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or fixed fee contracts;</w:t>
      </w:r>
    </w:p>
    <w:p>
      <w:pPr>
        <w:ind w:left="980" w:right="20" w:hanging="486"/>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980" w:hanging="486"/>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for failing to meet certain contractual obligations, including service levels, product features, and implementation times;</w:t>
      </w: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and our related accounting policies and interpretations;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cycles;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hiring personnel and employee related expenses;</w:t>
      </w:r>
    </w:p>
    <w:p>
      <w:pPr>
        <w:spacing w:after="0" w:line="9"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1" w:lineRule="exact"/>
        <w:rPr>
          <w:rFonts w:ascii="Times New Roman" w:cs="Times New Roman" w:eastAsia="Times New Roman" w:hAnsi="Times New Roman"/>
          <w:sz w:val="18"/>
          <w:szCs w:val="18"/>
          <w:color w:val="auto"/>
        </w:rPr>
      </w:pPr>
    </w:p>
    <w:p>
      <w:pPr>
        <w:ind w:left="980" w:hanging="486"/>
        <w:spacing w:after="0" w:line="206" w:lineRule="auto"/>
        <w:tabs>
          <w:tab w:leader="none" w:pos="98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adverse litigation judgments, other dispute-related settlement payments, or other litigation-related costs;</w:t>
      </w: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7" w:lineRule="exact"/>
        <w:rPr>
          <w:rFonts w:ascii="Times New Roman" w:cs="Times New Roman" w:eastAsia="Times New Roman" w:hAnsi="Times New Roman"/>
          <w:sz w:val="18"/>
          <w:szCs w:val="18"/>
          <w:color w:val="auto"/>
        </w:rPr>
      </w:pPr>
    </w:p>
    <w:p>
      <w:pPr>
        <w:ind w:left="980" w:hanging="486"/>
        <w:spacing w:after="0" w:line="26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or deflation in the economies in which we operate and its impact on our revenues given the multi-year term of most customer agreements.</w:t>
      </w:r>
    </w:p>
    <w:p>
      <w:pPr>
        <w:spacing w:after="0" w:line="1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and other ongoing changes to our business, it is challenging to forecast our quarterly and annual results.</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0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for revenue recognition has and may continue to heighten or change the seasonal impact on our new term licenses and multi-year term license renewals due to license revenue for the entire committed term being recognized at the beginning of the agreement. Because of the upfront nature of revenue recognition for new multi-year term licenses and multi-year term license renewals, any quarter in which a significant deal of this nature is signed, renewed, cancelled or not renewed when scheduled to do so may be impacted.</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 Additionally, Annual Recurring Revenue, or ARR, which reflects the annualized recurring value of active customer contracts at the end of a reporting period, will be impacted by the seasonality of new sales orders, even if the revenue is recognized ratably.</w:t>
      </w:r>
    </w:p>
    <w:p>
      <w:pPr>
        <w:spacing w:after="0" w:line="6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27" w:lineRule="exact"/>
        <w:rPr>
          <w:sz w:val="20"/>
          <w:szCs w:val="20"/>
          <w:color w:val="auto"/>
        </w:rPr>
      </w:pPr>
    </w:p>
    <w:p>
      <w:pPr>
        <w:ind w:left="980" w:right="20" w:hanging="486"/>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subscription arrangements are recognized ratably and only a portion of the revenue from an order is recognized in the same fiscal period of the order;</w:t>
      </w:r>
    </w:p>
    <w:p>
      <w:pPr>
        <w:ind w:left="980" w:hanging="486"/>
        <w:spacing w:after="0" w:line="26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arrangements generally have ramped invoicing schedules over the initial term but revenue is recognized ratably over the initial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license agreements and multi-year term license renewals generally have annual billing arrangements even though revenue is recognized upfront for the entire committed term;</w:t>
      </w:r>
    </w:p>
    <w:p>
      <w:pPr>
        <w:jc w:val="both"/>
        <w:ind w:left="980" w:hanging="486"/>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customers transition from term license to subscription agreements or as we invest in certain cloud implementations to assist our customers with their migration to our cloud services, the timing of revenue recognition may be impacted by the allocation of revenue between different performance obligations;</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ind w:left="980" w:hanging="486"/>
        <w:spacing w:after="0" w:line="26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large number of renewals that occur in the first fiscal quarter. For example, in the first quarter of fiscal year 2019, we achieved higher revenue growth due to the delivery of a single license agreement with a term of ten years and resulted in the first quarter of fiscal year 2020 lacking comparability to the prior year period.</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1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2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To address demand trends in the P&amp;C insurance industry, we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public infrastructure on which we rely to host our subscription services, may be difficult to predict over time, especially in light of our limited experience with the costs of delivering cloud-based versions of our applications. Furthermore, we may assume greater responsibilities for implementation related services related to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products or services, and a customer’s refusal to pay its contractually-obligated subscription or service fees.</w:t>
      </w:r>
    </w:p>
    <w:p>
      <w:pPr>
        <w:spacing w:after="0" w:line="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than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transition of our customers from self-managed licenses to cloud-based subscription services could negatively affect our ability to forecast the timing and amount of our revenues in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5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Further,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revenue and ARR is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While the composition of our individual top customers has and will vary from year to year, in each of fiscal years 2020, 2019, and 2018, our ten largest customers accounted for 31% of our revenue. Additionally, our ten largest customers based on ARR accounted for 29% of total ARR in fiscal year 2020. Customers for these metrics is calculated at the parent corporation level, while our total customer count is based on entities that have placed orders for our products and services.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or reduce their relationship with us, our business, results of operations, and financial condition would be harmed. Additionally, if our sales to one or more of these anticipated customers in any particular period are ratable in nature, or if we fail to achieve the required performance or acceptance criteria for one or more of these relatively small number of customers, our quarterly and annual results of operations may fluctuate significantly.</w:t>
      </w:r>
    </w:p>
    <w:p>
      <w:pPr>
        <w:spacing w:after="0" w:line="22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0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If our security measures are breached or unauthorized access to customer data is otherwise obtained, our cloud services may be perceived as not being secure, customers may reduce the use of or stop using our services, and we may incur significant liabilities.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and are continually updating our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sabotage systems change frequently and generally are not identified until they are launched against a target, we may be unable to anticipate these techniques or to implement adequate preventative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products or services to satisfy customer demands or to maintain market acceptance could harm our business, results of operations, financial condition, and growth prospects.</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via Guidewire Cloud, Guidewire InsuranceSuite for self-managed,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market for our software and services is intensely competitive. The competitors we face in any sale opportunity may change depending on, among other things, the line of business purchasing the software, the application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software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6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2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7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 or services sales or upon renewals of existing licenses, potential reversals of previously recognized revenue, and a customer’s refusal to pay their contractually-obligated license, support, or service fees. In addition, time-consuming and delayed implementations may also increase the amount of services personnel we must allocate to each customer, thereby increasing our costs and adversely affecting our business, results of operations, and financial condition.</w:t>
      </w:r>
    </w:p>
    <w:p>
      <w:pPr>
        <w:spacing w:after="0" w:line="2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Furthermore, our sales and implementation cycles could be interrupted or affected by other factors outside of our control. For example, the COVID-19 pandemic has caused sales and implementation cycles to lengthen and has also had other impacts on our business. We currently have formal restrictions on travel in place, which are in accordance with recommendations by the U.S. government and The Centers for Disease Control and Prevention, and our customers, SI partners, and prospects are likewise enacting their own preventative policies and travel restrictions. Widespread restrictions on travel and in-person meetings have affected and could continue to affect services delivery, delay implementations, and interrupt sales activity. We cannot predict whether, for how long, or the extent to which the COVID-19 outbreak may adversely affect our business, results of operations, cash flows and financial condition.</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subscription and support revenue was 27% and 21% of total revenue for fiscal years 2020 and 2019, respectively. Our subscription and support revenue produces lower gross margins than our license revenue. The gross margin of our subscription and support revenue was 42% and 51% for fiscal years 2020 and 2019, respectively, while the gross margin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license revenue was 97% and 98% for fiscal years 2020 and 2019,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Further, our services revenue was 28% and 35% of total revenue for fiscal years 2020 and 2019, respectively. Our services revenue produces lower gross margin than either our license revenue or our subscription and support revenue. The gross margin of our services revenue was less than 3% for both fiscal years 2020 and 2019.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products and services, the rates we charge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particularly in combination with any increase in services revenue, could adversely affect our overall gross and operating margins.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commensurate compensation.</w:t>
      </w:r>
    </w:p>
    <w:p>
      <w:pPr>
        <w:spacing w:after="0" w:line="22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1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6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2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adoption of our cloud-based services occurs, the amount of customer data, including customer personal information, that we manage, hold, and/or collect continues to increase. In addition, a limited number of our products and services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 Many federal, state, and foreign legislatures and government agencies have imposed or are considering imposing restrictions and requirements about the collection, use, and disclosure of personal information.</w:t>
      </w:r>
    </w:p>
    <w:p>
      <w:pPr>
        <w:spacing w:after="0" w:line="6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Changes to laws or regulations affecting privacy could impose additional costs and liabilities, including fines, on us and could limit our use of such information to add value for customers, including for example, the California Consumer Privacy Act or the invalidation of the Privacy Shield framework.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services and reduce overall demand.</w:t>
      </w:r>
    </w:p>
    <w:p>
      <w:pPr>
        <w:spacing w:after="0" w:line="6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products and services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and results from operations.</w:t>
      </w:r>
    </w:p>
    <w:p>
      <w:pPr>
        <w:spacing w:after="0" w:line="4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280"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On April 27, 2016 the European Union (EU) adopted the General Data Protection Regulation 2016/679 (“GDPR”), that took effect on May 25, 2018. The GDPR applies to any company established in the European Economic Area (“EEA”) and the U.K. as well as to those outside the EEA and the U.K. if they carry out processing of personal data of individuals in the EEA or the U.K.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and enforcement actions and as we continue to negotiate data processing agreements with our customers and business partners.</w:t>
      </w:r>
    </w:p>
    <w:p>
      <w:pPr>
        <w:spacing w:after="0" w:line="218"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In addition, the GDPR restricts transfers of personal data outside of the EEA and the U.K. to third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We are currently certified to the EU-U.S. Privacy Shield. On July 16, 2020, the European Court of Justice (“ECJ”) invalidated the EU-U.S. Privacy Shield, but it deemed that the SCCs are valid.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the SCCs and other mechanisms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We are currently certified to the Swiss-U.S. Privacy Shield. Until the remaining legal uncertainties regarding how to legally continue transfers pursuant to the SCCs and other mechanisms are settled, we will continue to face uncertainty as to whether our efforts to comply with our obligations under European and Swiss privacy laws will be sufficient.</w:t>
      </w:r>
    </w:p>
    <w:p>
      <w:pPr>
        <w:spacing w:after="0" w:line="21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may experience hesitancy, reluctance, or refusal by European or multi-national customers to continue to use our services due to the potential risk exposure to such customers as a result of such developments and the current data protection obligations imposed on them by certain data protection authorities. Such customers may also view any alternative approaches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of any personal data as being too costly, too burdensome, or otherwise objectionable, and therefore may decide not to do business with us.</w:t>
      </w:r>
    </w:p>
    <w:p>
      <w:pPr>
        <w:spacing w:after="0" w:line="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214"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 addition, further to Brexit, the GDPR will continue to apply in the U.K. until the end of the transition period on December 31, 2020. Unless the transitional period is extended, as of January 1, 2021 the GDPR will be brought into U.K. law as the ‘U.K. GDPR’, but there may be further developments about the regulation of particular issues such as U.K.-EU data transfers. We may be required to take steps to ensure the lawfulness of our data transfers, particularly if by the end of the transition period there will not be an European Commission’s adequacy decision regarding the U.K.</w:t>
      </w:r>
    </w:p>
    <w:p>
      <w:pPr>
        <w:spacing w:after="0" w:line="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Anticipated further evolution of European Union regulations on this topic, including the impact of Brexit on these regulations in the U.K. and any related changes to the regulatory framework in the U.K., may increase substantially the penalties to which we could be subject in the event of any non-compliance. We may incur substantial expense in complying with the new obligations to be imposed by new regulations and we may be required to make significant changes to our software applications and expanding business operations, all of which may adversely affect our results of operations.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could result in securities class action litigation against us.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and other factors beyond our control, such as fluctuations in the valuation of companies perceived by investors to be comparable to us and research analyst coverage about our business.</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12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 as amended (the “Exchange Act”) and SEC Rule 10b-5. Although we believe these allegations are without merit and we intend to vigorously defend against the lawsuit, this matter, and any other similar matters, could subject us to substantial costs, divert resources and the attention of management from our business, and harm our business, results of operations, and financial condition. Furthermore, we may become the target of additional complaints of this type of litigation in the future. Securities litigation against us could result in substantial costs and divert our management’s attention from other business concerns, which could seriously harm our business.</w:t>
      </w:r>
    </w:p>
    <w:p>
      <w:pPr>
        <w:spacing w:after="0" w:line="21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products, we may be put at a competitive disadvantage.</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 and services can take us multiple years to develop and bring to market. As we expand internationally, our products and services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successfully introduce new, enhanced, and competitive products to meet our customers’ and prospective customers’ needs on a timely basis. We have invested and intend to increase investments in research and development and cloud operations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21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5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or to transition existing license customers to subscription services,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 partners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and services by our SI partners. Our failure to maintain high-quality implementation and support services, or to ensure that SI partners provide the same, could have a material adverse effect on our business, results of operations, financial condition, and growth prospects.</w:t>
      </w:r>
    </w:p>
    <w:p>
      <w:pPr>
        <w:spacing w:after="0" w:line="2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and services do not infringe upon the intellectual property rights of third parties, we cannot assure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We cannot assure that we are not infringing or otherwise violating any third-party intellectual property rights.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other third parties. Any of these events could seriously harm our business, results of operations, and financial condition.</w:t>
      </w:r>
    </w:p>
    <w:p>
      <w:pPr>
        <w:spacing w:after="0" w:line="26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2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The U.K. subsequently withdrew from the European Union on January 31, 2020, subject to a transition period that is set to end on December 31, 2020.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 In addition, the upcoming U.S. presidential election could lead to changes in economic conditions or economic uncertainties in the United States and globally.</w:t>
      </w:r>
    </w:p>
    <w:p>
      <w:pPr>
        <w:spacing w:after="0" w:line="14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allowance for doubtful accounts,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products. Acquisitions of customers or potential customers can delay or cancel sales cycles and because we cannot predict the timing or duration of such acquisitions, our results of operations could be materially impacted.</w:t>
      </w:r>
    </w:p>
    <w:p>
      <w:pPr>
        <w:spacing w:after="0" w:line="21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3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Each of our prior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22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products or implementation services may affect our reputation, cause us to lose customers and reduce sales and renewal rates which may harm our business and results of operations and subject us to liability for breach of warranty claims.</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product offerings after their introduction. Additionally, our Guidewire Cloud offerings rely on third-party hosting services. Any material disruption or slowdown in these services or the systems of third parties who we depend upon could cause outages or delays in our services, which could harm our brand and adversely affect our operating results.</w:t>
      </w:r>
    </w:p>
    <w:p>
      <w:pPr>
        <w:spacing w:after="0" w:line="7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implementation or migration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product or services sales or upon renewals of existing licenses, potential reversals of previously recognized revenue, or a customer’s refusal to pay its contractually-obligated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license, subscription, and support of our software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United States Generally Accepted Accounting Principles (“GAAP”). These accounting principles are subject to interpretation by the SEC, FASB, and various bodies formed to interpret and create accounting rules and regulations. New accounting standards, such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accounting policies on our financial statements going forward. For example, the Emerging Issues Task Force of the FASB is considering changes that may impact the revenue guidance for the migration from term licenses to subscription services. In addition, were we to change our accounting estimates, including those related to the timing of revenue recognition and those used to allocate revenue between various performance obligations, our reported revenue and results of operations could be significantly impacted. For example, the adoption of ASC 606 introduced many risks,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misunderstanding of our business and underlying trends and what they could mean for the underlying success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misinterpretation of historic and future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divergence between revenue and ARR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mistakes by us in explaining our historical results or new known trends.</w:t>
      </w:r>
    </w:p>
    <w:p>
      <w:pPr>
        <w:spacing w:after="0" w:line="2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 revenue recognition standards require significant judgment and estimates that impact our reported revenue and results of operations. Additionally, reported revenue has and will vary from the ARR and cash flow associated with each customer agreement. This potential difference and variability in the trends of reported amounts may cause volatility in our stock price.</w:t>
      </w:r>
    </w:p>
    <w:p>
      <w:pPr>
        <w:spacing w:after="0" w:line="2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financial statements may lead to additional risks and uncertainties, including regulatory, stockholder or other actions, loss of investor and counterparty confidence and negative impacts on our stock price.</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4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result of the restatement and associated non-reliance on our previously issued consolidated financial statements for the fiscal years ended July 31, 2018 and 2017, we incurred a number of additional costs and are subject to additional risks, including unanticipated costs for accounting and legal fees in connection with or related to the restatement. In addition, the attention of our management team was diverted by these efforts. We could also be subject to regulatory,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5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restatement of our financial results for the fiscal years ended July 31, 2018 and 2017, management identified a material weakness in our internal control over financial reporting related to the ineffective design and operation of certain process level internal controls over the existence and accuracy of revenue transactions as of July 31, 2018. In response, we implemented changes to our processes and controls during fiscal year 2019, which we believe have remediated this material weakness.</w:t>
      </w:r>
    </w:p>
    <w:p>
      <w:pPr>
        <w:spacing w:after="0" w:line="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 we incurred expenses and our management’s attention was also diverted from the operation of our business as a result of the time and attention required to address the remediation of the material weakness in our internal controls. In addition, we cannot assure you that we will not discover other material weaknesses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While we continually undertake steps to improve our internal control over financial reporting, we may not be successful in making the improvements necessary to be able to identify and remediate additional control deficiencies or material weaknesses in the future.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6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2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2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which, in some cases, may require the establishment of effective relationships with regional SI partners. Although we have established relationships with some of the leading SI partners, our products and services may compete directly against products and services that such leading SI partners support or market. Additionally, we are unable to control the quantity or quality of resources that our SI partners commit to implementing our products, or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2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transition, failure to ensure effective transfer of knowledge and a smooth transition could disrupt or adversely affect our business, results of operations, financial condition, and prospects.</w:t>
      </w:r>
    </w:p>
    <w:p>
      <w:pPr>
        <w:spacing w:after="0" w:line="2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we may be required to pay increased compensation in order to do so.</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Further,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1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may adversely affect our business, results of operations, and financial condition.</w:t>
      </w:r>
    </w:p>
    <w:p>
      <w:pPr>
        <w:spacing w:after="0" w:line="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sell our products and services to customers located outside the United States, and we are continuing to expand our international operations as part of our growth strategy. In fiscal years 2020, 2019, and 2018, $279.8 million, $272.9 million, and $243.1 million of our revenue, respectively, was from customers outside of the United States. Our current international operations and our plans to expand our international operations subject us to a variety of risks, including:</w:t>
      </w:r>
    </w:p>
    <w:p>
      <w:pPr>
        <w:spacing w:after="0" w:line="288"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multiple international operations;</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contracts and our products and services for international customers;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such as Argentina;</w:t>
      </w:r>
    </w:p>
    <w:p>
      <w:pPr>
        <w:spacing w:after="0" w:line="9" w:lineRule="exact"/>
        <w:rPr>
          <w:rFonts w:ascii="Times New Roman" w:cs="Times New Roman" w:eastAsia="Times New Roman" w:hAnsi="Times New Roman"/>
          <w:sz w:val="18"/>
          <w:szCs w:val="18"/>
          <w:color w:val="auto"/>
        </w:rPr>
      </w:pPr>
    </w:p>
    <w:p>
      <w:pPr>
        <w:ind w:left="980" w:right="8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the General Data Protection Regulation in the European Union;</w:t>
      </w:r>
    </w:p>
    <w:p>
      <w:pPr>
        <w:ind w:left="98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U.K. Bribery Act and other anti-corruption regulations, particularly in emerging market countries;</w:t>
      </w:r>
    </w:p>
    <w:p>
      <w:pPr>
        <w:ind w:left="98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tax and reporting burdens and complexities;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cause by epidemics or pandemics, such as COVID-19; and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15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operations and reduce our international sales, adversely affecting our business, results of operations, financial condition and growth prospects.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 Australia 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and professional service engagements or to discontinue existing projects.</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2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2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become subject to the open source license. If we combine our proprietary software in such ways with open source software, we could be required to release the source code of our proprietary software.</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products and services or our failure to properly train customers on how to utilize our products and services could result in customer dissatisfaction and negatively affect our business, results of operations, financial condition, and growth prospects.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products and services are complex and are deployed in a wide variety of network environments. The proper use of our products and services requires training of the customer. If our products or services are not used correctly or as intended, inadequate performance may result. Our products and services may also be intentionally misused or abused by customers or their employees or third parties who are able to access or use our products and services. Because our customers rely on our products, services, and support to manage a wide range of operations, the incorrect or improper use of our products and services, our failure to properly train customers on how to efficiently and effectively use our products and services, or our failure to properly provide support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for the use of our products and services, or if customer personnel are not well trained in the use of our products and services, customers may defer the deployment of our products and services, may deploy them in a more limited manner than originally anticipated, or may not deploy them at all. Further, if there is substantial turnover of the customer personnel responsible for use of our products and services, our ability to make additional sales may be substantially limited.</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Polish Zloty, Russian Ruble, and Swiss Franc.</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For example, in fiscal year 2018, the Argentine economy became highly inflationary; however, our Argentina entity continues to have minimal activity through July 31, 2020. We will continue to experience fluctuations in foreign currency exchange rates, which, if material, may harm our revenue or results of operations.</w:t>
      </w:r>
    </w:p>
    <w:p>
      <w:pPr>
        <w:spacing w:after="0" w:line="21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3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are subject to federal, state, and local income taxes in the United States and in foreign jurisdictions. Our future effective tax rates and the value of our deferred tax assets could be adversely affected by changes in tax laws, including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Tax Cuts and Jobs Act of 2017 (the “Tax Act”) and the Coronavirus Aid, Relief, and Economic Security Act ("CARES Act"). The U.S. Treasury Department, the IRS, and other standard-setting bodies are expected to continue to interpret or issue guidance on how provisions of the Tax Act, including the base erosion anti-abuse tax (“BEAT”),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Further, we are currently under examination by the California Franchise Tax Board for the state income tax returns filed for fiscal years 2018 and 2017. While we do not believe the audit will have a material impact on our results of operations, financial condition, or cash flows, we can offer no guarantee. If any issues addressed in the tax audit are resolved in a manner not consistent with our expectations, we may be required to adjust our provision for income tax in the period in which such resolution occurs, and our results of operations, financial condition, or cash flows could be harmed.</w:t>
      </w:r>
    </w:p>
    <w:p>
      <w:pPr>
        <w:spacing w:after="0" w:line="21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2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products, our business, results of operations, and financial condition would be adversely affected.</w:t>
      </w:r>
    </w:p>
    <w:p>
      <w:pPr>
        <w:spacing w:after="0" w:line="21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3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2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980" w:hanging="486"/>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980" w:hanging="486"/>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ind w:left="980" w:right="20" w:hanging="486"/>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980" w:hanging="486"/>
        <w:spacing w:after="0" w:line="26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127"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18"/>
          <w:szCs w:val="18"/>
          <w:color w:val="auto"/>
        </w:rPr>
        <w:t xml:space="preserve">The affirmative vote of the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 while our board of directors has amended our amended and restated certificate of incorporation to gradually declassify our board of directors, our board of directors will be partially classified until the 2021 annual meeting of stockholders when the full board of directors will stand for reelection for a one-year term.</w:t>
      </w:r>
    </w:p>
    <w:p>
      <w:pPr>
        <w:spacing w:after="0" w:line="347"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18" w:lineRule="exact"/>
        <w:rPr>
          <w:sz w:val="20"/>
          <w:szCs w:val="20"/>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ind w:left="660" w:hanging="328"/>
        <w:spacing w:after="0" w:line="237"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any derivative action or proceeding brought on our behalf;</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2" w:lineRule="exact"/>
        <w:rPr>
          <w:rFonts w:ascii="Arial" w:cs="Arial" w:eastAsia="Arial" w:hAnsi="Arial"/>
          <w:sz w:val="22"/>
          <w:szCs w:val="22"/>
          <w:color w:val="auto"/>
        </w:rPr>
      </w:pPr>
    </w:p>
    <w:p>
      <w:pPr>
        <w:ind w:left="660" w:hanging="328"/>
        <w:spacing w:after="0" w:line="20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w:t>
      </w:r>
    </w:p>
    <w:p>
      <w:pPr>
        <w:ind w:left="660" w:hanging="328"/>
        <w:spacing w:after="0" w:line="203"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that is governed by the internal affairs doctrine (the “Delaware Forum Provision”).</w:t>
      </w:r>
    </w:p>
    <w:p>
      <w:pPr>
        <w:spacing w:after="0" w:line="13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Delaware Forum Provision will not apply to any causes of action arising under the Securities Act of 1933, as amended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347"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July 31, 2020,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and our ability to service or repay our indebtedness would increase.</w:t>
      </w:r>
    </w:p>
    <w:p>
      <w:pPr>
        <w:spacing w:after="0" w:line="129"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4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Convertible Senior Notes may affect the value of our common stock.</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1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2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However, recently issued accounting guidance that will be effective for us on August 1, 2022 will no longer permit the use of the treasury stock method. In August 2020, the FASB issued ASU No. 2020-06, Debt-Debt with Conversion and Other Options (Subtopic 470-20) and Derivatives and Hedging - 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will adversely affect our diluted earnings per share.</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corporate headquarters in San Mateo, California consists of approximately 189,000 square feet of space leased through December 2029 and our European headquarters in Dublin, Ireland consists of approximately 85,000 square feet of space leased through March 2032. As of July 31, 2020, we also lease facilities for our sales, services, development, operations and administrative activities in various locations in the United States and around the world, including in Bedford, Massachusetts; Birmingham, Alabama; Columbia, South Carolina; Edina, Minnesota; Exton, Pennsylvania; San Diego, California; San Jose, California; Krakow, Poland; Kuala Lumpur, Malaysia; London, United Kingdom; Madrid, Spain; Mississauga, Canada; Paris, France; Sydney, Australia; and Tokyo, Japan.</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that our facilities are suitable to meet our current needs. We are evaluating our real estate strategy as it relates to the impact of the COVID-19 pandemic and changing needs of a remote workforce.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such new or expanded facilities.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24, 2020, one of our stockholders filed a putative securities class action complaint in the United States District Court for the Northern District of California, against us and certain of our current or former officers and directors. The complaint alleges violations of Sections 10(b) and 20(a) of the Exchange Act and SEC Rule 10b-5 and seeks unspecified compensatory damages, interest, and attorneys’ fees and costs Defendants’ time to respond has been extended by agreement of the parties until the court has appointed lead counsel and lead plaintiff and an operative complaint has been identified. The deadline for filing a request to be appointed lead counsel is September 23, 2020. We dispute the claims and intend to defend the lawsuit vigorously.</w:t>
      </w:r>
    </w:p>
    <w:p>
      <w:pPr>
        <w:spacing w:after="0" w:line="12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or management time.</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“GWRE”.</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July 31, 2020, the last reported sale price of our common stock on the New York Stock Exchange was $117.66 per share. As of July 31, 2020, we had 45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Securities and Exchange Commission for purposes of Section 18 of the Securities Exchange Act of 1934, as amended (“the Exchange Act”), or otherwise subject to the liabilities under that Section, and shall not be deemed to be incorporated by reference into any of our filings under the Securities Act of 1933, as amended, or the Exchange Act.</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our common stock, the NASDAQ Composite-Total Return Index and S&amp;P Software &amp; Services Select Industry Index for the period from July 31, 2015 through July 31, 2020. Such returns are based on historical results and are not intended to suggest future performance. Data for the NASDAQ Composite Total Return Index and S&amp;P Software &amp; Services Select Industry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434965" cy="3240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3496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7/31/2015</w:t>
            </w:r>
          </w:p>
        </w:tc>
        <w:tc>
          <w:tcPr>
            <w:tcW w:w="280" w:type="dxa"/>
            <w:vAlign w:val="bottom"/>
          </w:tcPr>
          <w:p>
            <w:pPr>
              <w:spacing w:after="0"/>
              <w:rPr>
                <w:sz w:val="13"/>
                <w:szCs w:val="13"/>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7/31/2016</w:t>
            </w:r>
          </w:p>
        </w:tc>
        <w:tc>
          <w:tcPr>
            <w:tcW w:w="280" w:type="dxa"/>
            <w:vAlign w:val="bottom"/>
          </w:tcPr>
          <w:p>
            <w:pPr>
              <w:spacing w:after="0"/>
              <w:rPr>
                <w:sz w:val="13"/>
                <w:szCs w:val="13"/>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7/31/2017</w:t>
            </w:r>
          </w:p>
        </w:tc>
        <w:tc>
          <w:tcPr>
            <w:tcW w:w="4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7/31/2018</w:t>
            </w:r>
          </w:p>
        </w:tc>
        <w:tc>
          <w:tcPr>
            <w:tcW w:w="4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7/31/2019</w:t>
            </w:r>
          </w:p>
        </w:tc>
        <w:tc>
          <w:tcPr>
            <w:tcW w:w="4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7/31/2020</w:t>
            </w:r>
          </w:p>
        </w:tc>
      </w:tr>
      <w:tr>
        <w:trPr>
          <w:trHeight w:val="5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Inc.</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4"/>
                <w:szCs w:val="24"/>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104.32</w:t>
            </w:r>
          </w:p>
        </w:tc>
        <w:tc>
          <w:tcPr>
            <w:tcW w:w="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122.46</w:t>
            </w:r>
          </w:p>
        </w:tc>
        <w:tc>
          <w:tcPr>
            <w:tcW w:w="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146.29</w:t>
            </w:r>
          </w:p>
        </w:tc>
        <w:tc>
          <w:tcPr>
            <w:tcW w:w="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173.24</w:t>
            </w:r>
          </w:p>
        </w:tc>
        <w:tc>
          <w:tcPr>
            <w:tcW w:w="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199.68</w:t>
            </w:r>
          </w:p>
        </w:tc>
      </w:tr>
      <w:tr>
        <w:trPr>
          <w:trHeight w:val="27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Composite-Total Return Index</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102.36</w:t>
            </w:r>
          </w:p>
        </w:tc>
        <w:tc>
          <w:tcPr>
            <w:tcW w:w="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155.53</w:t>
            </w:r>
          </w:p>
        </w:tc>
        <w:tc>
          <w:tcPr>
            <w:tcW w:w="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167.57</w:t>
            </w:r>
          </w:p>
        </w:tc>
        <w:tc>
          <w:tcPr>
            <w:tcW w:w="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222.50</w:t>
            </w:r>
          </w:p>
        </w:tc>
      </w:tr>
      <w:tr>
        <w:trPr>
          <w:trHeight w:val="27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S&amp;P Software &amp; Services Select Industry Index</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105.91</w:t>
            </w:r>
          </w:p>
        </w:tc>
        <w:tc>
          <w:tcPr>
            <w:tcW w:w="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127.13</w:t>
            </w:r>
          </w:p>
        </w:tc>
        <w:tc>
          <w:tcPr>
            <w:tcW w:w="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164.40</w:t>
            </w:r>
          </w:p>
        </w:tc>
        <w:tc>
          <w:tcPr>
            <w:tcW w:w="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199.30</w:t>
            </w:r>
          </w:p>
        </w:tc>
        <w:tc>
          <w:tcPr>
            <w:tcW w:w="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235.92</w:t>
            </w:r>
          </w:p>
        </w:tc>
      </w:tr>
    </w:tbl>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 from Registered Securities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repurchases of shares of our common stock made during the fiscal year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tables set forth selected financial data as of and for the last five fiscal years. This selected financial data should be read in conjunction with our historical financial statements, including the notes thereto, and “Management’s Discussion and Analysis of Financial Condition and Results of Operations,” included elsewhere in this report.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4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60" w:type="dxa"/>
            <w:vAlign w:val="bottom"/>
            <w:gridSpan w:val="5"/>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742,307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719,514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652,849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509,533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424,446</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338,015</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324,350</w:t>
            </w:r>
          </w:p>
        </w:tc>
        <w:tc>
          <w:tcPr>
            <w:tcW w:w="2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296,783</w:t>
            </w:r>
          </w:p>
        </w:tc>
        <w:tc>
          <w:tcPr>
            <w:tcW w:w="2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191,559</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151,834</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404,292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395,164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356,066</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317,974</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272,612</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2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21,861</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16,437</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20,732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18,072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14,976</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82,855,392</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81,447,998</w:t>
            </w:r>
          </w:p>
        </w:tc>
        <w:tc>
          <w:tcPr>
            <w:tcW w:w="2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77,709,592</w:t>
            </w:r>
          </w:p>
        </w:tc>
        <w:tc>
          <w:tcPr>
            <w:tcW w:w="2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73,994,577</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72,026,694</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82,855,392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82,681,214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77,709,592</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75,328,343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73,765,960</w:t>
            </w:r>
          </w:p>
        </w:tc>
      </w:tr>
      <w:tr>
        <w:trPr>
          <w:trHeight w:val="305"/>
        </w:trPr>
        <w:tc>
          <w:tcPr>
            <w:tcW w:w="4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6"/>
        </w:trPr>
        <w:tc>
          <w:tcPr>
            <w:tcW w:w="4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1,434,267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1,337,761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1,258,100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687,788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735,802</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1,118,020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1,102,702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984,304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510,873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588,589</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2,364,852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2,166,963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1,981,433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1,078,901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916,178</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1,656,768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1,574,201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1,413,616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888,530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783,935</w:t>
            </w:r>
          </w:p>
        </w:tc>
      </w:tr>
    </w:tbl>
    <w:p>
      <w:pPr>
        <w:spacing w:after="0" w:line="200" w:lineRule="exact"/>
        <w:rPr>
          <w:sz w:val="20"/>
          <w:szCs w:val="20"/>
          <w:color w:val="auto"/>
        </w:rPr>
      </w:pP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thereto included in Item 8 and the Risk Factors included in Item 1A of Part I of this Annual Report on Form 10-K.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12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2019, filed on September 30, 2019, for reference to discussion of the fiscal year ended July 31, 2018, the earliest of the three fiscal years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deliver the platform P&amp;C insurers trust to engage, innovate, and grow efficiently. We combine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20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core operational products are InsuranceSuite via Guidewire Cloud, InsuranceNow, and InsuranceSuite for self-managed installations. These products are core transactional systems of record that support the entire insurance lifecycle, including insurance product definition, distribution, underwriting, policyholder services, and claims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Guidewire Cloud Platform (GWCP) architecture and leverages our in-house Guidewire Cloud operations team. InsuranceSuite via Guidewire Cloud is designed to support multiple releases a year to ensure that cloud customers remain on the latest version and gain fast access to our innovation efforts.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InsuranceSuite via Guidewire Cloud embeds digital and analytics capabilities natively into our platform. Most new sales and implementations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for InsuranceSuite via Guidewire Cloud. InsuranceNow is a complete, cloud-based system that offers policy, billing, and claims management functionality to insurers that have limited IT resources. InsuranceSuite for self-managed is comprised of three core applications (PolicyCenter, BillingCenter, and ClaimCenter) that can be licensed separately or together and can be deployed and updated by our customers and their implementation</w:t>
      </w:r>
    </w:p>
    <w:p>
      <w:pPr>
        <w:jc w:val="both"/>
        <w:spacing w:after="0" w:line="261" w:lineRule="auto"/>
        <w:rPr>
          <w:sz w:val="20"/>
          <w:szCs w:val="20"/>
          <w:color w:val="auto"/>
        </w:rPr>
      </w:pPr>
      <w:r>
        <w:rPr>
          <w:rFonts w:ascii="Times New Roman" w:cs="Times New Roman" w:eastAsia="Times New Roman" w:hAnsi="Times New Roman"/>
          <w:sz w:val="18"/>
          <w:szCs w:val="18"/>
          <w:color w:val="auto"/>
        </w:rPr>
        <w:t>partners. Our digital engagement applications enable digital sales, omni-channel service, and enhanced claims experiences for policyholders, agents, vendor partners and field personnel. Our Guidewire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07"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8"/>
          <w:szCs w:val="18"/>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SI partners. We maintain and continue to grow our sales and marketing efforts globally, and maintain regional sales centers throughout the world.</w:t>
      </w:r>
    </w:p>
    <w:p>
      <w:pPr>
        <w:spacing w:after="0" w:line="10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sales cycles for new and existing customers remain protracted as customers are deliberate and the decision-making and product evaluation process is long. These evaluation periods can extend further if the customer purchases multiple products or assesses the benefits of a cloud-based subscription in addition to our more traditional self-managed licensing models. Sales to new customers also involve extensive customer due diligence and reference checks. The success of our sales efforts relies on continued improvements and enhancements to our current products, the introduction of new products, efficient operation of our cloud infrastructure, and the continued development of relevant local content and the creation of automated tools for updating content. Additionally, we maintain and grow our credibility with each successful implementation.</w:t>
      </w:r>
    </w:p>
    <w:p>
      <w:pPr>
        <w:spacing w:after="0" w:line="13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sell our cloud-delivered offerings through subscription services and our self-managed products through term-licenses. We generally price our products and services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We also offer professional services, both directly and through partners, to help our customers deploy, migrate, and utilize our products and platform. Substantially all of our services revenue is billed on a time and materials basis.</w:t>
      </w:r>
    </w:p>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primarily been entering into cloud-based subscription arrangements with our new and existing customers. Generally, these subscriptions have an initial term of three to five years, and are typically billed annually in advance, although in some instances additional fees may be assessed in arrears as customers increase their DWP. Revenue derived from these subscriptions is recognized ratably over the contractual term beginning after the subscription is effectively provisioned, which is the date our service is made available to customers. We anticipate that subscriptions will be a majority of annual new sales going forward. As a result of the ratable recognition of revenue associated with subscriptions, a significant shift from term licenses to subscriptions will adversely affect our reported revenue growth. As this sales model matures, we may decide to change certain contract terms in new arrangements to remain competitive or otherwise meet market demands.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services teams and SI partners to meet our customers’ implementation needs. Our services organization is comprised of on-site, near-shore, and off-shore technical experts. The services organization seeks to ensure that teams with the right combination of product and language skills are used in the most efficient way. Our partnerships with leading SI partners allow us to increase efficiency and scale while reducing customer implementation costs. Our extensive relationships with SI partners and industry partners have strengthened and expanded in line with the interest in and adoption of our products and services. We encourage our partners to co-market, pursue joint sales initiatives, and drive broader adoption of our technology, helping us grow our business more efficiently. We continue to grow our services organization and invest time and resources in increasing the number of qualified consultants employed by our SI partners, developing relationships with new SI partners in existing and new markets, and ensuring that all partners are qualified to assist with implementing our products.</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towards a subscription model with ratable revenue recognition, increasing the overall adoption of our products, and managing the infrastructure of our cloud-based customers. In response to these and other risks we might face, we continue to invest in many areas of our business. Our investments in sales and marketing align with our goal of winning new customers in both existing and new markets, and enable us to maintain a persistent, consultative relationship with our existing customers. Our investments in product development are designed to meet the evolving needs of our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13, 2018, we closed a public offering of 2,628,571 shares of our common stock, including the underwriters’ exercise in full of their option to purchase additional shares of our common stock. The public offering price of the shares sold in the offering was $87.50 per share. Our stockholders did not sell any shares in this public offering. Concurrently, we offered and sold $400.0 million aggregate principal amount of our Convertible Senior Notes, including the underwriters’ exercise in full of their option to purchase additional Convertible Senior Notes. Net of issuance costs, we received net proceeds of approximately $220.9 million related to the common stock offering and $387.2 million related to the convertible note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that continues to spread throughout the United States and the world and has resulted in authorities implementing numerous measures to contain the virus, including travel bans and restrictions, quarantines, shelter-in-place orders, and business limitations and shutdowns. While we are unable to accurately predict the full impact that COVID-19 will have on our results of operations, financial condition, liquidity, and cash flows due to numerous uncertainties, including the duration and severity of the pandemic and containment measures, our compliance with these measures has impacted our day-to-day operations and could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delay the timing of new orders and professional services engagements in the future.</w:t>
      </w:r>
    </w:p>
    <w:p>
      <w:pPr>
        <w:spacing w:after="0" w:line="1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business and financial results since the third fiscal quarter of 2020 have been impacted due to these disruptions, including decreases in annual recurring revenue ("ARR") growth rates, services revenue and margins, operating cash flow as a result of an early partial bonus payout, and the change in fair value of a strategic investment. ARR and revenue, especially services revenue, for the fourth fiscal quarter of 2020 continued to be impacted as a result of the challenges related to our compliance with government-mandated or recommended shelter-in-place orders in jurisdictions in which we, our customers, SI partners and vendors operate. For example, we or our SI partners have not been able to visit customer facilities to make sales visits or to work on implementation engagements since March 2020. These disruptions and their impact on our business and the businesses of our customers, SI partners, and vendors are expected to continue for at least the first half of fiscal year 2021.</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currently believe that we may continue to be adversely impacted as a result of the pandemic’s global economic impact for an unknown period of time. We believe that new sales activities are being delayed, not cancelled, and implementation engagements are being rescheduled to later periods or being completed over a longer period of time. Certain marketing events have or will be cancelled or postponed, while the majority are being hosted virtually, like our annual customer conference, Connections. Our customers may be unable to pay or may request amended payment terms for their outstanding invoices due to the economic impacts from COVID-19, and we may need to increase allowance for doubtful accounts and revenue reserves. A decrease in orders in a given period could negatively affect our revenues and ARR in future periods, particularly if experienced on a sustained basis, because a substantial proportion of our new software subscription services orders is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time. Also, the pandemic’s global economic impact could affect our customers’ DWP, which could ultimately impact our revenue as we generally price our products and services based on the amount of DWP that will be managed by our platform. Additionally, we may be required to record impairment related to our operating lease assets, investments, long-lived assets, or goodwill. We will continue to evaluate the nature and extent of the impact of COVID-19 on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GAAP to evaluate and manage our business, including ARR and Free Cash Flow. For a further discussion of how we use key metrics and certain non-GAAP financial measures, see “Non-GAAP Financial Measures.”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use ARR to identify the annualized recurring value of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subscription arrangements that are not expected to recur (primarily perpetual licenses and services) are excluded. 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ARR exiting fiscal year 2020 was $514 million based on currency rates at the end of fiscal year 2020, up from $460 million at the end of fiscal year 2019 based on currency rates at the end of fiscal year 2019. Revaluing our ARR at the end of fiscal year 2020 using currency rates at the beginning of fiscal year 2020, our ARR at the end of fiscal year 2020 would be $509 million, or approximately $5 million lower than the ARR reported above.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1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leasehold improvements, and capitalized software development costs. Free cash flow was impacted by a $9.9 million partial early bonus payout during the third fiscal quarter of 2020. This partial early bonus payout was approved by our board of directors in order to support our employees and, in turn, their local economies during the extraordinary situation created by the COVID-19 pandemic. The build out and furnishing of our corporate headquarters in San Mateo, California impacted free cash flow by $11.1 million and $23.6 million for the fiscal years ended July 31, 2020 and 2019, respectively. For a further discussion of our operating cash flows, see “Liquidity and Capital Resources - Cash Flows.”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Pr>
          <w:p>
            <w:pPr>
              <w:spacing w:after="0"/>
              <w:rPr>
                <w:sz w:val="18"/>
                <w:szCs w:val="18"/>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113,066</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116,126</w:t>
            </w:r>
          </w:p>
        </w:tc>
        <w:tc>
          <w:tcPr>
            <w:tcW w:w="500" w:type="dxa"/>
            <w:vAlign w:val="bottom"/>
          </w:tcPr>
          <w:p>
            <w:pPr>
              <w:spacing w:after="0"/>
              <w:rPr>
                <w:sz w:val="20"/>
                <w:szCs w:val="20"/>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(44,921)</w:t>
            </w:r>
          </w:p>
        </w:tc>
        <w:tc>
          <w:tcPr>
            <w:tcW w:w="500" w:type="dxa"/>
            <w:vAlign w:val="bottom"/>
          </w:tcPr>
          <w:p>
            <w:pPr>
              <w:spacing w:after="0"/>
              <w:rPr>
                <w:sz w:val="19"/>
                <w:szCs w:val="19"/>
                <w:color w:val="auto"/>
              </w:rPr>
            </w:pPr>
          </w:p>
        </w:tc>
      </w:tr>
      <w:tr>
        <w:trPr>
          <w:trHeight w:val="33"/>
        </w:trPr>
        <w:tc>
          <w:tcPr>
            <w:tcW w:w="6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500" w:type="dxa"/>
            <w:vAlign w:val="bottom"/>
          </w:tcPr>
          <w:p>
            <w:pPr>
              <w:spacing w:after="0"/>
              <w:rPr>
                <w:sz w:val="22"/>
                <w:szCs w:val="22"/>
                <w:color w:val="auto"/>
              </w:rPr>
            </w:pPr>
          </w:p>
        </w:tc>
      </w:tr>
      <w:tr>
        <w:trPr>
          <w:trHeight w:val="247"/>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Free cash flow</w:t>
            </w: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87,406</w:t>
            </w:r>
          </w:p>
        </w:tc>
        <w:tc>
          <w:tcPr>
            <w:tcW w:w="1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67,269</w:t>
            </w:r>
          </w:p>
        </w:tc>
        <w:tc>
          <w:tcPr>
            <w:tcW w:w="500" w:type="dxa"/>
            <w:vAlign w:val="bottom"/>
          </w:tcPr>
          <w:p>
            <w:pPr>
              <w:spacing w:after="0"/>
              <w:rPr>
                <w:sz w:val="21"/>
                <w:szCs w:val="21"/>
                <w:color w:val="auto"/>
              </w:rPr>
            </w:pPr>
          </w:p>
        </w:tc>
      </w:tr>
      <w:tr>
        <w:trPr>
          <w:trHeight w:val="24"/>
        </w:trPr>
        <w:tc>
          <w:tcPr>
            <w:tcW w:w="6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1391"/>
        </w:trPr>
        <w:tc>
          <w:tcPr>
            <w:tcW w:w="6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a Summary of Significant Accounting Policies and Estimates” to our consolidated financial statements included in this Annual Report on Form 10-K, our revenue recognition policies are particularly critical to fiscal years 2020 and 2019.</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revenue is derived from contracts with customers. The majority of our revenue is derived from licensing arrangements that can span multiple years, subscriptions for our cloud services, and implementation and other professional services arrangements. On August 1, 2018, we adopted ASC 606 using the modified retrospective method and recorded a net cumulative effect adjustment of $44.3 million.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estimates and assumptions requiring significant judgment under our revenue policy in accordance with ASC 606 are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Contracts may be modified to account for changes in contract scope or price. We consider contract modifications to exist when the modification either creates new rights or obligations or changes the existing enforceable rights and obligations of either party. Contract modifications for products and services that are distinct from the existing contract and are priced commensurate with their standalone selling price are treated as separate contracts, and are accounted for prospectively. Contract 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previously recognized revenue may be adjusted.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and products to our customer. Variable consideration is estimated and included in the transaction price if, in our judgment, it is probable that there will not be a significant future reversal of cumulative revenue under the contract.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DWP or a customer’s Gross Written Premium (“GWP”). When consideration is subject to variable installments, we estimate variable consideration using the expected value method based on historical DWP or GWP usage to the extent that a significant revenue reversal is not probable to occur. When consideration is subject to a customer termination right, we estimate the total transaction price using the most likely method, and defer consideration associated with the customer’s termination right until it expires.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our standard contracting and billing practices. For example, our typical time-based licenses have a two-year initial term with the final payment due at the end of the first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our contracts contain multiple performance obligations, such as when licenses are sold with support, implementation services, or training services. Additionally, as customers transition to subscription services, our customers may be under contract for both self-managed licenses and subscription services for a period of time, which may require an allocation of the transaction price to each performance obligation.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use the residual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and Estimates” in the notes to the consolidated financial statements in Item 8 of Part II of this Annual Report on Form 10-K, for a full description of recent accounting pronouncements adopted, including the dates of adoption,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Instruments-Credit Losses (Topic 326): Measurement of Credit Losses on Financial Instruments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that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We adopted this standard on August 1, 2020. We have evaluated the impact of adopting the new standard and expect the impact to the consolidated financial statements to be immaterial.</w:t>
      </w:r>
    </w:p>
    <w:p>
      <w:pPr>
        <w:spacing w:after="0" w:line="131"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Goodwill and Other (Subtopic 350-40): Customer’s Accounting for Implementation Costs Incurred in a Cloud Computing Arrangement that is a Service Contract (“ASU 2018-15”), which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350-40. We adopted this standard using the prospective approach on August 1, 2020, and the impact of the adoption to the consolidated financial statements will largely depend on the magnitude of implementation costs incurred in our cloud computing arrangements after August 1, 2020.</w:t>
      </w:r>
    </w:p>
    <w:p>
      <w:pPr>
        <w:spacing w:after="0" w:line="129"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Debt—Debt with Conversion and Other Options (Subtopic 470-20) and Derivatives and Hedging—Contracts in Entity’s Own Equity (Subtopic 815-40): Accounting for Convertible Instruments and Contracts in an Entity’s Own Equity</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We are currently assessing the impact of adopting this standard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will be applicable to us are not expected to have a material impact on our present or future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presented. The data has been derived from the consolidated financial statements contained in this Annual Report on Form 10-K which, in the opinion of our management, reflect all adjustments, consisting only of normal recurring adjustments, necessary to fairly present the financial position and results of operations for the fiscal years presented. The operating results for any period should not be considered indicative of results for any future period.</w:t>
      </w:r>
    </w:p>
    <w:p>
      <w:pPr>
        <w:spacing w:after="0" w:line="180"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At the end of fiscal year 2020, we changed the presentation for revenue and cost of revenue to include subtotals for “subscription and support,” “license,” and “services.” Our presentation in prior fiscal years included subtotals for “license and subscription,” “maintenance” (now referred to as “support”), and “services.” We have reclassified prior period amounts in this report to conform to the current period presentation.</w:t>
      </w:r>
    </w:p>
    <w:p>
      <w:pPr>
        <w:spacing w:after="0" w:line="12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fiscal year 2019, we began reporting results under ASC 606, using the modified retrospective method. Financial results for reporting periods prior to fiscal year 2019 are presented as previously disclosed in conformity with then existing guidance.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As a % of Total</w:t>
            </w:r>
          </w:p>
        </w:tc>
        <w:tc>
          <w:tcPr>
            <w:tcW w:w="260" w:type="dxa"/>
            <w:vAlign w:val="bottom"/>
          </w:tcPr>
          <w:p>
            <w:pPr>
              <w:spacing w:after="0"/>
              <w:rPr>
                <w:sz w:val="12"/>
                <w:szCs w:val="1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 a % of Total</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150,474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320,272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207,280</w:t>
            </w:r>
          </w:p>
        </w:tc>
        <w:tc>
          <w:tcPr>
            <w:tcW w:w="10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248,768</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742,307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719,514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73,597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10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209,291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243,053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cost of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338,015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324,350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86,315</w:t>
            </w:r>
          </w:p>
        </w:tc>
        <w:tc>
          <w:tcPr>
            <w:tcW w:w="10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76,877</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312,572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10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404,292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395,164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188,541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142,420</w:t>
            </w:r>
          </w:p>
        </w:tc>
        <w:tc>
          <w:tcPr>
            <w:tcW w:w="10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130,751</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85,183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74,401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428,178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393,693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24,705</w:t>
            </w:r>
          </w:p>
        </w:tc>
        <w:tc>
          <w:tcPr>
            <w:tcW w:w="10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30,182</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100" w:type="dxa"/>
            <w:vAlign w:val="bottom"/>
          </w:tcPr>
          <w:p>
            <w:pPr>
              <w:spacing w:after="0"/>
              <w:rPr>
                <w:sz w:val="21"/>
                <w:szCs w:val="21"/>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10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(8,280)</w:t>
            </w:r>
          </w:p>
        </w:tc>
        <w:tc>
          <w:tcPr>
            <w:tcW w:w="100" w:type="dxa"/>
            <w:vAlign w:val="bottom"/>
          </w:tcPr>
          <w:p>
            <w:pPr>
              <w:spacing w:after="0"/>
              <w:rPr>
                <w:sz w:val="21"/>
                <w:szCs w:val="21"/>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20,732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4"/>
        </w:trPr>
        <w:tc>
          <w:tcPr>
            <w:tcW w:w="6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July 31, 2020 and 2019</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derive our revenue primarily from delivering cloud-based services, licensing our software applications, providing support, and delivering professional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w:t>
      </w:r>
    </w:p>
    <w:p>
      <w:pPr>
        <w:spacing w:after="0" w:line="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support revenue is generally recognized ratably over the committed support term of the software. Our support fees are typically priced as a fixed percentage of the associated term license fees. We generally invoice support annually in advance.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software. Since the beginning of fiscal year 2017, a majority of our term licenses have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6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services revenue is primarily derived from implementation services performed for our customers, reimbursable travel expenses, and training fees. A substantial majority of our services engagements are billed monthly in arrears on a time and materials basis and revenue is recognized upon providing our services.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8"/>
        </w:trPr>
        <w:tc>
          <w:tcPr>
            <w:tcW w:w="3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1"/>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8"/>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r>
      <w:tr>
        <w:trPr>
          <w:trHeight w:val="191"/>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Support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Perpetual</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3"/>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742,307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4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and Support Revenue</w:t>
      </w:r>
    </w:p>
    <w:p>
      <w:pPr>
        <w:spacing w:after="0" w:line="9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anticipate subscriptions will continue to represent a majority of annual new deals in future periods. Due to the ratable recognition of subscription revenue, growth in subscription revenue will lag behind the growth of subscription orders and will impact the comparative growth of our reported revenue. If we complete a higher percentage of subscription deals in a given period, our short-term growth rates will be negatively impacted. Due to the seasonal nature of our business, the impact of new orders in the fourth fiscal quarter, our historically largest quarter for new orders, is not reflected in revenues until the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Subscription revenue increased by $54.6 million, compared to the prior year period, primarily due to the full year impact of orders entered into last fiscal year and new orders entered into during the earlier quarters of this fiscal year for InsuranceSuite via Guidewire Cloud.</w:t>
      </w:r>
    </w:p>
    <w:p>
      <w:pPr>
        <w:spacing w:after="0" w:line="2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Support revenue decreased $1.6 million, compared to the prior year period. Maintenance related to subscription arrangements is included in subscription revenue, as maintenance is not quoted or priced separately from the subscription services. As a result, we expect the increase in subscription orders as a percentage of total new sales and customers transitioning from term licenses to subscription services will continue to reduce the growth in or result in lower support revenue in the future.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Term license revenue increased by $10.3 million, compared to the prior year period, primarily due to new term license and multi-year renewal deals of approximately $51 million during fiscal year 2020 compared to new term license and multi-year renewal deals of approximately $37 million during fiscal year 2019, including one ten-year term license contract where we recognized $14.5 million of license revenue. Revenue related to new term licenses and multi-year renewals is generally recognized upfront and have no license revenue in subsequent periods until after the committed term expires. As customers transition from term license to subscription agreements, the timing of revenue recognition will be impacted by allocations of revenue between the license, subscription, and support performance obligations. License revenue growth could be negatively impacted as subscription sales increase as a percentage of total new sales and as customers transition from term licenses to subscription services.</w:t>
      </w:r>
    </w:p>
    <w:p>
      <w:pPr>
        <w:spacing w:after="0" w:line="6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Perpetual license revenue increased by $0.9 million, compared to the prior year, and accounted for approximately 1% of total revenue in fiscal year 2020. We expect perpetual license revenue to continue to represent a small percentage of our total revenue. We also expect perpetual license revenue to remain volatile across periods due to the large amount of perpetual revenue that may be generated from a single customer order in a given period.</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0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Services revenue decreased $41.5 million, compared to the prior year period. The decrease is primarily driven by the completion of large InsuranceSuite implementations since the end of the prior fiscal year, increased involvement by SI partners in customer cloud implementations, and reduced travel related to travel restrictions associated with the COVID-19 pandemic, given that reimbursable travel expenses are billed at actual amounts incurred.</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the number of implementations led by our SI partners increase, our services revenue could decrease further. We expect challenges related to COVID-19 will also continue to negatively impact services revenue. We expect modestly higher levels of variability in our services revenue in future periods. As we continue to expand into new markets and develop new products and services, we have, and may continue to, enter into contracts with reduced billing rates, make investments in customer engagements, and enter into fixed price contracts, which may impact services revenue and services margins.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cost of subscription and support revenue consists of personnel costs for our cloud operations and technical support teams, cloud infrastructure costs, development of online training curriculum, amortization of our intangible assets, and royalty fees paid to third parties. Our cost of license revenue primarily consists of development of online training curriculum, royalty fees paid to third parties, and amortization of our intangible assets. Our cost of services revenue primarily consists of personnel costs for our professional service employees, third-party contractors, and travel-related costs. In instances where we have primary responsibility for the delivery of services, subcontractor fees are expensed as cost of services revenue. In each case, personnel costs include salaries, bonuses, benefits, and stock-based compensation.</w:t>
      </w:r>
    </w:p>
    <w:p>
      <w:pPr>
        <w:spacing w:after="0" w:line="1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6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73,597</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43,561</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3,866</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320" w:type="dxa"/>
            <w:vAlign w:val="bottom"/>
          </w:tcPr>
          <w:p>
            <w:pPr>
              <w:spacing w:after="0"/>
              <w:rPr>
                <w:sz w:val="21"/>
                <w:szCs w:val="21"/>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13,665</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2,916</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license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1,547</w:t>
            </w:r>
          </w:p>
        </w:tc>
        <w:tc>
          <w:tcPr>
            <w:tcW w:w="3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Cost of subscription and support revenue increased by $43.6 million primarily due to increases of $32.0 million in personnel expenses, $8.2 million in cloud infrastructure costs, and $4.8 million in professional services due to our continued investment in our cloud operations to increase operational efficiency and scale for our growing cloud customer base.</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our cost of subscription revenue to increase as we continue to invest in our cloud operations to support our growing cloud customer base, to improve efficiencies, and to continuously improve and maintain secure environments. Cost of support revenues are expected to remain flat or slightly decrease over time as term license customers transition to the cloud.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$3.9 million increase in our cost of license revenue was primarily attributable to increased costs associated with the development of online training curriculum included with the latest releases of InsuranceSuite, partially offset by decreases in amortization of acquired intangible assets. We anticipate lower cost of license revenue over time as our term license customers transition to cloud subscription agreements.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$33.8 million decrease in cost of services was attributable to decreases in personnel expenses and third-party consultant costs billable to customers primarily as a result of the completion of certain large InsuranceSuite and InsuranceNow implementation engagements and, to a lesser extent, lower billable travel expenses resulting from COVID-19 travel restrictions.</w:t>
      </w:r>
    </w:p>
    <w:p>
      <w:pPr>
        <w:spacing w:after="0" w:line="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378 cloud operations and technical support employees and 758 professional service employees at July 31, 2020 compared to 198 cloud operations and technical support employees and 781 professional services employees at July 31, 2019.</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8"/>
        </w:trPr>
        <w:tc>
          <w:tcPr>
            <w:tcW w:w="3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86,315</w:t>
            </w:r>
          </w:p>
        </w:tc>
        <w:tc>
          <w:tcPr>
            <w:tcW w:w="26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76,877</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8"/>
              </w:rPr>
              <w:t>9,438</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319,988</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312,572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7,416</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6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5,715</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w w:val="98"/>
              </w:rPr>
              <w:t>(7,726)</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1"/>
                <w:szCs w:val="2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8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404,292</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395,164</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9,128</w:t>
            </w:r>
          </w:p>
        </w:tc>
        <w:tc>
          <w:tcPr>
            <w:tcW w:w="4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gross profit increased $9.1 million, primarily due to growth in our subscription revenue and the execution of multi-year term license and multi-year term license renewal deals in fiscal year 2020. These increases were partially offset by investments in cloud operations and the completion of, and investments in, certain large implementation engagements.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gross margin slightly decreased to 54% in fiscal year 2020, as compared to 55% in fiscal year 2019. Gross margin was impacted by lower subscription and support gross margins resulting from increasing investments in cloud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 lesser extent, lower services gross margins resulting from the completion of certain large customer implementations and the lower utilization of services employees.</w:t>
      </w:r>
    </w:p>
    <w:p>
      <w:pPr>
        <w:spacing w:after="0" w:line="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subscription and support gross margins will fluctuate as our subscription revenue increases and we continue to invest in our cloud operations. In addition to the impact of our customer investments, we expect challenges related to COVID-19 will negatively impact services gross margin in at least the first half of fiscal 2021 and potentially longer. We expect license gross margin will fluctuate based on changes in revenue due to multi-year term license and multi-year term license renewal deals as cost of license revenue is expected to be relatively flat compared to fiscal 2020.</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8"/>
        </w:trPr>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191"/>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8"/>
        </w:trPr>
        <w:tc>
          <w:tcPr>
            <w:tcW w:w="4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200,575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188,541</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12,034</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142,420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11,669</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85,183</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74,401</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10,782</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428,178</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393,693</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34,485</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r>
        <w:trPr>
          <w:trHeight w:val="203"/>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2,903</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21,260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25,073</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3,836</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72,657</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63,903</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8,754</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personnel costs for our technical staff and consultants providing professional services.</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$12.0 million increase in research and development expenses was primarily due to a $9.4 million increase in personnel costs associated with higher headcount in fiscal year 2020, as well as additional cloud infrastructure costs of $2.9 million in order to support the development of our subscription offerings, information security requirements, and cloud strategy.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research and development headcount was 809 as of July 31, 2020 compared with 724 as of July 31, 2019.</w:t>
      </w:r>
    </w:p>
    <w:p>
      <w:pPr>
        <w:spacing w:after="0" w:line="10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hire and dedicate internal resources to developing, improving, and expanding the functionality of our solutions and migrating our solutions to the cloud. Research and development expenses may also increase if we pursue additional acquisitions.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$11.7 million increase in sales and marketing expenses was primarily due to increases of $15.1 million in personnel expenses due to higher headcount to sell and market our products and services, including an increase of $4.3 million due to the net amortization of contract acquisition costs (primarily commissions). Contract acquisition costs are capitalized when earned and expensed over the anticipated period of time that goods and services are expected to be provided to a customer, which we estimate to be approximately five years. This increase was partially offset by decreases of $2.5 million due to lower travel expenses resulting from COVID-19 travel restrictions and $1.7 million due to lower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sales and marketing headcount was 399 as of July 31, 2020 compared with 354 as of July 31, 2019.</w:t>
      </w:r>
    </w:p>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as we continue to invest in sales and marketing activities to support our business growth and objectives.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$10.8 million increase in our general and administrative expenses was primarily attributable to increases in our facilities, personnel, and software expenses to support our growth.</w:t>
      </w:r>
    </w:p>
    <w:p>
      <w:pPr>
        <w:spacing w:after="0" w:line="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general and administrative headcount was 346 as of July 31, 2020 compared with 298 as of July 31, 2019. General and administrative headcount includes personnel in information technology support, information security, facilities, and recruiting whose expenses are allocated across all functional departments.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5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3"/>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6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(5,477)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1"/>
                <w:szCs w:val="21"/>
                <w:color w:val="auto"/>
              </w:rPr>
            </w:pPr>
          </w:p>
        </w:tc>
        <w:tc>
          <w:tcPr>
            <w:tcW w:w="18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(5,338)</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decreased by $5.5 million in fiscal year 2020, primarily due to lower yields on invested funds.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includes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have not changed.</w:t>
      </w:r>
    </w:p>
    <w:p>
      <w:pPr>
        <w:spacing w:after="0" w:line="4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for fiscal year 2020 and 2019 consist of non-cash interest expense related to the amortization of debt discount and issuance costs of $12.9 million and $12.2 million respectively, and stated interest of $5.0 million in both periods.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We currently have entities with a functional currency of the Argentine Peso, Australian Dollar, Brazilian Real, British Pound, Canadian Dollar, Danish Kroner, Euro, Indian Rupee, Japanese Yen, Malaysian Ringgit, Polish Zloty, Russian Ruble, and Swiss Franc.</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changes in the fair value of strategic investments are also included in other income (expense), net.</w:t>
      </w:r>
    </w:p>
    <w:p>
      <w:pPr>
        <w:spacing w:after="0" w:line="10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expense, net increased by $5.3 million during fiscal year 2020, as compared to the prior year, primarily due to the $10.7 million reduction in fair value of one of our strategic investments, partially offset by net currency exchange rate gains. In fiscal year 2019, exchange rate movements on monetary assets and monetary liabilities denominated in currencies other than the functional currency of the entity in which the transaction was recorded resulted in a net currency exchange rate loss.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and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be subject to current U.S.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50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11,147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recognized an income tax provision of $2.9 million for fiscal year 2020 compared to an income tax benefit of $8.3 million for fiscal year 2019. The fiscal year 2020 income tax provision was primarily due to the BEAT liability, including interest and penalties, of $11.4 million recorded in fiscal year 2020, of which $7.7 million relates to fiscal year 2020 and $3.7 million relates to fiscal year 2019, as a result of regulations issued by the Internal Revenue Service (“IRS”) on December 2, 2019, and subsequent amendments resulting from the CARES Act which was passed on March 27, 2020.</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July 31, 2020, we had unrecognized tax benefits of $18.0 million that, if recognized, would affect our effective tax rate.</w:t>
      </w:r>
    </w:p>
    <w:p>
      <w:pPr>
        <w:spacing w:after="0" w:line="9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22, 2017, the Tax Act was enacted into law which substantially changed U.S. tax law, including a reduction in the U.S. corporate income tax rate to 21% effective January 1, 2018 and several provisions that may impact us in current and future periods. The Tax Act includes a provision to tax global intangible low-taxed income (“GILTI”) of foreign subsidiaries, a special deduction for foreign-derived intangible income, and a BEAT measure that taxes certain payments between a U.S. corporation and its foreign subsidiaries. These provisions of the Tax Act became effective for us beginning on August 1, 2018.</w:t>
      </w:r>
    </w:p>
    <w:p>
      <w:pPr>
        <w:spacing w:after="0" w:line="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of (12)% for fiscal year 2020, differs from the statutory U.S. Federal income tax rate of 21% mainly due to permanent differences for stock-based compensation, including excess tax benefits, research and development credits, change in valuation allowance, certain non-deductible expenses including executive compensation, and BEAT.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July 31, 2019 and 2018</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located in our 10-K for the fiscal year ended July 31, 2019, filed on September 30, 2019, for the discussion of the comparison of the fiscal year ended July 31, 2019 to the fiscal year ended July 31, 2018, the earliest of the three fiscal years presented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selected unaudited quarterly financial information for each of the eight fiscal quarters ended July 31, 2020. In management’s opinion, the data below has been prepared on the same basis as the audited consolidated financial statements and reflect all necessary adjustments, consisting only of normal recurring adjustments, necessary for a fair statement of the data. The results of historical periods are not necessarily indicative of the results to be expected for a full year or any future period.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6"/>
              </w:rPr>
              <w:t>Fiscal quarters ended</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3"/>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3"/>
              </w:rPr>
              <w:t>July 31, 2020</w:t>
            </w:r>
          </w:p>
        </w:tc>
        <w:tc>
          <w:tcPr>
            <w:tcW w:w="200" w:type="dxa"/>
            <w:vAlign w:val="bottom"/>
          </w:tcPr>
          <w:p>
            <w:pPr>
              <w:spacing w:after="0"/>
              <w:rPr>
                <w:sz w:val="15"/>
                <w:szCs w:val="15"/>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4"/>
              </w:rPr>
              <w:t>April 30, 2020</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January 31, 2020</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October 31, 2019</w:t>
            </w: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July 31, 2019</w:t>
            </w:r>
          </w:p>
        </w:tc>
        <w:tc>
          <w:tcPr>
            <w:tcW w:w="18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4"/>
              </w:rPr>
              <w:t>April 30, 2019</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January 31, 2019</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7"/>
              </w:rPr>
              <w:t>October 31, 2018</w:t>
            </w:r>
          </w:p>
        </w:tc>
      </w:tr>
      <w:tr>
        <w:trPr>
          <w:trHeight w:val="158"/>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center"/>
              <w:ind w:left="330"/>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4"/>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 except per share amounts)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243,674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168,165</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173,458</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157,010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207,858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162,867</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168,534</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180,255</w:t>
            </w:r>
          </w:p>
        </w:tc>
      </w:tr>
      <w:tr>
        <w:trPr>
          <w:trHeight w:val="25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87,811</w:t>
            </w:r>
          </w:p>
        </w:tc>
        <w:tc>
          <w:tcPr>
            <w:tcW w:w="20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85,752</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83,596</w:t>
            </w:r>
          </w:p>
        </w:tc>
        <w:tc>
          <w:tcPr>
            <w:tcW w:w="3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80,856</w:t>
            </w:r>
          </w:p>
        </w:tc>
        <w:tc>
          <w:tcPr>
            <w:tcW w:w="32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82,784</w:t>
            </w:r>
          </w:p>
        </w:tc>
        <w:tc>
          <w:tcPr>
            <w:tcW w:w="18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80,278</w:t>
            </w:r>
          </w:p>
        </w:tc>
        <w:tc>
          <w:tcPr>
            <w:tcW w:w="3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79,680</w:t>
            </w:r>
          </w:p>
        </w:tc>
        <w:tc>
          <w:tcPr>
            <w:tcW w:w="3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81,608</w:t>
            </w:r>
          </w:p>
        </w:tc>
      </w:tr>
      <w:tr>
        <w:trPr>
          <w:trHeight w:val="26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155,863</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82,413</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89,862</w:t>
            </w: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76,154</w:t>
            </w: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125,074</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82,589</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88,854</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98,647</w:t>
            </w:r>
          </w:p>
        </w:tc>
      </w:tr>
      <w:tr>
        <w:trPr>
          <w:trHeight w:val="25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44,341</w:t>
            </w:r>
          </w:p>
        </w:tc>
        <w:tc>
          <w:tcPr>
            <w:tcW w:w="200" w:type="dxa"/>
            <w:vAlign w:val="bottom"/>
          </w:tcPr>
          <w:p>
            <w:pPr>
              <w:spacing w:after="0"/>
              <w:rPr>
                <w:sz w:val="21"/>
                <w:szCs w:val="21"/>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(25,600)</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(18,030)</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(24,597)</w:t>
            </w:r>
          </w:p>
        </w:tc>
        <w:tc>
          <w:tcPr>
            <w:tcW w:w="32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21,082</w:t>
            </w:r>
          </w:p>
        </w:tc>
        <w:tc>
          <w:tcPr>
            <w:tcW w:w="180" w:type="dxa"/>
            <w:vAlign w:val="bottom"/>
          </w:tcPr>
          <w:p>
            <w:pPr>
              <w:spacing w:after="0"/>
              <w:rPr>
                <w:sz w:val="21"/>
                <w:szCs w:val="21"/>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(15,767)</w:t>
            </w:r>
          </w:p>
        </w:tc>
        <w:tc>
          <w:tcPr>
            <w:tcW w:w="34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(6,331)</w:t>
            </w:r>
          </w:p>
        </w:tc>
        <w:tc>
          <w:tcPr>
            <w:tcW w:w="3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2,487</w:t>
            </w:r>
          </w:p>
        </w:tc>
      </w:tr>
      <w:tr>
        <w:trPr>
          <w:trHeight w:val="26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38,775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(31,038)</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(19,944)</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(14,991)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(8,581)</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6,309</w:t>
            </w:r>
          </w:p>
        </w:tc>
      </w:tr>
      <w:tr>
        <w:trPr>
          <w:trHeight w:val="25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0.46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(0.37)</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(0.11)</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0.08</w:t>
            </w:r>
          </w:p>
        </w:tc>
      </w:tr>
      <w:tr>
        <w:trPr>
          <w:trHeight w:val="26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(0.37)</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(0.18)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(0.11)</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0.08</w:t>
            </w:r>
          </w:p>
        </w:tc>
      </w:tr>
    </w:tbl>
    <w:p>
      <w:pPr>
        <w:spacing w:after="0" w:line="15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quarterly results of operations may fluctuate significantly due to a variety of factors, many of which are outside of our control, making our results of operations variable and difficult to predict. Such factors include those discussed above and those set forth in “Risk Factors—We may experience significant quarterly and annual fluctuations in our results of operations due to a number of factors” and “Risk Factors—Seasonal sales patterns may cause significant fluctuations in our results of operations and cash flows and may prevent us from achieving our quarterly or annual forecasts, which may cause our stock price to decline” in Item 1A of Part I of this Annual Report on Form 10-K. One or more of these factors may cause our results of operations to vary widely. As such, we believe that our quarterly results of operations may vary significantly in the future and that sequential quarterly comparisons of our results of operations may not be meaningful and should not be relied upon as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5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6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reconciliation:</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395,164</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0" w:type="dxa"/>
            <w:vAlign w:val="bottom"/>
          </w:tcPr>
          <w:p>
            <w:pPr>
              <w:spacing w:after="0"/>
              <w:rPr>
                <w:sz w:val="1"/>
                <w:szCs w:val="1"/>
                <w:color w:val="auto"/>
              </w:rPr>
            </w:pP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442,558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reconciliation: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29,113</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104,765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GAAP net income (loss)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p>
      <w:pPr>
        <w:spacing w:after="0" w:line="1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Changes in fair value of strategic investment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(2)</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6858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 reconciliation: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20,732</w:t>
            </w:r>
          </w:p>
        </w:tc>
      </w:tr>
      <w:tr>
        <w:trPr>
          <w:trHeight w:val="513"/>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91,516</w:t>
            </w:r>
          </w:p>
        </w:tc>
      </w:tr>
      <w:tr>
        <w:trPr>
          <w:trHeight w:val="257"/>
        </w:trPr>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29,113</w:t>
            </w:r>
          </w:p>
        </w:tc>
      </w:tr>
      <w:tr>
        <w:trPr>
          <w:trHeight w:val="256"/>
        </w:trPr>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w:t>
            </w:r>
          </w:p>
        </w:tc>
      </w:tr>
      <w:tr>
        <w:trPr>
          <w:trHeight w:val="257"/>
        </w:trPr>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(33,678)</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119,877</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ectPr>
          <w:pgSz w:w="11900" w:h="16838" w:orient="portrait"/>
          <w:cols w:equalWidth="0" w:num="2">
            <w:col w:w="7480" w:space="720"/>
            <w:col w:w="30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tax provision (benefit)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w:t>
            </w: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33"/>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r>
      <w:tr>
        <w:trPr>
          <w:trHeight w:val="256"/>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Changes in fair value of strategic investment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tax provision (benefit)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9"/>
        </w:trPr>
        <w:tc>
          <w:tcPr>
            <w:tcW w:w="8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reconciliation:</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income (loss) per share - diluted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5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5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Amortization of debt discount and issuance costs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5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Changes in fair value of strategic investment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56"/>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 xml:space="preserve">Non-GAAP dilutive shares excluded from GAAP net income (loss) per share calculation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(loss) per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8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in computing Non-GAAP income (loss) per share amounts:</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weighted average shares - diluted</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82,855,392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82,681,214</w:t>
            </w:r>
          </w:p>
        </w:tc>
      </w:tr>
      <w:tr>
        <w:trPr>
          <w:trHeight w:val="33"/>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Non-GAAP dilutive shares excluded from GAAP income (loss) per share calculation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834,002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weighted average shares - diluted</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83,689,394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82,681,214</w:t>
            </w:r>
          </w:p>
        </w:tc>
      </w:tr>
      <w:tr>
        <w:trPr>
          <w:trHeight w:val="24"/>
        </w:trPr>
        <w:tc>
          <w:tcPr>
            <w:tcW w:w="8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1" w:lineRule="exact"/>
        <w:rPr>
          <w:sz w:val="20"/>
          <w:szCs w:val="20"/>
          <w:color w:val="auto"/>
        </w:rPr>
      </w:pPr>
    </w:p>
    <w:p>
      <w:pPr>
        <w:ind w:firstLine="8"/>
        <w:spacing w:after="0" w:line="282" w:lineRule="auto"/>
        <w:tabs>
          <w:tab w:leader="none" w:pos="20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the third fiscal quarter of 2020, changes in fair value of strategic investments are excluded from non-GAAP measures. Prior to the third fiscal quarter of 2020, there were no changes in fair value of strategic investments in any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reflect the tax benefit (provision) resulting from all non-GAAP adjustments.</w:t>
      </w:r>
    </w:p>
    <w:p>
      <w:pPr>
        <w:spacing w:after="0" w:line="17" w:lineRule="exact"/>
        <w:rPr>
          <w:rFonts w:ascii="Times New Roman" w:cs="Times New Roman" w:eastAsia="Times New Roman" w:hAnsi="Times New Roman"/>
          <w:sz w:val="14"/>
          <w:szCs w:val="14"/>
          <w:color w:val="auto"/>
        </w:rPr>
      </w:pPr>
    </w:p>
    <w:p>
      <w:pPr>
        <w:ind w:firstLine="8"/>
        <w:spacing w:after="0" w:line="258" w:lineRule="auto"/>
        <w:tabs>
          <w:tab w:leader="none" w:pos="2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40" w:type="dxa"/>
            <w:vAlign w:val="bottom"/>
          </w:tcPr>
          <w:p>
            <w:pPr>
              <w:spacing w:after="0"/>
              <w:rPr>
                <w:sz w:val="16"/>
                <w:szCs w:val="16"/>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July 31, 2019</w:t>
            </w:r>
          </w:p>
        </w:tc>
      </w:tr>
      <w:tr>
        <w:trPr>
          <w:trHeight w:val="248"/>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1,337,761</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1,102,702</w:t>
            </w: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cash equivalents are comprised of liquid investments with remaining maturities of 90 days or less from the date of purchase, primarily commercial paper and money market funds. Substantially all of our investments are comprised of corporate debt securities, U.S. government and agency securities, commercial paper, asset-backed securities, and non-U.S. government securities, which include state, municipal and foreign government securities.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2020, approximately $43.4 million of our cash and cash equivalents were domiciled in various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timing of invoicing and collections of accounts receivable and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during that period and pay seasonally higher sales commissions from increased customer orders booked in our fourth fiscal quarter.</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sources of liquidity will be sufficient to fund our operations for at least the next 12 months. Our future capital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may also invest in or acquire complementary businesses, applications, or technologies, which may require the use of significant cash resources and/or additional financing.</w:t>
      </w:r>
    </w:p>
    <w:p>
      <w:pPr>
        <w:spacing w:after="0" w:line="12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consolidated financial statements included elsewhere in this Annual Report on Form 10-K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r>
      <w:tr>
        <w:trPr>
          <w:trHeight w:val="196"/>
        </w:trPr>
        <w:tc>
          <w:tcPr>
            <w:tcW w:w="7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116,126</w:t>
            </w:r>
          </w:p>
        </w:tc>
      </w:tr>
      <w:tr>
        <w:trPr>
          <w:trHeight w:val="27"/>
        </w:trPr>
        <w:tc>
          <w:tcPr>
            <w:tcW w:w="7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(301,433)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r>
    </w:tbl>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$3.1 million in fiscal year 2020 as compared to fiscal year 2019. The decrease in operating cash was primarily attributable to a $15.3 million decrease in net income after excluding the impact of non-cash charges such as deferred taxes, stock-based compensation expense, depreciation and amortization expense, change in fair value of our strategic investments, and other non-cash items, partially offset by a $12.3 million increase in cash provided by working capital activity as compared to the same period a year ago, which was driven by $21.3 million in higher collections from customers, partially offset by a $9.9 million partial early bonus payout during the third fiscal quarter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partial early bonus payout was approved by our board of directors in order to support our employees and, in turn, their local economies during the extraordinary situation created by the COVID-19 pandemic.</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by $295.6 million in fiscal year 2020 as compared to fiscal year 2019. The decrease in net cash used in investing activities was primarily due to a decrease of $274.6 million in net cash flows from marketable securities transactions and a $23.2 million decrease in capital expenditures primarily due to the completion of construction and furnishing of our new headquarters in San Mateo, California, partially offset by the purchase of $2.2 million in new strategic investments.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$5.0 million in fiscal year 2020, as compared to $4.0 million in fiscal year 2019. The increase of $1.0 million in net cash provided by financing activities was because of higher proceeds from option exercises.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July 31, 2019 and 2018</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 “Liquidity and Capital Resources” located in our 10-K for the fiscal year ended July 31, 2019, filed on September 30, 2019, for the discussion of the comparison of fiscal year ended July 31, 2019 to the fiscal year ended July 31, 2018, the earliest of the three fiscal years presented in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July 31, 2020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2"/>
                <w:szCs w:val="12"/>
                <w:color w:val="auto"/>
              </w:rPr>
            </w:pPr>
          </w:p>
        </w:tc>
        <w:tc>
          <w:tcPr>
            <w:tcW w:w="88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1 to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3 to 5</w:t>
            </w:r>
          </w:p>
        </w:tc>
        <w:tc>
          <w:tcPr>
            <w:tcW w:w="18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8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Royalty obligations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105,995</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160,486</w:t>
            </w:r>
          </w:p>
        </w:tc>
        <w:tc>
          <w:tcPr>
            <w:tcW w:w="0" w:type="dxa"/>
            <w:vAlign w:val="bottom"/>
          </w:tcPr>
          <w:p>
            <w:pPr>
              <w:spacing w:after="0"/>
              <w:rPr>
                <w:sz w:val="1"/>
                <w:szCs w:val="1"/>
                <w:color w:val="auto"/>
              </w:rPr>
            </w:pPr>
          </w:p>
        </w:tc>
      </w:tr>
      <w:tr>
        <w:trPr>
          <w:trHeight w:val="26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78,886</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696,863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Long-term debt consists of principal and interest payments on our Convertible Senior Notes. The $400 million in principal is due in March 2025.</w:t>
      </w:r>
    </w:p>
    <w:p>
      <w:pPr>
        <w:spacing w:after="0" w:line="10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Royalty obligations primarily represent our obligations under our non-cancellable agreements related to certain revenue-generating agreements.</w:t>
      </w:r>
    </w:p>
    <w:p>
      <w:pPr>
        <w:spacing w:after="0" w:line="140" w:lineRule="exact"/>
        <w:rPr>
          <w:rFonts w:ascii="Times New Roman" w:cs="Times New Roman" w:eastAsia="Times New Roman" w:hAnsi="Times New Roman"/>
          <w:sz w:val="21"/>
          <w:szCs w:val="21"/>
          <w:color w:val="auto"/>
          <w:vertAlign w:val="superscript"/>
        </w:rPr>
      </w:pPr>
    </w:p>
    <w:p>
      <w:pPr>
        <w:ind w:left="340" w:hanging="332"/>
        <w:spacing w:after="0" w:line="280" w:lineRule="auto"/>
        <w:tabs>
          <w:tab w:leader="none" w:pos="328"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Purchase commitments consist of agreements to purchase goods and services, entered into in the ordinary course of business for which a penalty could be imposed if the agreement was canceled for any reason other than an event of default as described by the agreement.</w:t>
      </w:r>
    </w:p>
    <w:p>
      <w:pPr>
        <w:spacing w:after="0" w:line="110" w:lineRule="exact"/>
        <w:rPr>
          <w:rFonts w:ascii="Times New Roman" w:cs="Times New Roman" w:eastAsia="Times New Roman" w:hAnsi="Times New Roman"/>
          <w:sz w:val="11"/>
          <w:szCs w:val="11"/>
          <w:color w:val="auto"/>
        </w:rPr>
      </w:pPr>
    </w:p>
    <w:p>
      <w:pPr>
        <w:ind w:left="340" w:hanging="332"/>
        <w:spacing w:after="0"/>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Lease obligations primarily represent payments required under our non-cancellable lease agreements for our corporate headquarters and worldwide offices through 2032.</w:t>
      </w:r>
    </w:p>
    <w:p>
      <w:pPr>
        <w:spacing w:after="0" w:line="3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we have unrecognized tax benefits of $23.7 million as of July 31, 2020. We are unable to estimate when any cash settlement with a taxing authority might occur.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Through July 31,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as of July 31, 2020, and 2019. Our cash, cash equivalents, and investments as of July 31, 2020 and 2019 were $1,434.3 million and $1,337.8 million, respectively, and consisted primarily of cash, money market funds, corporate debt securities, U.S. government and agency securities, commercial paper,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$5.6 million and $6.2 million in the market value of our available-for-sale securities as of July 31, 2020 and 2019, respectively. Any realized gains or losses resulting from such interest rate changes would only occur if we sold the investments prior to maturity.</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Polish Zloty, Russian Ruble, and Swiss Franc.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contracts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For the fiscal year ended July 31, 2020, we recorded a net foreign currency gain of $4.1 million as other income (expense) in our consolidated statements of operations due to currency exchange rate movements. For the fiscal year ended July 31, 2019, we recorded a foreign currency loss of $1.9 million as other income (expense) in our consolidated statements of operations due to currency exchange rate movements. We expect to continue to experience fluctuations in foreign currency exchange rates. If a hypothetical ten percent change in foreign exchange rates were to occur in the future, the resulting transaction gain or loss would be approximately $11.2 million. As our international operations grow, we will continue to assess our approach to managing our risk relating to fluctuations in currency rates.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w:t>
      </w:r>
      <w:r>
        <w:rPr>
          <w:rFonts w:ascii="Times New Roman" w:cs="Times New Roman" w:eastAsia="Times New Roman" w:hAnsi="Times New Roman"/>
          <w:sz w:val="18"/>
          <w:szCs w:val="18"/>
          <w:b w:val="1"/>
          <w:bCs w:val="1"/>
          <w:color w:val="auto"/>
        </w:rPr>
        <w: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consist primarily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5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strategic investments in privately held securities are in various classes of equity and convertible debt that may have different rights and preferences. The particular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cost of our initial investment. All of our investments, particularly those in privately held companies, are therefore subject to a risk of partial or total loss of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1185545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Data</w:t>
            </w:r>
          </w:p>
        </w:tc>
        <w:tc>
          <w:tcPr>
            <w:tcW w:w="1700" w:type="dxa"/>
            <w:vAlign w:val="bottom"/>
          </w:tcPr>
          <w:p>
            <w:pPr>
              <w:spacing w:after="0"/>
              <w:rPr>
                <w:sz w:val="20"/>
                <w:szCs w:val="20"/>
                <w:color w:val="auto"/>
              </w:rPr>
            </w:pPr>
          </w:p>
        </w:tc>
      </w:tr>
      <w:tr>
        <w:trPr>
          <w:trHeight w:val="513"/>
        </w:trPr>
        <w:tc>
          <w:tcPr>
            <w:tcW w:w="920" w:type="dxa"/>
            <w:vAlign w:val="bottom"/>
          </w:tcPr>
          <w:p>
            <w:pPr>
              <w:spacing w:after="0"/>
              <w:rPr>
                <w:sz w:val="24"/>
                <w:szCs w:val="24"/>
                <w:color w:val="auto"/>
              </w:rPr>
            </w:pPr>
          </w:p>
        </w:tc>
        <w:tc>
          <w:tcPr>
            <w:tcW w:w="85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70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85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00" w:type="dxa"/>
            <w:vAlign w:val="bottom"/>
          </w:tcPr>
          <w:p>
            <w:pPr>
              <w:spacing w:after="0"/>
              <w:rPr>
                <w:sz w:val="23"/>
                <w:szCs w:val="23"/>
                <w:color w:val="auto"/>
              </w:rPr>
            </w:pPr>
          </w:p>
        </w:tc>
      </w:tr>
      <w:tr>
        <w:trPr>
          <w:trHeight w:val="535"/>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Report of Independent Registered Public Accounting Firm</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59">
              <w:r>
                <w:rPr>
                  <w:rFonts w:ascii="Times New Roman" w:cs="Times New Roman" w:eastAsia="Times New Roman" w:hAnsi="Times New Roman"/>
                  <w:sz w:val="18"/>
                  <w:szCs w:val="18"/>
                  <w:u w:val="single" w:color="auto"/>
                  <w:color w:val="0033CC"/>
                </w:rPr>
                <w:t>56</w:t>
              </w:r>
            </w:hyperlink>
          </w:p>
        </w:tc>
      </w:tr>
      <w:tr>
        <w:trPr>
          <w:trHeight w:val="229"/>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Consolidated Balance Sheets</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1">
              <w:r>
                <w:rPr>
                  <w:rFonts w:ascii="Times New Roman" w:cs="Times New Roman" w:eastAsia="Times New Roman" w:hAnsi="Times New Roman"/>
                  <w:sz w:val="18"/>
                  <w:szCs w:val="18"/>
                  <w:u w:val="single" w:color="auto"/>
                  <w:color w:val="0033CC"/>
                </w:rPr>
                <w:t>58</w:t>
              </w:r>
            </w:hyperlink>
          </w:p>
        </w:tc>
      </w:tr>
      <w:tr>
        <w:trPr>
          <w:trHeight w:val="230"/>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Consolidated Statements of Operations</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2">
              <w:r>
                <w:rPr>
                  <w:rFonts w:ascii="Times New Roman" w:cs="Times New Roman" w:eastAsia="Times New Roman" w:hAnsi="Times New Roman"/>
                  <w:sz w:val="18"/>
                  <w:szCs w:val="18"/>
                  <w:u w:val="single" w:color="auto"/>
                  <w:color w:val="0033CC"/>
                </w:rPr>
                <w:t>59</w:t>
              </w:r>
            </w:hyperlink>
          </w:p>
        </w:tc>
      </w:tr>
      <w:tr>
        <w:trPr>
          <w:trHeight w:val="229"/>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Consolidated Statements of Comprehensive Income (Loss)</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3">
              <w:r>
                <w:rPr>
                  <w:rFonts w:ascii="Times New Roman" w:cs="Times New Roman" w:eastAsia="Times New Roman" w:hAnsi="Times New Roman"/>
                  <w:sz w:val="18"/>
                  <w:szCs w:val="18"/>
                  <w:u w:val="single" w:color="auto"/>
                  <w:color w:val="0033CC"/>
                </w:rPr>
                <w:t>60</w:t>
              </w:r>
            </w:hyperlink>
          </w:p>
        </w:tc>
      </w:tr>
      <w:tr>
        <w:trPr>
          <w:trHeight w:val="229"/>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Consolidated Statements of Stockholders’ Equity</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4">
              <w:r>
                <w:rPr>
                  <w:rFonts w:ascii="Times New Roman" w:cs="Times New Roman" w:eastAsia="Times New Roman" w:hAnsi="Times New Roman"/>
                  <w:sz w:val="18"/>
                  <w:szCs w:val="18"/>
                  <w:u w:val="single" w:color="auto"/>
                  <w:color w:val="0033CC"/>
                </w:rPr>
                <w:t>61</w:t>
              </w:r>
            </w:hyperlink>
          </w:p>
        </w:tc>
      </w:tr>
      <w:tr>
        <w:trPr>
          <w:trHeight w:val="230"/>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Consolidated Statements of Cash Flows</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5">
              <w:r>
                <w:rPr>
                  <w:rFonts w:ascii="Times New Roman" w:cs="Times New Roman" w:eastAsia="Times New Roman" w:hAnsi="Times New Roman"/>
                  <w:sz w:val="18"/>
                  <w:szCs w:val="18"/>
                  <w:u w:val="single" w:color="auto"/>
                  <w:color w:val="0033CC"/>
                </w:rPr>
                <w:t>62</w:t>
              </w:r>
            </w:hyperlink>
          </w:p>
        </w:tc>
      </w:tr>
      <w:tr>
        <w:trPr>
          <w:trHeight w:val="234"/>
        </w:trPr>
        <w:tc>
          <w:tcPr>
            <w:tcW w:w="94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Notes to Consolidated Financial Statements</w:t>
              </w:r>
            </w:hyperlink>
          </w:p>
        </w:tc>
        <w:tc>
          <w:tcPr>
            <w:tcW w:w="1700" w:type="dxa"/>
            <w:vAlign w:val="bottom"/>
          </w:tcPr>
          <w:p>
            <w:pPr>
              <w:jc w:val="right"/>
              <w:spacing w:after="0"/>
              <w:rPr>
                <w:rFonts w:ascii="Times New Roman" w:cs="Times New Roman" w:eastAsia="Times New Roman" w:hAnsi="Times New Roman"/>
                <w:sz w:val="18"/>
                <w:szCs w:val="18"/>
                <w:u w:val="single" w:color="auto"/>
                <w:color w:val="0033CC"/>
              </w:rPr>
            </w:pPr>
            <w:hyperlink w:anchor="page66">
              <w:r>
                <w:rPr>
                  <w:rFonts w:ascii="Times New Roman" w:cs="Times New Roman" w:eastAsia="Times New Roman" w:hAnsi="Times New Roman"/>
                  <w:sz w:val="18"/>
                  <w:szCs w:val="18"/>
                  <w:u w:val="single" w:color="auto"/>
                  <w:color w:val="0033CC"/>
                </w:rPr>
                <w:t>63</w:t>
              </w:r>
            </w:hyperlink>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Item 7 under the caption “Quarterly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Guidewire Software,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Guidewire Software, Inc. and subsidiaries (the Company) as of July 31, 2020 and 2019, the related consolidated statements of operations, comprehensive income (loss), stockholders’ equity, and cash flows for each of the years in the three-year period ended July 31, 2020, and the related notes (collectively, the consolidated financial statements). We also have audited the Company’s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July 31, 2020 and 2019, and the results of its operations and its cash flows for each of the years in the three-year period ended July 31, 2020, in conformity with U.S. generally accepted accounting principles. Also in our opinion, the Company maintained, in all material respects, effective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changed its method of accounting for leases as of August 1, 2019 due to the adoption of FASB Accounting Standards Codification No.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revenue related to software licensing arrangements and subscriptions to cloud services with non-standard terms</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discussed in Notes 1 and 2 to the consolidated financial statements, revenue was derived principally from software licensing arrangements, subscriptions to cloud services, and implementation and other professional services. The Company recognized total revenue of $742.3 million for the year ended July 31, 2020. The Company’s software licensing arrangements generally have a two-year initial term and subscriptions to cloud services generally have a three to five-year term, with a customer option to renew on an annual basis after the initial term. Consideration for software licensing arrangements and subscriptions to cloud services is typically billed in advance on an annual basis over the term.</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identified the evaluation of revenue from software licensing arrangements and subscriptions to cloud services with non-standard terms and conditions as a critical audit matter. Significant auditor judgment was required to evaluate the Company’s assessment of the impact on revenue recognition of non-standard terms and conditions, specifically,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identification and evaluation of software licensing arrangements and subscriptions to cloud services with non-standard terms and conditions. We tested certain software licensing arrangements and subscriptions to cloud services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20" w:type="dxa"/>
            <w:vAlign w:val="bottom"/>
          </w:tcPr>
          <w:p>
            <w:pPr>
              <w:spacing w:after="0"/>
              <w:rPr>
                <w:sz w:val="24"/>
                <w:szCs w:val="24"/>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254,101</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870,136</w:t>
            </w:r>
          </w:p>
        </w:tc>
        <w:tc>
          <w:tcPr>
            <w:tcW w:w="0" w:type="dxa"/>
            <w:vAlign w:val="bottom"/>
          </w:tcPr>
          <w:p>
            <w:pPr>
              <w:spacing w:after="0"/>
              <w:rPr>
                <w:sz w:val="1"/>
                <w:szCs w:val="1"/>
                <w:color w:val="auto"/>
              </w:rPr>
            </w:pPr>
          </w:p>
        </w:tc>
      </w:tr>
      <w:tr>
        <w:trPr>
          <w:trHeight w:val="243"/>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$1,276 and $1,441, respectively</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138,443</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36,728</w:t>
            </w: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1,334,974</w:t>
            </w:r>
          </w:p>
        </w:tc>
        <w:tc>
          <w:tcPr>
            <w:tcW w:w="0" w:type="dxa"/>
            <w:vAlign w:val="bottom"/>
          </w:tcPr>
          <w:p>
            <w:pPr>
              <w:spacing w:after="0"/>
              <w:rPr>
                <w:sz w:val="1"/>
                <w:szCs w:val="1"/>
                <w:color w:val="auto"/>
              </w:rPr>
            </w:pPr>
          </w:p>
        </w:tc>
      </w:tr>
      <w:tr>
        <w:trPr>
          <w:trHeight w:val="23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213,524</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65,809</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340,877</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90,308</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23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2,166,963</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w:t>
            </w: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73,365</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108,304</w:t>
            </w: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232,272</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317,322</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0" w:type="dxa"/>
            <w:vAlign w:val="bottom"/>
          </w:tcPr>
          <w:p>
            <w:pPr>
              <w:spacing w:after="0"/>
              <w:rPr>
                <w:sz w:val="1"/>
                <w:szCs w:val="1"/>
                <w:color w:val="auto"/>
              </w:rPr>
            </w:pPr>
          </w:p>
        </w:tc>
      </w:tr>
      <w:tr>
        <w:trPr>
          <w:trHeight w:val="237"/>
        </w:trPr>
        <w:tc>
          <w:tcPr>
            <w:tcW w:w="7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592,762</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7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$0.0001 per share—500,000,000 shares authorized as of July 31, 2020 and</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2019; 83,461,925 and 82,140,883 shares issued and outstanding as of July 31, 2020 and 2019,</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1,391,904</w:t>
            </w: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rPr>
                <w:sz w:val="1"/>
                <w:szCs w:val="1"/>
                <w:color w:val="auto"/>
              </w:rPr>
            </w:pPr>
          </w:p>
        </w:tc>
      </w:tr>
      <w:tr>
        <w:trPr>
          <w:trHeight w:val="243"/>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190,047</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1,574,201</w:t>
            </w:r>
          </w:p>
        </w:tc>
        <w:tc>
          <w:tcPr>
            <w:tcW w:w="0" w:type="dxa"/>
            <w:vAlign w:val="bottom"/>
          </w:tcPr>
          <w:p>
            <w:pPr>
              <w:spacing w:after="0"/>
              <w:rPr>
                <w:sz w:val="1"/>
                <w:szCs w:val="1"/>
                <w:color w:val="auto"/>
              </w:rPr>
            </w:pPr>
          </w:p>
        </w:tc>
      </w:tr>
      <w:tr>
        <w:trPr>
          <w:trHeight w:val="26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8" w:right="37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60" w:type="dxa"/>
            <w:vAlign w:val="bottom"/>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Fiscal years ended July 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203,473</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150,474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110,738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275,606</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266,505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742,307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652,849</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243,053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246,548</w:t>
            </w:r>
          </w:p>
        </w:tc>
        <w:tc>
          <w:tcPr>
            <w:tcW w:w="0" w:type="dxa"/>
            <w:vAlign w:val="bottom"/>
          </w:tcPr>
          <w:p>
            <w:pPr>
              <w:spacing w:after="0"/>
              <w:rPr>
                <w:sz w:val="1"/>
                <w:szCs w:val="1"/>
                <w:color w:val="auto"/>
              </w:rPr>
            </w:pPr>
          </w:p>
        </w:tc>
      </w:tr>
      <w:tr>
        <w:trPr>
          <w:trHeight w:val="237"/>
        </w:trPr>
        <w:tc>
          <w:tcPr>
            <w:tcW w:w="6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324,350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296,783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65,604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270,505</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356,066</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171,657</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124,117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75,916</w:t>
            </w:r>
          </w:p>
        </w:tc>
        <w:tc>
          <w:tcPr>
            <w:tcW w:w="0" w:type="dxa"/>
            <w:vAlign w:val="bottom"/>
          </w:tcPr>
          <w:p>
            <w:pPr>
              <w:spacing w:after="0"/>
              <w:rPr>
                <w:sz w:val="1"/>
                <w:szCs w:val="1"/>
                <w:color w:val="auto"/>
              </w:rPr>
            </w:pPr>
          </w:p>
        </w:tc>
      </w:tr>
      <w:tr>
        <w:trPr>
          <w:trHeight w:val="237"/>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428,178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393,693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371,690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24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18,467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5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82,855,392</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81,447,998</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77,709,592</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82,855,392</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82,681,214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77,709,592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GUIDEWIRE SOFTWARE, INC. AND SUBSIDIARIES CONSOLIDATED STATEMENTS OF COMPREHENSIVE INCOME (LOSS)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1200" w:type="dxa"/>
            <w:vAlign w:val="bottom"/>
          </w:tcPr>
          <w:p>
            <w:pPr>
              <w:spacing w:after="0"/>
              <w:rPr>
                <w:sz w:val="18"/>
                <w:szCs w:val="18"/>
                <w:color w:val="auto"/>
              </w:rPr>
            </w:pPr>
          </w:p>
        </w:tc>
      </w:tr>
      <w:tr>
        <w:trPr>
          <w:trHeight w:val="3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43"/>
        </w:trPr>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 benefit (expense) on unrealized gains (losses) on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r>
      <w:tr>
        <w:trPr>
          <w:trHeight w:val="225"/>
        </w:trPr>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Reclassification adjustment for realized gains (losses) included in net income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(28,695)</w:t>
            </w:r>
          </w:p>
        </w:tc>
      </w:tr>
      <w:tr>
        <w:trPr>
          <w:trHeight w:val="21"/>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GUIDEWIRE SOFTWARE,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 for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3"/>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22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8"/>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2017</w:t>
            </w:r>
          </w:p>
        </w:tc>
        <w:tc>
          <w:tcPr>
            <w:tcW w:w="10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75,007,625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828,415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(5,796)</w:t>
            </w:r>
          </w:p>
        </w:tc>
        <w:tc>
          <w:tcPr>
            <w:tcW w:w="100" w:type="dxa"/>
            <w:vAlign w:val="bottom"/>
          </w:tcPr>
          <w:p>
            <w:pPr>
              <w:spacing w:after="0"/>
              <w:rPr>
                <w:sz w:val="17"/>
                <w:szCs w:val="17"/>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65,903</w:t>
            </w:r>
          </w:p>
        </w:tc>
        <w:tc>
          <w:tcPr>
            <w:tcW w:w="1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888,530</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(26,743)</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150,924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0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1,255,605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for Cyence acquisition</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1,568,973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117,457</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Public offering, net of issuance cost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2,628,571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220,948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220,948</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component of convertible senior notes, net of issuance cost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74,562</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(37,200)</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89,176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89,176</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Adoption of new accounting standard (ASU 2016-09)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86,825</w:t>
            </w:r>
          </w:p>
        </w:tc>
        <w:tc>
          <w:tcPr>
            <w:tcW w:w="0" w:type="dxa"/>
            <w:vAlign w:val="bottom"/>
          </w:tcPr>
          <w:p>
            <w:pPr>
              <w:spacing w:after="0"/>
              <w:rPr>
                <w:sz w:val="1"/>
                <w:szCs w:val="1"/>
                <w:color w:val="auto"/>
              </w:rPr>
            </w:pPr>
          </w:p>
        </w:tc>
      </w:tr>
      <w:tr>
        <w:trPr>
          <w:trHeight w:val="20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2018</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80,611,698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1,296,380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124,976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1,413,616</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20,732</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301,901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3,954</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1,276,252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Cancellation of common stock for Cyence acquisition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91,570</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Adoption of new accounting standard (Topic 606)</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44,339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44,339</w:t>
            </w:r>
          </w:p>
        </w:tc>
        <w:tc>
          <w:tcPr>
            <w:tcW w:w="0" w:type="dxa"/>
            <w:vAlign w:val="bottom"/>
          </w:tcPr>
          <w:p>
            <w:pPr>
              <w:spacing w:after="0"/>
              <w:rPr>
                <w:sz w:val="1"/>
                <w:szCs w:val="1"/>
                <w:color w:val="auto"/>
              </w:rPr>
            </w:pPr>
          </w:p>
        </w:tc>
      </w:tr>
      <w:tr>
        <w:trPr>
          <w:trHeight w:val="20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2019</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82,140,883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1,391,904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190,047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1,574,201</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4,955</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1,188,469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102,191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102,191</w:t>
            </w:r>
          </w:p>
        </w:tc>
        <w:tc>
          <w:tcPr>
            <w:tcW w:w="0" w:type="dxa"/>
            <w:vAlign w:val="bottom"/>
          </w:tcPr>
          <w:p>
            <w:pPr>
              <w:spacing w:after="0"/>
              <w:rPr>
                <w:sz w:val="1"/>
                <w:szCs w:val="1"/>
                <w:color w:val="auto"/>
              </w:rPr>
            </w:pPr>
          </w:p>
        </w:tc>
      </w:tr>
      <w:tr>
        <w:trPr>
          <w:trHeight w:val="198"/>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153"/>
        </w:trPr>
        <w:tc>
          <w:tcPr>
            <w:tcW w:w="450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3"/>
        </w:trPr>
        <w:tc>
          <w:tcPr>
            <w:tcW w:w="4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Adoption of new accounting standard (ASU 2018-02)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2020</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83,461,925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1,499,050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(5,246)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162,956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1,656,768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4"/>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8"/>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(26,743)</w:t>
            </w:r>
          </w:p>
        </w:tc>
      </w:tr>
      <w:tr>
        <w:trPr>
          <w:trHeight w:val="198"/>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35,611</w:t>
            </w:r>
          </w:p>
        </w:tc>
      </w:tr>
      <w:tr>
        <w:trPr>
          <w:trHeight w:val="198"/>
        </w:trPr>
        <w:tc>
          <w:tcPr>
            <w:tcW w:w="6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w:t>
            </w:r>
          </w:p>
        </w:tc>
      </w:tr>
      <w:tr>
        <w:trPr>
          <w:trHeight w:val="20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91,516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89,614</w:t>
            </w:r>
          </w:p>
        </w:tc>
      </w:tr>
      <w:tr>
        <w:trPr>
          <w:trHeight w:val="198"/>
        </w:trPr>
        <w:tc>
          <w:tcPr>
            <w:tcW w:w="6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Charges to bad debt and revenue reserves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r>
      <w:tr>
        <w:trPr>
          <w:trHeight w:val="20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income tax</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14,150</w:t>
            </w:r>
          </w:p>
        </w:tc>
      </w:tr>
      <w:tr>
        <w:trPr>
          <w:trHeight w:val="198"/>
        </w:trPr>
        <w:tc>
          <w:tcPr>
            <w:tcW w:w="6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Amortization of premium (accretion of discount) on available-for-sale securities, net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20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fair value of strategic investment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non-cash items affecting net income (loss)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6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(40,832)</w:t>
            </w:r>
          </w:p>
        </w:tc>
      </w:tr>
      <w:tr>
        <w:trPr>
          <w:trHeight w:val="208"/>
        </w:trPr>
        <w:tc>
          <w:tcPr>
            <w:tcW w:w="6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w:t>
            </w:r>
          </w:p>
        </w:tc>
      </w:tr>
      <w:tr>
        <w:trPr>
          <w:trHeight w:val="208"/>
        </w:trPr>
        <w:tc>
          <w:tcPr>
            <w:tcW w:w="6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lease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16,794</w:t>
            </w:r>
          </w:p>
        </w:tc>
      </w:tr>
      <w:tr>
        <w:trPr>
          <w:trHeight w:val="208"/>
        </w:trPr>
        <w:tc>
          <w:tcPr>
            <w:tcW w:w="6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employee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w:t>
            </w:r>
          </w:p>
        </w:tc>
      </w:tr>
      <w:tr>
        <w:trPr>
          <w:trHeight w:val="198"/>
        </w:trPr>
        <w:tc>
          <w:tcPr>
            <w:tcW w:w="6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32,358</w:t>
            </w:r>
          </w:p>
        </w:tc>
      </w:tr>
      <w:tr>
        <w:trPr>
          <w:trHeight w:val="207"/>
        </w:trPr>
        <w:tc>
          <w:tcPr>
            <w:tcW w:w="6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6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15,576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8,858</w:t>
            </w:r>
          </w:p>
        </w:tc>
      </w:tr>
      <w:tr>
        <w:trPr>
          <w:trHeight w:val="201"/>
        </w:trPr>
        <w:tc>
          <w:tcPr>
            <w:tcW w:w="66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113,066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140,459</w:t>
            </w:r>
          </w:p>
        </w:tc>
      </w:tr>
      <w:tr>
        <w:trPr>
          <w:trHeight w:val="178"/>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(859,657)</w:t>
            </w:r>
          </w:p>
        </w:tc>
      </w:tr>
      <w:tr>
        <w:trPr>
          <w:trHeight w:val="198"/>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of available-for-sale securities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77,204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74,118</w:t>
            </w:r>
          </w:p>
        </w:tc>
      </w:tr>
      <w:tr>
        <w:trPr>
          <w:trHeight w:val="207"/>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Maturities of available-for-sale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1,168,720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879,532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390,025</w:t>
            </w:r>
          </w:p>
        </w:tc>
      </w:tr>
      <w:tr>
        <w:trPr>
          <w:trHeight w:val="198"/>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w:t>
            </w:r>
          </w:p>
        </w:tc>
      </w:tr>
      <w:tr>
        <w:trPr>
          <w:trHeight w:val="208"/>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r>
      <w:tr>
        <w:trPr>
          <w:trHeight w:val="198"/>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of business, net of acquired cash</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(130,059)</w:t>
            </w:r>
          </w:p>
        </w:tc>
      </w:tr>
      <w:tr>
        <w:trPr>
          <w:trHeight w:val="208"/>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(301,433)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(537,584)</w:t>
            </w:r>
          </w:p>
        </w:tc>
      </w:tr>
      <w:tr>
        <w:trPr>
          <w:trHeight w:val="18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convertible senior notes, net of issuance costs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387,239</w:t>
            </w:r>
          </w:p>
        </w:tc>
      </w:tr>
      <w:tr>
        <w:trPr>
          <w:trHeight w:val="207"/>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220,948</w:t>
            </w:r>
          </w:p>
        </w:tc>
      </w:tr>
      <w:tr>
        <w:trPr>
          <w:trHeight w:val="198"/>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(37,200)</w:t>
            </w:r>
          </w:p>
        </w:tc>
      </w:tr>
      <w:tr>
        <w:trPr>
          <w:trHeight w:val="207"/>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r>
      <w:tr>
        <w:trPr>
          <w:trHeight w:val="191"/>
        </w:trPr>
        <w:tc>
          <w:tcPr>
            <w:tcW w:w="66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573,000</w:t>
            </w:r>
          </w:p>
        </w:tc>
      </w:tr>
      <w:tr>
        <w:trPr>
          <w:trHeight w:val="20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173,964</w:t>
            </w: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254,101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437,140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263,176</w:t>
            </w:r>
          </w:p>
        </w:tc>
      </w:tr>
      <w:tr>
        <w:trPr>
          <w:trHeight w:val="20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366,969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254,101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437,140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8"/>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income taxes, net of tax refunds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w:t>
            </w:r>
          </w:p>
        </w:tc>
      </w:tr>
      <w:tr>
        <w:trPr>
          <w:trHeight w:val="198"/>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Accruals for purchases of property and equipment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10,763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207"/>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Accruals for capitalized software development costs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(“GAAP”).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fiscal year ended July 31, 2020, the Company changed the presentation for revenue and cost of revenue to include subtotals for “subscription and support,” “license,” and “services.” The Company’s presentation in prior fiscal years included subtotals for “license and subscription,” “maintenance” (now referred to as “support”), and “services.” Accordingly, prior period amounts have been reclassified to conform to the current period presentation in the Company's consolidated financial statements and the accompanying notes.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allowance for doubtful accounts,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included in other income (expense) in the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with remaining maturities of 90 days or less at the date of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primarily consist of commercial paper and 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All investments are recorded at fair value with unrealized holding gains and losses included in accumulated other comprehensive income (loss) in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8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3 years</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48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3 years</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machinery</w:t>
            </w:r>
          </w:p>
        </w:tc>
        <w:tc>
          <w:tcPr>
            <w:tcW w:w="48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3 to 5 years</w:t>
            </w: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8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5 years</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Shorter of 10 years or remaining lease term</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spacing w:after="0" w:line="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qualifying costs incurred for computer software developed for internal use, which includes software used to deliver subscription services exclusively through the cloud,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on the Company’s consolidated statements of operations. Capitalized software development costs are recorded in property and equipment on the Company’s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August 1, 2019, the Company adopted the Financial Accounting Standards Board (“FASB”) Accounting Standards Codification Topic 842: Leases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received. Lease expense is recognized on a straight-line basis over the lease term and is reflected in the consolidated statements of operations in each of the cost of revenue and operating expense categories.</w:t>
      </w:r>
    </w:p>
    <w:p>
      <w:pPr>
        <w:spacing w:after="0" w:line="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leases are included in operating lease assets, other current liabilities, and lease liabilities on the consolidated balance sheets.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Intangible Assets, and Goodwill</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two-step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two-step goodwill impairment test is not performed. There have been no goodwill impairments during the periods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and Convertible Senior Notes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March 2018, the Company completed a public offering of 2,628,571 shares of its common stock, including the sale of shares in connection with the underwriters’ exercise in full of their option to purchase additional shares of common stock from the Company. The public offering price of the shares sold in the offering was $87.50 per share. No shares were sold by the Company’s stockholders in this public offering. Concurrently, the Company completed a sale of $400.0 million aggregate principal amount of 1.25% Convertible Senior Notes due 2025 (the “Convertible Senior Notes”), including amounts sold in connection with the underwriters’ exercise in full of their option to purchase additional Convertible Senior Notes. Net of offering expenses and underwriting discounts (“issuance costs”), the Company received net proceeds of approximately $220.9 million related to the common stock offering and $387.2 million related to the convertible note offering.</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on the consolidated balance sheets are in excess of amounts that are insured by the Federal Deposit Insurance Corporation.</w:t>
      </w:r>
    </w:p>
    <w:p>
      <w:pPr>
        <w:spacing w:after="0" w:line="12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No customer individually accounted for 10% or more of the Company’s revenue for the years ended July 31, 2020, 2019 and 2018. As of July 31, 2020 and 2019, no customer accounted for 10% or more of the Company’s total accounts receivable.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 and Revenue Reserves</w:t>
      </w:r>
    </w:p>
    <w:p>
      <w:pPr>
        <w:spacing w:after="0" w:line="256"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invoiced amounts and do not bear interest. While the Company does not require collateral, the Company performs ongoing credit evaluations of its customers. The Company maintains an allowance for doubtful accounts based upon the expected collectability of its accounts receivable. The expectation of collectability is based on historical loss patterns, the number of days that billings are past due, and an evaluation of the potential risk of loss associated with delinquent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revenue is derived from contracts with customers. The majority of the Company’s revenue is derived from licensing arrangements for its software, subscriptions to its cloud services, and implementation and other professional services arrangements. The Company accounts for revenue in accordance with Accounting Standards Codification 606, Revenue from Contracts with Customers (“ASC 606”), which the Company adopted on August 1, 2018.</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products and services that are distinct from the existing contract and are priced commensurate with their standalone selling price are treated as separate contracts, and are accounted for prospectively. Contract 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previously recognized revenue may be adjusted.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 in the contract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or products that will be transferred to the customer that are both:</w:t>
      </w:r>
    </w:p>
    <w:p>
      <w:pPr>
        <w:spacing w:after="0" w:line="171" w:lineRule="exact"/>
        <w:rPr>
          <w:sz w:val="20"/>
          <w:szCs w:val="20"/>
          <w:color w:val="auto"/>
        </w:rPr>
      </w:pPr>
    </w:p>
    <w:p>
      <w:pPr>
        <w:ind w:left="660" w:hanging="328"/>
        <w:spacing w:after="0" w:line="282"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distinct in the context of the contract, whereby the transfer of the services or products is separately identifiable from other promises in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which represent the performance obligations of the Company:</w:t>
      </w:r>
    </w:p>
    <w:p>
      <w:pPr>
        <w:spacing w:after="0" w:line="17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related to the Company’s Software-as-a-Service (“SaaS”) offerings, including hosting;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activities that consist of email and phone support, bug fixes, and unspecified software updates and upgrades released when, and if, available during the support term;</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Self-managed software licenses related to term or perpetual agreements;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the implementation and configuration of the Company’s software, reimbursable travel, and training.</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Subscriptions are typically sold with a three- to five-year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transition to subscription services, customers may be under contract for both self-managed licenses and subscription services for a period of time,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Recognition of revenue when, or as, the Company satisfies a performance obligation</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principally responsible for the satisfaction of its distinct performance obligations, which are satisfied either at a point in time or over a period of time.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at a point in time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Self-managed software licenses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over a period of time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Subscriptions, support activities, and professional service arrangements comprise the majority of distinct performance obligations that are satisfied over a period of time.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arrangements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from subscription arrangements is typically billed in advance on an annual basis over the contract period.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Support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support activities associated with self-managed licenses is a stand-ready obligation, which is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professional service arrangements is recognized over the service period as the underlying services are performed.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Contracts with customers are reflected in the consolidated balance sheets as follows:</w:t>
      </w:r>
    </w:p>
    <w:p>
      <w:pPr>
        <w:spacing w:after="0" w:line="171"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represents amounts billed to customers in accordance with contract terms for which payment has not yet been received. It is presented net of the allowance for doubtful accounts and revenue reserves as part of current assets in the consolidated balance sheets.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consolidated balance sheets and the anticipated due date of the underlying receivables.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presented net of the allowance for doubtful accounts, if applicable, in the consolidated balance sheets. Under ASC 606, this balance represents contract assets.</w:t>
      </w:r>
    </w:p>
    <w:p>
      <w:pPr>
        <w:jc w:val="both"/>
        <w:ind w:left="660" w:hanging="328"/>
        <w:spacing w:after="0" w:line="25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include customer acquisition costs, which consist primarily of sales commissions paid to sales personnel and their related payroll taxes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net represents amounts that have been invoiced and for which the Company has the right to bill, but that have not been recognized as revenue because the related products or services have not been transferred to the customer. Deferred revenue that will be realized during the 12-month period following the date of the consolidated balance sheets is recorded as current. The remaining deferred revenue is recorded as non-current. Under ASC 606, this balance represents contract liabilities.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12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costs consists of two components, customer acquisition costs and costs to fulfill a contract.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consolidated statement of operations.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consolidated statement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warranty for its software products and services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Advertising costs are expensed as incurred and amounts incurred were not material during the years ended July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for a specified performance period or specified performance periods, service periods, and in select cases, subject to certain performance conditions (“TSR PSUs”). RSAs, RSUs, PSUs, and TSR PSUs are collectively referred to as “Stock Awards.”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as income tax expense in its consolidated statement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 (Topic 842): Leases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1, 2019, the Company adopted ASC 842 using the modified retrospective transition approach by applying the new standard to all leases existing at the date of initial application. Results and disclosure requirements for reporting periods beginning after August 1, 2019 are presented under ASC 842, while prior period amounts have not been adjusted and continue to be reported in accordance with our historical accounting under ASC 840, Leases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elected the package of practical expedients permitted under the transition guidance, such that, for any leases that existed prior to August 1, 2019, the Company did not reassess the lease classification, whether contracts are or contain embedded leases, and the capitalization of initial direct costs. The Company also elected to combine lease and non-lease components for all leases and to keep leases with an initial term of 12 months or less off the balance sheet and recognize the associated lease payments in the consolidated statement of operations on a straight-line basis over the lease term.</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Upon adoption, the Company recognized total operating lease assets of $93.0 million, with corresponding lease liabilities of $111.7 million in the consolidated balance sheets. The operating lease assets include adjustments for prepayments and lease incentives. The adoption did not impact opening retained earnings.</w:t>
      </w:r>
    </w:p>
    <w:p>
      <w:pPr>
        <w:spacing w:after="0" w:line="118"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Statement, Reporting Comprehensive Income (Topic 220): Reclassification of Certain Effects from Accumulated Other Comprehensive Income</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2018, the Financial Accounting Standard Board ("FASB") issued ASU No. 2018-02, Income Statement, Reporting Comprehensive Income (Topic 220): Reclassification of Certain Effects from Accumulated Other Comprehensive Income, which allows a reclassification of stranded tax effects from accumulated other comprehensive income to retained earnings, as a result of the Tax Act. On August 1, 2019, the Company adopted this standard, which had an immaterial impact on retained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revenue type and by geography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 ended July 31, 2020</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4"/>
        </w:trPr>
        <w:tc>
          <w:tcPr>
            <w:tcW w:w="56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Subscription and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support</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8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174,183</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149,297</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w:t>
            </w:r>
          </w:p>
        </w:tc>
      </w:tr>
      <w:tr>
        <w:trPr>
          <w:trHeight w:val="237"/>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216,741</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161,672</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540,142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EMEA</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43,988</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89,921</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80,173</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138,445</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63,720</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203,473</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331,554</w:t>
            </w: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 ended July 31, 2019</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4"/>
        </w:trPr>
        <w:tc>
          <w:tcPr>
            <w:tcW w:w="56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Subscription and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support</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8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446,586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w:t>
            </w:r>
          </w:p>
        </w:tc>
      </w:tr>
      <w:tr>
        <w:trPr>
          <w:trHeight w:val="236"/>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212,631</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183,285</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511,673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EMEA</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96,390</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136,386</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38,874</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71,455</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150,474</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320,272</w:t>
            </w: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248,768</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12"/>
        </w:trPr>
        <w:tc>
          <w:tcPr>
            <w:tcW w:w="5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 July 31, 2018</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4"/>
        </w:trPr>
        <w:tc>
          <w:tcPr>
            <w:tcW w:w="12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support</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8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6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409,729</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45,591</w:t>
            </w:r>
          </w:p>
        </w:tc>
      </w:tr>
      <w:tr>
        <w:trPr>
          <w:trHeight w:val="27"/>
        </w:trPr>
        <w:tc>
          <w:tcPr>
            <w:tcW w:w="5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19,154</w:t>
            </w:r>
          </w:p>
        </w:tc>
      </w:tr>
      <w:tr>
        <w:trPr>
          <w:trHeight w:val="237"/>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183,913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205,747</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474,474</w:t>
            </w:r>
          </w:p>
        </w:tc>
      </w:tr>
      <w:tr>
        <w:trPr>
          <w:trHeight w:val="27"/>
        </w:trPr>
        <w:tc>
          <w:tcPr>
            <w:tcW w:w="5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36,653</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EMEA</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75,178</w:t>
            </w:r>
          </w:p>
        </w:tc>
      </w:tr>
      <w:tr>
        <w:trPr>
          <w:trHeight w:val="27"/>
        </w:trPr>
        <w:tc>
          <w:tcPr>
            <w:tcW w:w="5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111,831</w:t>
            </w:r>
          </w:p>
        </w:tc>
      </w:tr>
      <w:tr>
        <w:trPr>
          <w:trHeight w:val="24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66,544</w:t>
            </w:r>
          </w:p>
        </w:tc>
      </w:tr>
      <w:tr>
        <w:trPr>
          <w:trHeight w:val="27"/>
        </w:trPr>
        <w:tc>
          <w:tcPr>
            <w:tcW w:w="5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275,606</w:t>
            </w: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652,849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country other than those listed above accounted for more than 10% of revenue during the years ended July 31, 2020, 2019 and 2018.</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major product or service type is as follows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years ended July 31,</w:t>
            </w:r>
          </w:p>
        </w:tc>
        <w:tc>
          <w:tcPr>
            <w:tcW w:w="1060" w:type="dxa"/>
            <w:vAlign w:val="bottom"/>
          </w:tcPr>
          <w:p>
            <w:pPr>
              <w:spacing w:after="0"/>
              <w:rPr>
                <w:sz w:val="24"/>
                <w:szCs w:val="24"/>
                <w:color w:val="auto"/>
              </w:rPr>
            </w:pPr>
          </w:p>
        </w:tc>
      </w:tr>
      <w:tr>
        <w:trPr>
          <w:trHeight w:val="27"/>
        </w:trPr>
        <w:tc>
          <w:tcPr>
            <w:tcW w:w="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8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28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5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33,401</w:t>
            </w:r>
          </w:p>
        </w:tc>
      </w:tr>
      <w:tr>
        <w:trPr>
          <w:trHeight w:val="27"/>
        </w:trPr>
        <w:tc>
          <w:tcPr>
            <w:tcW w:w="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Support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85,424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77,337</w:t>
            </w:r>
          </w:p>
        </w:tc>
      </w:tr>
      <w:tr>
        <w:trPr>
          <w:trHeight w:val="243"/>
        </w:trPr>
        <w:tc>
          <w:tcPr>
            <w:tcW w:w="280" w:type="dxa"/>
            <w:vAlign w:val="bottom"/>
          </w:tcPr>
          <w:p>
            <w:pPr>
              <w:spacing w:after="0"/>
              <w:rPr>
                <w:sz w:val="21"/>
                <w:szCs w:val="21"/>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 license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318,142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263,793</w:t>
            </w:r>
          </w:p>
        </w:tc>
      </w:tr>
      <w:tr>
        <w:trPr>
          <w:trHeight w:val="243"/>
        </w:trPr>
        <w:tc>
          <w:tcPr>
            <w:tcW w:w="280" w:type="dxa"/>
            <w:vAlign w:val="bottom"/>
          </w:tcPr>
          <w:p>
            <w:pPr>
              <w:spacing w:after="0"/>
              <w:rPr>
                <w:sz w:val="21"/>
                <w:szCs w:val="21"/>
                <w:color w:val="auto"/>
              </w:rPr>
            </w:pPr>
          </w:p>
        </w:tc>
        <w:tc>
          <w:tcPr>
            <w:tcW w:w="5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Perpetual license</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11,813</w:t>
            </w:r>
          </w:p>
        </w:tc>
      </w:tr>
      <w:tr>
        <w:trPr>
          <w:trHeight w:val="27"/>
        </w:trPr>
        <w:tc>
          <w:tcPr>
            <w:tcW w:w="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8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248,768</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266,505</w:t>
            </w:r>
          </w:p>
        </w:tc>
      </w:tr>
      <w:tr>
        <w:trPr>
          <w:trHeight w:val="264"/>
        </w:trPr>
        <w:tc>
          <w:tcPr>
            <w:tcW w:w="280" w:type="dxa"/>
            <w:vAlign w:val="bottom"/>
          </w:tcPr>
          <w:p>
            <w:pPr>
              <w:spacing w:after="0"/>
              <w:rPr>
                <w:sz w:val="22"/>
                <w:szCs w:val="22"/>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742,307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719,514</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652,849</w:t>
            </w:r>
          </w:p>
        </w:tc>
      </w:tr>
      <w:tr>
        <w:trPr>
          <w:trHeight w:val="20"/>
        </w:trPr>
        <w:tc>
          <w:tcPr>
            <w:tcW w:w="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 - Related Balance Sheet Amounts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on the consolidated balance sheets as follows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43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 2019</w:t>
            </w:r>
          </w:p>
        </w:tc>
      </w:tr>
      <w:tr>
        <w:trPr>
          <w:trHeight w:val="27"/>
        </w:trPr>
        <w:tc>
          <w:tcPr>
            <w:tcW w:w="4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43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84,228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46,103</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costs, net</w:t>
            </w:r>
          </w:p>
        </w:tc>
        <w:tc>
          <w:tcPr>
            <w:tcW w:w="4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34,809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30,390</w:t>
            </w:r>
          </w:p>
        </w:tc>
      </w:tr>
      <w:tr>
        <w:trPr>
          <w:trHeight w:val="27"/>
        </w:trPr>
        <w:tc>
          <w:tcPr>
            <w:tcW w:w="4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w:t>
            </w:r>
          </w:p>
        </w:tc>
        <w:tc>
          <w:tcPr>
            <w:tcW w:w="4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132,996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131,831</w:t>
            </w:r>
          </w:p>
        </w:tc>
      </w:tr>
      <w:tr>
        <w:trPr>
          <w:trHeight w:val="27"/>
        </w:trPr>
        <w:tc>
          <w:tcPr>
            <w:tcW w:w="494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Unbilled accounts receivable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year ended July 31, 2020, the Company entered into new term licenses and multi-year term license renewals with committed terms ranging from two to five years that resulted in approximately $30.3 million of unbilled accounts receivable as of July 31, 2020. During the fiscal year ended July 31, 2019, the Company entered into a ten-year term license that resulted in $8.5 million of unbilled accounts receivable as of July 31, 2020 and accounted for more than 10% of unbilled accounts receivable as of July 31, 2020 and July 31, 2019.</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2020 and 2019, there was no allowance for doubtful accounts associated with unbilled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current portion of contract costs of $9.6 million and $7.0 million is included in prepaid and other current assets on the Company’s consolidated balance sheets as of July 31, 2020 and 2019, respectively. The non-current portion of contract costs of $25.2 million and $23.4 million is included in other assets on the Company’s consolidated balance sheets as of July 31, 2020 and 2019. The Company amortized $9.9 million and $5.5 million of contract costs during the fiscal year ended July 31, 2020 and 2019, respectively.</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July 31, 2020, the Company recognized revenue of $102.7 million related to the Company’s deferred revenue balance reported as of July 31, 2019.</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allocated to performance obligations either not satisfied or partially satisfied, also known as remaining performance obligations, was $587.9 million as of July 31, 2020.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amount as these arrangements can be cancelled at any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1,353,632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1,357,945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8"/>
        </w:trPr>
        <w:tc>
          <w:tcPr>
            <w:tcW w:w="20" w:type="dxa"/>
            <w:vAlign w:val="bottom"/>
          </w:tcPr>
          <w:p>
            <w:pPr>
              <w:spacing w:after="0"/>
              <w:rPr>
                <w:sz w:val="21"/>
                <w:szCs w:val="21"/>
                <w:color w:val="auto"/>
              </w:rPr>
            </w:pPr>
          </w:p>
        </w:tc>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667,588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1,258,361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1,259,902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39"/>
        </w:trPr>
        <w:tc>
          <w:tcPr>
            <w:tcW w:w="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investments with unrealized losses, aggregated by investment category and the length of time that individual securities have been in an unrealized loss position (in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2"/>
                <w:szCs w:val="12"/>
                <w:color w:val="auto"/>
              </w:rPr>
            </w:pPr>
          </w:p>
        </w:tc>
        <w:tc>
          <w:tcPr>
            <w:tcW w:w="9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34,195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1"/>
                <w:szCs w:val="21"/>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July 31, 2020, the Company had 21 investments in a gross unrealized loss position. The unrealized losses on its available-for-sale securities were primarily a result of unfavorable changes in interest rates subsequent to the initial purchase of these securities. The Company neither intends to sell, nor does it believe it will need to sell, these securities before recovering the associated unrealized losses. The Company does not consider any portion of the unrealized losses at July 31, 2020 to be other-than-temporarily impaired, nor are any unrealized losses considered to be credit losses. The Company has recorded the securities at fair value in its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12 to 36 Months</w:t>
            </w:r>
          </w:p>
        </w:tc>
        <w:tc>
          <w:tcPr>
            <w:tcW w:w="360" w:type="dxa"/>
            <w:vAlign w:val="bottom"/>
          </w:tcPr>
          <w:p>
            <w:pPr>
              <w:spacing w:after="0"/>
              <w:rPr>
                <w:sz w:val="17"/>
                <w:szCs w:val="17"/>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242,274</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478,056</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68,808</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r>
      <w:tr>
        <w:trPr>
          <w:trHeight w:val="26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1,357,945</w:t>
            </w: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applies the three-level valuation hierarchy when measuring certain assets and liabilities: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1—Unadjusted quoted prices in active markets for identical assets or liabilities;</w:t>
      </w:r>
    </w:p>
    <w:p>
      <w:pPr>
        <w:spacing w:after="0" w:line="104"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which require the Company to develop its own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2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by level within the fair value hierarchy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60,584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231,063</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291,647</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110,089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161,994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358,175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63,773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25,448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47,048</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766,527</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132,185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119,881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5,035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33,422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9,248</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299,771</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1,357,945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 S. Government bonds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0" w:type="dxa"/>
            <w:vAlign w:val="bottom"/>
          </w:tcPr>
          <w:p>
            <w:pPr>
              <w:spacing w:after="0"/>
              <w:rPr>
                <w:sz w:val="23"/>
                <w:szCs w:val="23"/>
                <w:color w:val="auto"/>
              </w:rPr>
            </w:pPr>
          </w:p>
        </w:tc>
      </w:tr>
      <w:tr>
        <w:trPr>
          <w:trHeight w:val="236"/>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870,136</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Pr>
          <w:p>
            <w:pPr>
              <w:spacing w:after="0"/>
              <w:rPr>
                <w:sz w:val="23"/>
                <w:szCs w:val="23"/>
                <w:color w:val="auto"/>
              </w:rPr>
            </w:pPr>
          </w:p>
        </w:tc>
      </w:tr>
      <w:tr>
        <w:trPr>
          <w:trHeight w:val="236"/>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213,524</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1,144,190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1,259,902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debt - strategic investment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2020, the Company invested $1.0 million in a technology company by participating in its convertible debt financing round. The Company estimates the fair value of this strategic investment to be $1.0 million as of July 31, 2020 based on assumptions of the expected return on the investment (Level 3). The strategic investment is included in long-term investments on the consolidated balance sheet.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Senior Notes was $480.0 million and $454.1 million at July 31, 2020 and 2019, respectively.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debt discount and issuance costs on its consolidated balance sheets. For further information on the Convertible Senior Notes,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Net</w:t>
      </w: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net consist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revenue reserves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 and Revenue Reserves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Changes to the allowance for doubtful accounts and revenue reserves consists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July 31, 2019</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Charges to bad debt and revenue reserves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Write-offs, net</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Allowance, July 31, 2020</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July 31, 2020 and 2019, no property and equipment was pledged as collateral. Depreciation expense, excluding the amortization of software development costs, was $14.5 million, $9.7 million, and $7.7 million for the fiscal years ended July 31,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capitalizes software development costs for technology applications that the Company will offer solely as cloud-based subscription service,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approximately $1.4 million, $1.0 million, and $0.4 million in amortization expense in cost of revenue - subscription and support on the accompanying consolidated statements of operations during the fiscal years ended July 31, 2020, 2019, and 2018 respectively.</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change to the carrying amount of goodwill of $340.9 million for fiscal years ending July 31, 2020, 2019, and 2018 respectively.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intangible assets are amortized over their estimated useful lives. Intangible assets consist of the following (in thousands):</w:t>
      </w:r>
    </w:p>
    <w:p>
      <w:pPr>
        <w:spacing w:after="0" w:line="151"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226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 Life (in</w:t>
            </w:r>
          </w:p>
        </w:tc>
        <w:tc>
          <w:tcPr>
            <w:tcW w:w="20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technology</w:t>
            </w:r>
          </w:p>
        </w:tc>
        <w:tc>
          <w:tcPr>
            <w:tcW w:w="17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0" w:type="dxa"/>
            <w:vAlign w:val="bottom"/>
          </w:tcPr>
          <w:p>
            <w:pPr>
              <w:spacing w:after="0"/>
              <w:rPr>
                <w:sz w:val="1"/>
                <w:szCs w:val="1"/>
                <w:color w:val="auto"/>
              </w:rPr>
            </w:pPr>
          </w:p>
        </w:tc>
      </w:tr>
      <w:tr>
        <w:trPr>
          <w:trHeight w:val="225"/>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contracts and</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relationships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Partner relationships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Order backlog</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64"/>
        </w:trPr>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was $26.8 million, $29.1 million, and $27.5 million during the years ended July 31, 2020, 2019, and 2018, respectively. The future amortization expense for existing intangible assets as of July 31, 2020, based on their current useful lives,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77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investments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other assets include strategic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In the fourth fiscal quarter of 2020, the Company invested in two new strategic investments in the amount of $1.2 million. In the third fiscal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2020, the Company recognized an impairment charge related to one of its strategic investments of $10.7 million primarily due to liquidity constraints in the current economic environment.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Employee Compensation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employee compensation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80" w:type="dxa"/>
            <w:vAlign w:val="bottom"/>
          </w:tcPr>
          <w:p>
            <w:pPr>
              <w:spacing w:after="0"/>
              <w:rPr>
                <w:sz w:val="16"/>
                <w:szCs w:val="16"/>
                <w:color w:val="auto"/>
              </w:rPr>
            </w:pP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payroll taxes and benefits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80" w:type="dxa"/>
            <w:vAlign w:val="bottom"/>
          </w:tcPr>
          <w:p>
            <w:pPr>
              <w:spacing w:after="0"/>
              <w:rPr>
                <w:sz w:val="24"/>
                <w:szCs w:val="24"/>
                <w:color w:val="auto"/>
              </w:rPr>
            </w:pP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49"/>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(Loss) per Share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spacing w:after="0" w:line="2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diluted net income per share, if applicable. The conversion spread will have a dilutive impact on net income (loss) per share of common stock when the average market price of the Company’s common stock for a given period exceeds the conversion price of $113.75 per share for the Convertible Senior Notes. During the fiscal years ended July 31, 2020, 2019, and 2018, the Company’s weighted average common stock price was below the conversion price of the Convertible Senior Notes.</w:t>
      </w:r>
    </w:p>
    <w:p>
      <w:pPr>
        <w:spacing w:after="0" w:line="5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years ended July 31, 2020, 2019 and 2018 (in thousands, except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82,855,392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81,447,998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77,709,592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effect of diluted stock options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Weighted average effect of diluted stock awards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82,855,392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82,681,214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77,709,592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3"/>
        </w:trPr>
        <w:tc>
          <w:tcPr>
            <w:tcW w:w="6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following weighted shares outstanding of potential common stock were excluded from the computation of diluted income (loss) per share for the periods presented because including them would have been antidilutive: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460" w:type="dxa"/>
            <w:vAlign w:val="bottom"/>
            <w:tcBorders>
              <w:bottom w:val="single" w:sz="8" w:color="auto"/>
            </w:tcBorders>
          </w:tcPr>
          <w:p>
            <w:pPr>
              <w:spacing w:after="0"/>
              <w:rPr>
                <w:sz w:val="16"/>
                <w:szCs w:val="16"/>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597,476</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1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3,161,157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Senior Notes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0"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Convertible Senior Notes are unsecured obligations of the Company and interest is payable semi-annually in arrears at a rate of 1.25% per year, on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September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beginning on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net carrying value of the liability component, unamortized debt discount and unamortized debt issuance costs of the Convertible Senior Notes was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3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31, 2019</w:t>
            </w:r>
          </w:p>
        </w:tc>
      </w:tr>
      <w:tr>
        <w:trPr>
          <w:trHeight w:val="34"/>
        </w:trPr>
        <w:tc>
          <w:tcPr>
            <w:tcW w:w="7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discount</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62,508</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4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7,284</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40" w:type="dxa"/>
            <w:vAlign w:val="bottom"/>
          </w:tcPr>
          <w:p>
            <w:pPr>
              <w:spacing w:after="0"/>
              <w:rPr>
                <w:sz w:val="23"/>
                <w:szCs w:val="23"/>
                <w:color w:val="auto"/>
              </w:rPr>
            </w:pPr>
          </w:p>
        </w:tc>
      </w:tr>
      <w:tr>
        <w:trPr>
          <w:trHeight w:val="26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330,208</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317,322</w:t>
            </w:r>
          </w:p>
        </w:tc>
        <w:tc>
          <w:tcPr>
            <w:tcW w:w="40" w:type="dxa"/>
            <w:vAlign w:val="bottom"/>
          </w:tcPr>
          <w:p>
            <w:pPr>
              <w:spacing w:after="0"/>
              <w:rPr>
                <w:sz w:val="22"/>
                <w:szCs w:val="22"/>
                <w:color w:val="auto"/>
              </w:rPr>
            </w:pP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2"/>
        </w:trPr>
        <w:tc>
          <w:tcPr>
            <w:tcW w:w="7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effective interest rate of the liability is 5.53%. The following table sets forth the interest expense recognized related to the Convertible Senior Notes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6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years ended July 31,</w:t>
            </w:r>
          </w:p>
        </w:tc>
        <w:tc>
          <w:tcPr>
            <w:tcW w:w="122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62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11,705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7"/>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63"/>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17,886</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17,194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1"/>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as a reduction of the Company’s additional paid-in capital in the accompanying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and equipment, with lease periods expiring between fiscal years 2021 and 2032. Some leases include one or more options to renew. Lease renewals are not assumed in the determination of the lease term until the exercise of the renewal option is deemed to be reasonably certain.</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Components of operating lease costs were as follows (in thousands):</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operating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Fiscal year ended July</w:t>
      </w:r>
    </w:p>
    <w:p>
      <w:pPr>
        <w:spacing w:after="0" w:line="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31, 2020</w:t>
      </w:r>
    </w:p>
    <w:p>
      <w:pPr>
        <w:spacing w:after="0" w:line="72" w:lineRule="exact"/>
        <w:rPr>
          <w:sz w:val="20"/>
          <w:szCs w:val="20"/>
          <w:color w:val="auto"/>
        </w:rPr>
      </w:pPr>
    </w:p>
    <w:p>
      <w:pPr>
        <w:ind w:left="1387" w:hanging="1387"/>
        <w:spacing w:after="0"/>
        <w:tabs>
          <w:tab w:leader="none" w:pos="13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15,275</w:t>
      </w:r>
    </w:p>
    <w:p>
      <w:pPr>
        <w:spacing w:after="0" w:line="63"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2604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57" w:lineRule="exact"/>
        <w:rPr>
          <w:sz w:val="20"/>
          <w:szCs w:val="20"/>
          <w:color w:val="auto"/>
        </w:rPr>
      </w:pPr>
    </w:p>
    <w:p>
      <w:pPr>
        <w:ind w:left="1387" w:hanging="1387"/>
        <w:spacing w:after="0"/>
        <w:tabs>
          <w:tab w:leader="none" w:pos="13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2604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53" w:space="720"/>
            <w:col w:w="1967"/>
          </w:cols>
          <w:pgMar w:left="320" w:top="121" w:right="339" w:bottom="1440" w:gutter="0" w:footer="0" w:header="0"/>
          <w:type w:val="continuous"/>
        </w:sectPr>
      </w:pPr>
    </w:p>
    <w:p>
      <w:pPr>
        <w:spacing w:after="0" w:line="12" w:lineRule="exact"/>
        <w:rPr>
          <w:sz w:val="20"/>
          <w:szCs w:val="20"/>
          <w:color w:val="auto"/>
        </w:rPr>
      </w:pPr>
    </w:p>
    <w:p>
      <w:pPr>
        <w:ind w:firstLine="8"/>
        <w:spacing w:after="0"/>
        <w:tabs>
          <w:tab w:leader="none" w:pos="165"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Lease expense for leases with an initial term of 12 months or less is excluded from the table above and was $0.9 million for the fiscal year ended July 31, 2020.</w:t>
      </w:r>
    </w:p>
    <w:p>
      <w:pPr>
        <w:spacing w:after="0" w:line="200" w:lineRule="exact"/>
        <w:rPr>
          <w:sz w:val="20"/>
          <w:szCs w:val="20"/>
          <w:color w:val="auto"/>
        </w:rPr>
      </w:pPr>
    </w:p>
    <w:p>
      <w:pPr>
        <w:spacing w:after="0" w:line="24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Lease expense for all worldwide facilities and equipment based on the previous lease accounting standards, which was recognized on a straight-line basis over the terms of the various leases, was $15.5 million and $8.7 million for the fiscal years ended July 31, 2019 and 2018, respectively.</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operating lease payments as of July 31,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8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r>
      <w:tr>
        <w:trPr>
          <w:trHeight w:val="243"/>
        </w:trPr>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854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8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r>
      <w:tr>
        <w:trPr>
          <w:trHeight w:val="243"/>
        </w:trPr>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854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w:t>
            </w: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2025</w:t>
            </w:r>
          </w:p>
        </w:tc>
        <w:tc>
          <w:tcPr>
            <w:tcW w:w="8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r>
      <w:tr>
        <w:trPr>
          <w:trHeight w:val="243"/>
        </w:trPr>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78,886</w:t>
            </w:r>
          </w:p>
        </w:tc>
      </w:tr>
      <w:tr>
        <w:trPr>
          <w:trHeight w:val="27"/>
        </w:trPr>
        <w:tc>
          <w:tcPr>
            <w:tcW w:w="9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9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w:t>
            </w:r>
          </w:p>
        </w:tc>
      </w:tr>
      <w:tr>
        <w:trPr>
          <w:trHeight w:val="243"/>
        </w:trPr>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w:t>
            </w:r>
          </w:p>
        </w:tc>
      </w:tr>
      <w:tr>
        <w:trPr>
          <w:trHeight w:val="27"/>
        </w:trPr>
        <w:tc>
          <w:tcPr>
            <w:tcW w:w="9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w:t>
            </w:r>
          </w:p>
        </w:tc>
      </w:tr>
      <w:tr>
        <w:trPr>
          <w:trHeight w:val="20"/>
        </w:trPr>
        <w:tc>
          <w:tcPr>
            <w:tcW w:w="12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early March 2020, the Company entered into an operating lease for office space in Mississauga, Canada with lease obligations of approximately $10.8 million payable over a period of 10 years. This operating lease will commence upon taking control of the facility, which is anticipated to be in the first quarter of fiscal year 2021.</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 except for lease term and discount rate):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103,797</w:t>
            </w: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10,936</w:t>
            </w:r>
          </w:p>
        </w:tc>
        <w:tc>
          <w:tcPr>
            <w:tcW w:w="0" w:type="dxa"/>
            <w:vAlign w:val="bottom"/>
          </w:tcPr>
          <w:p>
            <w:pPr>
              <w:spacing w:after="0"/>
              <w:rPr>
                <w:sz w:val="1"/>
                <w:szCs w:val="1"/>
                <w:color w:val="auto"/>
              </w:rPr>
            </w:pPr>
          </w:p>
        </w:tc>
      </w:tr>
      <w:tr>
        <w:trPr>
          <w:trHeight w:val="243"/>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119,408</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130,344</w:t>
            </w: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43"/>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486"/>
        </w:trPr>
        <w:tc>
          <w:tcPr>
            <w:tcW w:w="9080" w:type="dxa"/>
            <w:vAlign w:val="bottom"/>
            <w:gridSpan w:val="13"/>
          </w:tcPr>
          <w:p>
            <w:pPr>
              <w:ind w:left="420"/>
              <w:spacing w:after="0"/>
              <w:rPr>
                <w:sz w:val="20"/>
                <w:szCs w:val="20"/>
                <w:color w:val="auto"/>
              </w:rPr>
            </w:pPr>
            <w:r>
              <w:rPr>
                <w:rFonts w:ascii="Times New Roman" w:cs="Times New Roman" w:eastAsia="Times New Roman" w:hAnsi="Times New Roman"/>
                <w:sz w:val="18"/>
                <w:szCs w:val="18"/>
                <w:color w:val="auto"/>
              </w:rPr>
              <w:t>Supplemental cash and non-cash information related to operating leases was as follows (in thousands):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Fiscal Year ended July</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7"/>
        </w:trPr>
        <w:tc>
          <w:tcPr>
            <w:tcW w:w="4060" w:type="dxa"/>
            <w:vAlign w:val="bottom"/>
            <w:gridSpan w:val="3"/>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23,032</w:t>
            </w:r>
          </w:p>
        </w:tc>
        <w:tc>
          <w:tcPr>
            <w:tcW w:w="0" w:type="dxa"/>
            <w:vAlign w:val="bottom"/>
          </w:tcPr>
          <w:p>
            <w:pPr>
              <w:spacing w:after="0"/>
              <w:rPr>
                <w:sz w:val="1"/>
                <w:szCs w:val="1"/>
                <w:color w:val="auto"/>
              </w:rPr>
            </w:pPr>
          </w:p>
        </w:tc>
      </w:tr>
      <w:tr>
        <w:trPr>
          <w:trHeight w:val="45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80" w:type="dxa"/>
            <w:vAlign w:val="bottom"/>
            <w:gridSpan w:val="13"/>
          </w:tcPr>
          <w:p>
            <w:pPr>
              <w:ind w:left="420"/>
              <w:spacing w:after="0"/>
              <w:rPr>
                <w:sz w:val="20"/>
                <w:szCs w:val="20"/>
                <w:color w:val="auto"/>
              </w:rPr>
            </w:pPr>
            <w:r>
              <w:rPr>
                <w:rFonts w:ascii="Times New Roman" w:cs="Times New Roman" w:eastAsia="Times New Roman" w:hAnsi="Times New Roman"/>
                <w:sz w:val="18"/>
                <w:szCs w:val="18"/>
                <w:color w:val="auto"/>
              </w:rPr>
              <w:t>The Company’s contractual obligations and commitments as of July 31, 2020 are as follows (in thousands):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Lease Obligations </w:t>
            </w:r>
            <w:r>
              <w:rPr>
                <w:rFonts w:ascii="Times New Roman" w:cs="Times New Roman" w:eastAsia="Times New Roman" w:hAnsi="Times New Roman"/>
                <w:sz w:val="9"/>
                <w:szCs w:val="9"/>
                <w:b w:val="1"/>
                <w:bCs w:val="1"/>
                <w:color w:val="auto"/>
              </w:rPr>
              <w:t>(1)</w:t>
            </w: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Royalty Obligations </w:t>
            </w:r>
            <w:r>
              <w:rPr>
                <w:rFonts w:ascii="Times New Roman" w:cs="Times New Roman" w:eastAsia="Times New Roman" w:hAnsi="Times New Roman"/>
                <w:sz w:val="9"/>
                <w:szCs w:val="9"/>
                <w:b w:val="1"/>
                <w:bCs w:val="1"/>
                <w:color w:val="auto"/>
              </w:rPr>
              <w:t>(2)</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Commitments</w:t>
            </w:r>
          </w:p>
        </w:tc>
        <w:tc>
          <w:tcPr>
            <w:tcW w:w="160" w:type="dxa"/>
            <w:vAlign w:val="bottom"/>
          </w:tcPr>
          <w:p>
            <w:pPr>
              <w:spacing w:after="0"/>
              <w:rPr>
                <w:sz w:val="21"/>
                <w:szCs w:val="21"/>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Long-Term Debt </w:t>
            </w:r>
            <w:r>
              <w:rPr>
                <w:rFonts w:ascii="Times New Roman" w:cs="Times New Roman" w:eastAsia="Times New Roman" w:hAnsi="Times New Roman"/>
                <w:sz w:val="9"/>
                <w:szCs w:val="9"/>
                <w:b w:val="1"/>
                <w:bCs w:val="1"/>
                <w:color w:val="auto"/>
              </w:rPr>
              <w:t>(4)</w:t>
            </w:r>
          </w:p>
        </w:tc>
        <w:tc>
          <w:tcPr>
            <w:tcW w:w="200" w:type="dxa"/>
            <w:vAlign w:val="bottom"/>
          </w:tcPr>
          <w:p>
            <w:pPr>
              <w:spacing w:after="0"/>
              <w:rPr>
                <w:sz w:val="21"/>
                <w:szCs w:val="21"/>
                <w:color w:val="auto"/>
              </w:rPr>
            </w:pPr>
          </w:p>
        </w:tc>
        <w:tc>
          <w:tcPr>
            <w:tcW w:w="1960" w:type="dxa"/>
            <w:vAlign w:val="bottom"/>
            <w:gridSpan w:val="4"/>
            <w:vMerge w:val="restart"/>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jc w:val="right"/>
              <w:ind w:right="635"/>
              <w:spacing w:after="0"/>
              <w:rPr>
                <w:sz w:val="20"/>
                <w:szCs w:val="20"/>
                <w:color w:val="auto"/>
              </w:rPr>
            </w:pPr>
            <w:r>
              <w:rPr>
                <w:rFonts w:ascii="Times New Roman" w:cs="Times New Roman" w:eastAsia="Times New Roman" w:hAnsi="Times New Roman"/>
                <w:sz w:val="9"/>
                <w:szCs w:val="9"/>
                <w:b w:val="1"/>
                <w:bCs w:val="1"/>
                <w:color w:val="auto"/>
              </w:rPr>
              <w:t>(3)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July 31,</w:t>
            </w:r>
          </w:p>
        </w:tc>
        <w:tc>
          <w:tcPr>
            <w:tcW w:w="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90,909</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51,905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423,573</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78,886</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105,995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696,863</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13"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Lease obligations primarily represent payments required under the Company’s non-cancellable lease agreements for the Company’s corporate headquarters and worldwide offices through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Royalty obligations primarily represent the Company’s obligations under non-cancellable agreements related to software used in certain revenue-generating agreements.</w:t>
      </w:r>
    </w:p>
    <w:p>
      <w:pPr>
        <w:spacing w:after="0" w:line="379"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commitments consist of commitments to purchase goods and services, entered into in the ordinary course of business, for which a penalty could be imposed if the agreement was canceled for any reason other than an event of default as described by the agreement.</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Long-term debt consists of principal and interest payments on the Company’s Convertible Senior Notes. The $400 million in principal will be due in March 2025.</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Accordingly, the Company has not recorded any accrual for claims as of July 31, 2020 and 2019. The Company expenses legal fees in the period in which they are incurred.</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24, 2020, one of the Company’s stockholders filed a putative securities class action complaint in the United States District Court for the Northern District of California, against the Company and certain of its current or former officers and directors. The complaint alleges violations of Sections 10(b) and 20(a) of the Exchange Act and SEC Rule 10b-5 and seeks unspecified compensatory damages, interest, and attorneys’ fees and costs Defendants’ time to respond has been extended by agreement of the parties until the court has appointed lead counsel and lead plaintiff and an operative complaint has been identified. The deadline for filing a request to be appointed lead counsel is September 23, 2020. The Company disputes the claims and intends to defend the lawsuit vigorously.</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Software License Agreements (“SLA”) and Software Subscription Agreements (“SSA”). Our contracts generally include provisions for indemnifying customers against liabilities if our license and services infringe a third-party’s intellectual property rights. We may also incur liabilities if we breach our security obligations in our contracts.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July 31, 2020 and 2019.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 and Shareholders’ Equity</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September 14, 2011, the Company’s Board of Directors adopted the 2011 Stock Plan (“2011 Plan”) for the purpose of granting equity-based incentive awards as compensation tools to motivate the Company’s workforce. The Company had initially reserved 7,500,000 shares of its common stock for the issuance of awards under the 2011 Plan. The 2011 Plan provides that the number of shares reserved and available for issuance under the plan may be increased each January 1, beginning on January 1, 2013, by up to 5% of the outstanding number of shares of the Company’s common stock on the immediately preceding December 31. The Company elected not to increase the number of shares of common stock available for grant under this plan for the calendar year ended December 31, 2019. The shares available for issuance is subject to adjustment in the event of a stock split, stock dividend or other defined changes in the Company’s capitalization.</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options and Stock Awards is included in the Company’s consolidated statements of operations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102,191</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89,176</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101,817</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was included in the following categories: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license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w:t>
            </w: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18,387</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w:t>
            </w:r>
          </w:p>
        </w:tc>
      </w:tr>
      <w:tr>
        <w:trPr>
          <w:trHeight w:val="237"/>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101,817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89,614</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w:t>
            </w:r>
          </w:p>
        </w:tc>
      </w:tr>
      <w:tr>
        <w:trPr>
          <w:trHeight w:val="263"/>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73,457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65,133</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unrecognized stock-based compensation expense as of July 31, 2020 related to stock options and Stock Awards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2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Expected Recognition</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205,911</w:t>
            </w:r>
          </w:p>
        </w:tc>
        <w:tc>
          <w:tcPr>
            <w:tcW w:w="1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Stock Awards activity under the Company’s equity incentive plans is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 Outstanding</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5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400" w:type="dxa"/>
            <w:vAlign w:val="bottom"/>
          </w:tcPr>
          <w:p>
            <w:pPr>
              <w:jc w:val="center"/>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2,634,085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190,076</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103,957</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252,752</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133,050</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2,384,673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243,427</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(1,217,337)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121,915</w:t>
            </w:r>
          </w:p>
        </w:tc>
        <w:tc>
          <w:tcPr>
            <w:tcW w:w="0" w:type="dxa"/>
            <w:vAlign w:val="bottom"/>
          </w:tcPr>
          <w:p>
            <w:pPr>
              <w:spacing w:after="0"/>
              <w:rPr>
                <w:sz w:val="1"/>
                <w:szCs w:val="1"/>
                <w:color w:val="auto"/>
              </w:rPr>
            </w:pPr>
          </w:p>
        </w:tc>
      </w:tr>
      <w:tr>
        <w:trPr>
          <w:trHeight w:val="243"/>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287,761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to vest as of July 31, 2020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2,445,698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287,761</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31" w:lineRule="auto"/>
        <w:tabs>
          <w:tab w:leader="none" w:pos="292"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Aggregate intrinsic value at each fiscal year end represents the total market value of Stock Awards at the Company’s closing stock price of $117.66, $102.08, and $86.20 on July 31, 2020, 2019, and 2018, respectively. Aggregate intrinsic value for released Stock Awards represents the total market value of released Stock Awards at date of release.</w:t>
      </w:r>
    </w:p>
    <w:p>
      <w:pPr>
        <w:spacing w:after="0" w:line="3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executives and employees of the Company received PSUs and TSR PSUs in addition to RSUs. The PSUs included performance-based conditions and generally vest over a four-year period. The TSR PSUs are subject to total shareholder return rankings of the Company’s common stock relative to the software companies in the S&amp;P Index for a specified period or periods, and vest at the end of three years. In select cases, certain TSR PSUs are also subject to performance-based conditions.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of $13.1 million, $19.1 million, and $9.4 million related to these performance-based and market-based stock awards in fiscal years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5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220" w:type="dxa"/>
            <w:vAlign w:val="bottom"/>
          </w:tcPr>
          <w:p>
            <w:pPr>
              <w:spacing w:after="0"/>
              <w:rPr>
                <w:sz w:val="15"/>
                <w:szCs w:val="15"/>
                <w:color w:val="auto"/>
              </w:rPr>
            </w:pPr>
          </w:p>
        </w:tc>
        <w:tc>
          <w:tcPr>
            <w:tcW w:w="12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5"/>
                <w:szCs w:val="15"/>
                <w:color w:val="auto"/>
              </w:rPr>
            </w:pP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1"/>
                <w:szCs w:val="11"/>
                <w:color w:val="auto"/>
              </w:rPr>
            </w:pPr>
          </w:p>
        </w:tc>
        <w:tc>
          <w:tcPr>
            <w:tcW w:w="154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2017</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555,636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27,777</w:t>
            </w:r>
          </w:p>
        </w:tc>
        <w:tc>
          <w:tcPr>
            <w:tcW w:w="0" w:type="dxa"/>
            <w:vAlign w:val="bottom"/>
          </w:tcPr>
          <w:p>
            <w:pPr>
              <w:spacing w:after="0"/>
              <w:rPr>
                <w:sz w:val="1"/>
                <w:szCs w:val="1"/>
                <w:color w:val="auto"/>
              </w:rPr>
            </w:pPr>
          </w:p>
        </w:tc>
      </w:tr>
      <w:tr>
        <w:trPr>
          <w:trHeight w:val="27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137,057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10.23</w:t>
            </w: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13.32</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40.05</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2018</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537,064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34,774</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13.11</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24,731</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216,727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14,733</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37.37</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July 31, 2020</w:t>
            </w:r>
          </w:p>
        </w:tc>
        <w:tc>
          <w:tcPr>
            <w:tcW w:w="1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80,332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July 31, 2020</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69,849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340" w:hanging="332"/>
        <w:spacing w:after="0" w:line="221"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Aggregate intrinsic value at each fiscal year end represents the difference between the Company’s closing stock price of $117.66, $102.08, and $86.20 on July 31, 2020, 2019, and 2018, respectively, and the exercise price of the option. Aggregate intrinsic value for exercised options represents the difference between the Company’s stock price at date of exercise and the exercise price.</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1" w:lineRule="auto"/>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options assumed through the Cyence acquisition on November 1, 2017.</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Awards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TSR PSUs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TSR PSUs were estimated at the grant date using a Monte Carlo simulation model which included the following assumptions: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540" w:type="dxa"/>
            <w:vAlign w:val="bottom"/>
            <w:tcBorders>
              <w:bottom w:val="single" w:sz="8" w:color="auto"/>
            </w:tcBorders>
          </w:tcPr>
          <w:p>
            <w:pPr>
              <w:spacing w:after="0"/>
              <w:rPr>
                <w:sz w:val="16"/>
                <w:szCs w:val="16"/>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w:t>
            </w:r>
          </w:p>
        </w:tc>
        <w:tc>
          <w:tcPr>
            <w:tcW w:w="16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2.88</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w:t>
            </w:r>
          </w:p>
        </w:tc>
        <w:tc>
          <w:tcPr>
            <w:tcW w:w="16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2.79%</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1.44%</w:t>
            </w:r>
          </w:p>
        </w:tc>
      </w:tr>
      <w:tr>
        <w:trPr>
          <w:trHeight w:val="27"/>
        </w:trPr>
        <w:tc>
          <w:tcPr>
            <w:tcW w:w="6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the Company</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16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volatility of the peer companies in the S&amp;P Index</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16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r>
      <w:tr>
        <w:trPr>
          <w:trHeight w:val="27"/>
        </w:trPr>
        <w:tc>
          <w:tcPr>
            <w:tcW w:w="6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number of TSR PSUs that may ultimately vest will vary based on the relative performance of the Company’s total shareholder return rankings relative to the software companies in the S&amp;P Index for a specified performance period or periods. The Monte Carlo methodology incorporates into the valuation all possible outcomes, including that the Company’s relative performance may result in no shares vesting. As a result, stock-based compensation expense is recognized regardless of the ultimate achievement of the plan’s performance metrics. The expense will be reversed only in the event that a grantee is terminated prior to satisfying the requisite service period.</w:t>
      </w: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 share fair value of each stock option was determined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52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w:t>
            </w:r>
          </w:p>
        </w:tc>
      </w:tr>
      <w:tr>
        <w:trPr>
          <w:trHeight w:val="27"/>
        </w:trPr>
        <w:tc>
          <w:tcPr>
            <w:tcW w:w="6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24.12%</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6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$67.90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There were no options granted during the fiscal years ended July 31, 2020 and 2019.</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2020 and 2019, the Company was authorized to issue 500,000,000 shares of common stock with a par value of $0.0001 per share and, of these, 83,461,925 and 82,140,883 shares of common stock were issued and outstanding, respectively. As of July 31, 2020 and 2019, the Company had reserved shares of common stock for future issuance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6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July 31, 2019</w:t>
            </w:r>
          </w:p>
        </w:tc>
      </w:tr>
      <w:tr>
        <w:trPr>
          <w:trHeight w:val="248"/>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to purchase common stock</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2,445,698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2,384,673</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stock plans</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23,460,234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24,776,361</w:t>
            </w:r>
          </w:p>
        </w:tc>
      </w:tr>
      <w:tr>
        <w:trPr>
          <w:trHeight w:val="26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25,986,264</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27,377,761</w:t>
            </w:r>
          </w:p>
        </w:tc>
      </w:tr>
      <w:tr>
        <w:trPr>
          <w:trHeight w:val="21"/>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December 22, 2017, the Tax Act was enacted into law, which made changes to U.S. tax law, including, but not limited to, reducing the U.S. Federal corporate income tax rate from 35% to 21% and generally eliminating U.S. Federal corporate income taxes on dividends from foreign subsidiaries. The Tax Act also included a provision to tax global intangible low-taxed income (“GILTI”) of foreign subsidiaries and a base erosion anti-abuse tax (“BEAT”) measure that taxes certain payments between a U.S. corporation and its foreign subsidiaries. These provisions of the Tax Act were effective for the Company beginning August 1, 2018.</w:t>
      </w:r>
    </w:p>
    <w:p>
      <w:pPr>
        <w:spacing w:after="0" w:line="21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recognized an income tax provision of $2.9 million for fiscal year 2020 compared to an income tax benefit of $8.3 million for fiscal year 2019. The fiscal year 2020 income tax provision was primarily due to the BEAT liability, including interest and penalties, of $11.4 million recorded in fiscal year 2020, of which $7.7 million relates to fiscal year 2020 and $3.7 million relates to fiscal year 2019, as a result of final regulations issued by the Internal Revenue Service (“IRS”) on December 2, 2019 and subsequent amendments resulting from the CARES Act passed on March 27, 2020.</w:t>
      </w:r>
    </w:p>
    <w:p>
      <w:pPr>
        <w:spacing w:after="0" w:line="207"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of (12)% for fiscal year 2020, differs from the statutory U.S. Federal income tax rate of 21% mainly due to permanent differences for stock-based compensation, including excess tax benefits, research and development credits, change in valuation allowance, certain non-deductible expenses including executive compensation, and BEAT.</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income (loss) before provision for (benefit from) income taxes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6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7"/>
                <w:szCs w:val="17"/>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5,225</w:t>
            </w:r>
          </w:p>
        </w:tc>
        <w:tc>
          <w:tcPr>
            <w:tcW w:w="60" w:type="dxa"/>
            <w:vAlign w:val="bottom"/>
          </w:tcPr>
          <w:p>
            <w:pPr>
              <w:spacing w:after="0"/>
              <w:rPr>
                <w:sz w:val="21"/>
                <w:szCs w:val="2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60" w:type="dxa"/>
            <w:vAlign w:val="bottom"/>
          </w:tcPr>
          <w:p>
            <w:pPr>
              <w:spacing w:after="0"/>
              <w:rPr>
                <w:sz w:val="24"/>
                <w:szCs w:val="24"/>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39"/>
        </w:trPr>
        <w:tc>
          <w:tcPr>
            <w:tcW w:w="6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6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13,077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2,047</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2,203</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4,469</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15,766</w:t>
            </w: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7"/>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13,998</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18,467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Differences between income taxes calculated using the statutory federal income tax rate of 21% in the fiscal years ended July 31, 2020 and 2019, and 27% in the fiscal year ended July 31, 2018 and the provision for income taxes are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63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21"/>
                <w:szCs w:val="2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3,230</w:t>
            </w:r>
          </w:p>
        </w:tc>
        <w:tc>
          <w:tcPr>
            <w:tcW w:w="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U.S. deferred taxes</w:t>
            </w: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36,125</w:t>
            </w:r>
          </w:p>
        </w:tc>
        <w:tc>
          <w:tcPr>
            <w:tcW w:w="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acquisition costs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6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 and others</w:t>
            </w: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60" w:type="dxa"/>
            <w:vAlign w:val="bottom"/>
          </w:tcPr>
          <w:p>
            <w:pPr>
              <w:spacing w:after="0"/>
              <w:rPr>
                <w:sz w:val="23"/>
                <w:szCs w:val="23"/>
                <w:color w:val="auto"/>
              </w:rPr>
            </w:pPr>
          </w:p>
        </w:tc>
      </w:tr>
      <w:tr>
        <w:trPr>
          <w:trHeight w:val="263"/>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18,467</w:t>
            </w:r>
          </w:p>
        </w:tc>
        <w:tc>
          <w:tcPr>
            <w:tcW w:w="60" w:type="dxa"/>
            <w:vAlign w:val="bottom"/>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6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deferred tax assets and liabilities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114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74,819</w:t>
            </w:r>
          </w:p>
        </w:tc>
      </w:tr>
      <w:tr>
        <w:trPr>
          <w:trHeight w:val="237"/>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186,302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147,239</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w:t>
            </w:r>
          </w:p>
        </w:tc>
      </w:tr>
      <w:tr>
        <w:trPr>
          <w:trHeight w:val="237"/>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149,114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115,818</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debt</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43"/>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commissions</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37"/>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w:t>
            </w:r>
          </w:p>
        </w:tc>
      </w:tr>
      <w:tr>
        <w:trPr>
          <w:trHeight w:val="27"/>
        </w:trPr>
        <w:tc>
          <w:tcPr>
            <w:tcW w:w="7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90,308</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capitalized commissions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7"/>
        </w:trPr>
        <w:tc>
          <w:tcPr>
            <w:tcW w:w="7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100,661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considered both positive and negative evidence, including future reversals of existing taxable temporary differences, projected future taxable income, tax planning strategies, historic book profit/loss, prior taxable income/loss, and results of future operations, and determined that a valuation allowance was not required for a significant portion of its deferred tax assets. A valuation allowance of $37.2 million and $31.4 million remained as of July 31, 2020 and 2019, respectively, primarily related to California and Canada deferred tax assets. The increase of $5.8 million in the valuation allowance in the current fiscal year relates primarily to net operating losses, income tax credits, and future capital losses in certain tax jurisdictions for which no tax benefit was recognized.</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July 31, 2020, the Company had U.S. Federal, California, and other states net operating loss (“NOL”) carryforwards of $205.5 million, $57.4 million, and $97.3 million, respectively. The U.S. Federal and California NOL carryforwards will start to expire in 2029 and 2020,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July 31, 2020, the Company had research and development tax credits (“R&amp;D credit”) carryforwards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r>
      <w:tr>
        <w:trPr>
          <w:trHeight w:val="24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38,169</w:t>
            </w:r>
          </w:p>
        </w:tc>
      </w:tr>
      <w:tr>
        <w:trPr>
          <w:trHeight w:val="27"/>
        </w:trPr>
        <w:tc>
          <w:tcPr>
            <w:tcW w:w="9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R&amp;D credit carryforwards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U.S. Federal R&amp;D credits will start to expire in 2023 and the California R&amp;D tax credits do not expire.</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restricted.</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2020, the Company has recorded a provisional estimate for foreign withholding taxes on undistributed earnings from foreign subsidiaries of $0.4 million. The Company may repatriate foreign earnings in the future to the extent that the repatriation is not restricted by local laws or there are no substantial incremental costs associated with such repatriation.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Activity related to unrecognized tax benefits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5"/>
        </w:trPr>
        <w:tc>
          <w:tcPr>
            <w:tcW w:w="63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9,346</w:t>
            </w: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increases - prior period tax positions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729</w:t>
            </w: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decreases - prior period tax positions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1,124</w:t>
            </w:r>
          </w:p>
        </w:tc>
      </w:tr>
      <w:tr>
        <w:trPr>
          <w:trHeight w:val="23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 end of period</w:t>
            </w: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10,321</w:t>
            </w:r>
          </w:p>
        </w:tc>
      </w:tr>
      <w:tr>
        <w:trPr>
          <w:trHeight w:val="27"/>
        </w:trPr>
        <w:tc>
          <w:tcPr>
            <w:tcW w:w="6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July 31, 2020, the Company’s unrecognized tax benefits increased by $12.1 million. As of July 31, 2020, the Company had unrecognized tax benefits of $18.0 million that, if recognized, would affect the Company’s effective tax rate. The Company recognizes interest and penalties related to unrecognized tax benefits as income tax expense in its consolidated statements of operations. As of July 31, 2020, the accrued interest and penalties related to unrecognized tax benefits was immaterial. The Company believes it is reasonably possible that the total amount of unrecognized tax benefits could decrease approximately $8.0 million within the next twelve months upon receiving approval of certain tax election applications.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2020.</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California Franchise Tax Board for the state income tax returns filed for fiscal years 2018 and 2017. If any issues addressed in the tax audit are resolved in a manner not consistent with the Company’s expectations, the Company may be required to adjust its provision for income tax in the period such resolution occurs. The Company does not believe the audit will have a material impact on the Company’s financial position, operating results,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Defined Contribution and Other Post-Retirement Plans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employee savings and retirement plan in the United States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$5,000 per participant per calendar year. Certain of the Company’s foreign subsidiaries also have defined contribution plans in which a majority of its employees participate and the Company makes matching contributions. The Company’s contributions to its 401(k) and foreign subsidiaries’ plans were $10.7 million, $9.9 million, and $8.7 million for the fiscal years ended July 31, 2020, 2019, and 2018, respectively.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term license, perpetual license, subscription, support, and services offerings, while all other financial information is reviewed on a consolidated basis. The Company’s principal operations and decision-making functions are located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long-lived assets, including intangibles and goodwill, net by geographic region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2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0" w:type="dxa"/>
            <w:vAlign w:val="bottom"/>
          </w:tcPr>
          <w:p>
            <w:pPr>
              <w:spacing w:after="0"/>
              <w:rPr>
                <w:sz w:val="1"/>
                <w:szCs w:val="1"/>
                <w:color w:val="auto"/>
              </w:rPr>
            </w:pPr>
          </w:p>
        </w:tc>
      </w:tr>
      <w:tr>
        <w:trPr>
          <w:trHeight w:val="3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3"/>
        </w:trPr>
        <w:tc>
          <w:tcPr>
            <w:tcW w:w="7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 on Accounting and Financial Disclosure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right="500"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we have concluded that our disclosure controls and procedures were deemed effective as of July 31, 2020.</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5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July 31, 2020, using the criteria set forth in Internal Control—Integrated Framework issued by the Committee of Sponsoring Organizations of the Treadway Commission’s 2013 framework. Based on this assessment and those criteria, management concluded that our internal control over financial reporting was effective as of July 31, 2020.</w:t>
      </w:r>
    </w:p>
    <w:p>
      <w:pPr>
        <w:spacing w:after="0" w:line="20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has been audited by KPMG LLP, an independent registered public accounting firm, as stated in their report, which appears in Part II, Item 8 of this Annual Report on Form 10-K.</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identified in management’s evaluation pursuant to Rules 13a-15(d) or 15d-15(d) of the Exchange Act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31"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principal financial officer. The Code of Business Conduct and Ethics is posted on our investor relations website.</w:t>
      </w:r>
    </w:p>
    <w:p>
      <w:pPr>
        <w:spacing w:after="0" w:line="2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will post any amendments to, or waivers from, a provision of this Code of Business Conduct and Ethics by posting such information on our investor relations website.</w:t>
      </w:r>
    </w:p>
    <w:p>
      <w:pPr>
        <w:spacing w:after="0" w:line="18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will be contained in our definitive proxy statement to be filed with the Securities and Exchange Commission in connection with our 2020 annual meeting of stockholders (the “Proxy Statement”), which is expected to be filed not later than 120 days after the end of our fiscal year ended July 31, 2020, and is incorporated in this report by reference.</w:t>
      </w:r>
    </w:p>
    <w:p>
      <w:pPr>
        <w:spacing w:after="0" w:line="17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if any,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51" w:lineRule="exact"/>
        <w:rPr>
          <w:sz w:val="20"/>
          <w:szCs w:val="20"/>
          <w:color w:val="auto"/>
        </w:rPr>
      </w:pPr>
    </w:p>
    <w:p>
      <w:pPr>
        <w:ind w:left="700" w:hanging="247"/>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9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90" w:lineRule="exact"/>
        <w:rPr>
          <w:sz w:val="20"/>
          <w:szCs w:val="20"/>
          <w:color w:val="auto"/>
        </w:rPr>
      </w:pPr>
    </w:p>
    <w:p>
      <w:pPr>
        <w:ind w:firstLine="1458"/>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herein.</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exhibits listed below are filed or incorporated by reference as part of this Annual Report on Form 10-K.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372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3.1</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3.2</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4.1</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4.2</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4.3</w:t>
        </w:r>
      </w:hyperlink>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2020</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Common Stock certificate of the Registrant</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9, 2012</w:t>
            </w:r>
          </w:p>
        </w:tc>
        <w:tc>
          <w:tcPr>
            <w:tcW w:w="0" w:type="dxa"/>
            <w:vAlign w:val="bottom"/>
          </w:tcPr>
          <w:p>
            <w:pPr>
              <w:spacing w:after="0"/>
              <w:rPr>
                <w:sz w:val="1"/>
                <w:szCs w:val="1"/>
                <w:color w:val="auto"/>
              </w:rPr>
            </w:pP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dated as of March 13, 2018, by and between</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2018</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Guidewire Software, Inc. and U.S. Bank National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Association</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Supplemental Indenture, dated as of March 13, 2018,</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2018</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and between Guidewire Software, Inc. and U.S. Bank</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Association</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2">
            <w:col w:w="840" w:space="440"/>
            <w:col w:w="9960"/>
          </w:cols>
          <w:pgMar w:left="320" w:top="121"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4.4</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4.5</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10.1</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10.2</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10.3</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10.4</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1.25% Convertible Senior Note Due March 15,</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March 13, 2018</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4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the Company’s Securities Registered</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Section 12 of the Securities Exchange Act of</w:t>
            </w: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1934, as amended</w:t>
            </w: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October 28, 2011</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each of its directors and executive officers</w:t>
            </w: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and forms of agreements thereunder</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September 2, 2011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2009</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and forms of agreements thereunder</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September 2, 2011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2010</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Plan and forms of agreements</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September 2, 2011</w:t>
            </w:r>
          </w:p>
        </w:tc>
      </w:tr>
    </w:tbl>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3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10.5</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10.6</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10.7</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2011 Stock Plan and forms of agreements thereunder</w:t>
            </w: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13, 2011</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Incentive Bonus Plan</w:t>
            </w: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10.12</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13, 2011</w:t>
            </w:r>
          </w:p>
        </w:tc>
      </w:tr>
      <w:tr>
        <w:trPr>
          <w:trHeight w:val="25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Form of Performance-Based Restricted Stock Unit Award</w:t>
            </w: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December 2, 2015</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Agreement under the 2011 Stock Plan</w:t>
            </w: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10.8</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10.9</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Form of Capped Call Confirmation</w:t>
            </w:r>
          </w:p>
        </w:tc>
        <w:tc>
          <w:tcPr>
            <w:tcW w:w="17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13, 2018</w:t>
            </w:r>
          </w:p>
        </w:tc>
      </w:t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 between Bay Meadows Station 2</w:t>
            </w:r>
          </w:p>
        </w:tc>
        <w:tc>
          <w:tcPr>
            <w:tcW w:w="17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September 19, 2018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Investors, LLC and the Registrant dated as of December 18,</w:t>
            </w: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33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10.10</w:t>
              </w:r>
            </w:hyperlink>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Executive Agreement by and between Guidewire Software,</w:t>
            </w:r>
          </w:p>
        </w:tc>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August 5, 2019</w:t>
            </w:r>
          </w:p>
        </w:tc>
      </w:tr>
      <w:tr>
        <w:trPr>
          <w:trHeight w:val="234"/>
        </w:trPr>
        <w:tc>
          <w:tcPr>
            <w:tcW w:w="860" w:type="dxa"/>
            <w:vAlign w:val="bottom"/>
          </w:tcPr>
          <w:p>
            <w:pPr>
              <w:spacing w:after="0"/>
              <w:rPr>
                <w:sz w:val="20"/>
                <w:szCs w:val="20"/>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 and Michael Rosenbaum, dated August 3, 2019</w:t>
            </w: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38"/>
        </w:trPr>
        <w:tc>
          <w:tcPr>
            <w:tcW w:w="860" w:type="dxa"/>
            <w:vAlign w:val="bottom"/>
          </w:tcPr>
          <w:p>
            <w:pPr>
              <w:jc w:val="right"/>
              <w:ind w:right="350"/>
              <w:spacing w:after="0"/>
              <w:rPr>
                <w:rFonts w:ascii="Times New Roman" w:cs="Times New Roman" w:eastAsia="Times New Roman" w:hAnsi="Times New Roman"/>
                <w:sz w:val="18"/>
                <w:szCs w:val="18"/>
                <w:u w:val="single" w:color="auto"/>
                <w:color w:val="0000FF"/>
                <w:w w:val="98"/>
              </w:rPr>
            </w:pPr>
            <w:hyperlink r:id="rId146">
              <w:r>
                <w:rPr>
                  <w:rFonts w:ascii="Times New Roman" w:cs="Times New Roman" w:eastAsia="Times New Roman" w:hAnsi="Times New Roman"/>
                  <w:sz w:val="18"/>
                  <w:szCs w:val="18"/>
                  <w:u w:val="single" w:color="auto"/>
                  <w:color w:val="0000FF"/>
                  <w:w w:val="98"/>
                </w:rPr>
                <w:t>10.11</w:t>
              </w:r>
            </w:hyperlink>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Restricted Stock Unit Award Agreement (U.S.</w:t>
            </w:r>
          </w:p>
        </w:tc>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March 5, 2020</w:t>
            </w:r>
          </w:p>
        </w:tc>
      </w:tr>
      <w:tr>
        <w:trPr>
          <w:trHeight w:val="234"/>
        </w:trPr>
        <w:tc>
          <w:tcPr>
            <w:tcW w:w="860" w:type="dxa"/>
            <w:vAlign w:val="bottom"/>
          </w:tcPr>
          <w:p>
            <w:pPr>
              <w:spacing w:after="0"/>
              <w:rPr>
                <w:sz w:val="20"/>
                <w:szCs w:val="20"/>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Time-Based)</w:t>
            </w: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38"/>
        </w:trPr>
        <w:tc>
          <w:tcPr>
            <w:tcW w:w="860" w:type="dxa"/>
            <w:vAlign w:val="bottom"/>
          </w:tcPr>
          <w:p>
            <w:pPr>
              <w:jc w:val="right"/>
              <w:ind w:right="33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10.12</w:t>
              </w:r>
            </w:hyperlink>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Restricted Stock Unit Award Agreement (Global</w:t>
            </w:r>
          </w:p>
        </w:tc>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March 5, 2020</w:t>
            </w:r>
          </w:p>
        </w:tc>
      </w:tr>
      <w:tr>
        <w:trPr>
          <w:trHeight w:val="234"/>
        </w:trPr>
        <w:tc>
          <w:tcPr>
            <w:tcW w:w="860" w:type="dxa"/>
            <w:vAlign w:val="bottom"/>
          </w:tcPr>
          <w:p>
            <w:pPr>
              <w:spacing w:after="0"/>
              <w:rPr>
                <w:sz w:val="20"/>
                <w:szCs w:val="20"/>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Time-Based)</w:t>
            </w: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25"/>
        </w:trPr>
        <w:tc>
          <w:tcPr>
            <w:tcW w:w="860" w:type="dxa"/>
            <w:vAlign w:val="bottom"/>
          </w:tcPr>
          <w:p>
            <w:pPr>
              <w:jc w:val="right"/>
              <w:ind w:right="33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10.13</w:t>
              </w:r>
            </w:hyperlink>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Restricted Stock Unit Award Agreement (U.S.</w:t>
            </w:r>
          </w:p>
        </w:tc>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March 5, 2020</w:t>
            </w:r>
          </w:p>
        </w:tc>
      </w:tr>
      <w:tr>
        <w:trPr>
          <w:trHeight w:val="234"/>
        </w:trPr>
        <w:tc>
          <w:tcPr>
            <w:tcW w:w="860" w:type="dxa"/>
            <w:vAlign w:val="bottom"/>
          </w:tcPr>
          <w:p>
            <w:pPr>
              <w:spacing w:after="0"/>
              <w:rPr>
                <w:sz w:val="20"/>
                <w:szCs w:val="20"/>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Time-Based, Executives)</w:t>
            </w: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25"/>
        </w:trPr>
        <w:tc>
          <w:tcPr>
            <w:tcW w:w="860" w:type="dxa"/>
            <w:vAlign w:val="bottom"/>
          </w:tcPr>
          <w:p>
            <w:pPr>
              <w:jc w:val="right"/>
              <w:ind w:right="33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10.14</w:t>
              </w:r>
            </w:hyperlink>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 Term Inventive Plan and Form of Restricted Stock</w:t>
            </w:r>
          </w:p>
        </w:tc>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March 5, 2020</w:t>
            </w:r>
          </w:p>
        </w:tc>
      </w:tr>
      <w:tr>
        <w:trPr>
          <w:trHeight w:val="234"/>
        </w:trPr>
        <w:tc>
          <w:tcPr>
            <w:tcW w:w="860" w:type="dxa"/>
            <w:vAlign w:val="bottom"/>
          </w:tcPr>
          <w:p>
            <w:pPr>
              <w:spacing w:after="0"/>
              <w:rPr>
                <w:sz w:val="20"/>
                <w:szCs w:val="20"/>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 Award Agreement thereunder</w:t>
            </w: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979"/>
        </w:trPr>
        <w:tc>
          <w:tcPr>
            <w:tcW w:w="8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w:anchor="page2">
              <w:r>
                <w:rPr>
                  <w:rFonts w:ascii="Times New Roman" w:cs="Times New Roman" w:eastAsia="Times New Roman" w:hAnsi="Times New Roman"/>
                  <w:sz w:val="18"/>
                  <w:szCs w:val="18"/>
                  <w:color w:val="0000FF"/>
                  <w:w w:val="97"/>
                </w:rPr>
                <w:t>Table of Contents</w:t>
              </w:r>
            </w:hyperlink>
          </w:p>
        </w:tc>
        <w:tc>
          <w:tcPr>
            <w:tcW w:w="4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20"/>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10.15</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Notice of Restricted Stock Unit Award and</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March 5, 2020</w:t>
            </w:r>
          </w:p>
        </w:tc>
      </w:tr>
      <w:tr>
        <w:trPr>
          <w:trHeight w:val="216"/>
        </w:trPr>
        <w:tc>
          <w:tcPr>
            <w:tcW w:w="12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Award Agreement (Performance-</w:t>
            </w:r>
          </w:p>
        </w:tc>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10.16</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Executive Agreement</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March 5, 2020</w:t>
            </w:r>
          </w:p>
        </w:tc>
      </w:tr>
      <w:tr>
        <w:trPr>
          <w:trHeight w:val="270"/>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21.1</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52"/>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23.1</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KPMG LLP, Independent Registered Public</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Firm</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31.1</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31.2</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32.1*</w:t>
              </w:r>
            </w:hyperlink>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and the Chief</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Furnished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2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pursuant to Section 906 of the Sarbanes-</w:t>
            </w:r>
          </w:p>
        </w:tc>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Filed herewith</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03"/>
        </w:trPr>
        <w:tc>
          <w:tcPr>
            <w:tcW w:w="128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with applicable taxonomy extension information contained</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Exhibits 101)</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30" w:lineRule="exact"/>
        <w:rPr>
          <w:sz w:val="20"/>
          <w:szCs w:val="20"/>
          <w:color w:val="auto"/>
        </w:rPr>
      </w:pPr>
    </w:p>
    <w:p>
      <w:pPr>
        <w:jc w:val="both"/>
        <w:ind w:left="280" w:hanging="254"/>
        <w:spacing w:after="0" w:line="261" w:lineRule="auto"/>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9"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25, 2020</w:t>
      </w:r>
    </w:p>
    <w:p>
      <w:pPr>
        <w:spacing w:after="0" w:line="34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b w:val="1"/>
          <w:bCs w:val="1"/>
          <w:color w:val="auto"/>
        </w:rPr>
        <w:t>GUIDEWIRE SOFTWARE, INC.</w:t>
      </w:r>
    </w:p>
    <w:p>
      <w:pPr>
        <w:spacing w:after="0" w:line="183" w:lineRule="exact"/>
        <w:rPr>
          <w:sz w:val="20"/>
          <w:szCs w:val="20"/>
          <w:color w:val="auto"/>
        </w:rPr>
      </w:pPr>
    </w:p>
    <w:p>
      <w:pPr>
        <w:ind w:left="6140"/>
        <w:spacing w:after="0"/>
        <w:tabs>
          <w:tab w:leader="none" w:pos="66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37465</wp:posOffset>
            </wp:positionV>
            <wp:extent cx="29660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6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Jeff Cooper</w:t>
      </w:r>
    </w:p>
    <w:p>
      <w:pPr>
        <w:spacing w:after="0" w:line="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5560" w:type="dxa"/>
            <w:vAlign w:val="bottom"/>
            <w:gridSpan w:val="2"/>
          </w:tcPr>
          <w:p>
            <w:pPr>
              <w:ind w:left="25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98"/>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MIKE ROSENBAUM</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Mike Rosenbaum</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1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JEFF COOPER</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 Cooper</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1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MARCUS S. RYU</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(Chairman of the Board)</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Marcus S. Ryu</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1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ANDREW BROWN</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Brown</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MARGARET DILLON</w:t>
            </w:r>
          </w:p>
        </w:tc>
        <w:tc>
          <w:tcPr>
            <w:tcW w:w="100" w:type="dxa"/>
            <w:vAlign w:val="bottom"/>
          </w:tcPr>
          <w:p>
            <w:pPr>
              <w:spacing w:after="0"/>
              <w:rPr>
                <w:sz w:val="22"/>
                <w:szCs w:val="22"/>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Margaret Dillon</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1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MICHAEL KELLER</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Keller</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65"/>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PAUL LAVIN</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Paul Lavin</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11"/>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CATHERINE P. LEGO</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25, 2020</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Catherine P. Lego</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4.5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July 31, 2020, Guidewire Software, Inc. (“Guidewire,” the “Company,” “we,” “us,” and “our”) had one class of securities registered under Section 12 of the Securities Exchange Act of 1934, as amended (the "Exchange Act"):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$0.0001 par value, and 25,000,000 shares of undesignated preferred stock, $0.0001 par value. The following description of our common stock does not purport to be complete and is subject to, and qualified in its entirety by, our amended and restated certificate of incorporation and amended and restated bylaws, each of which is incorporated by reference as an exhibit to our Annual Report on Form 10-K for the year ended July 31,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the stockholders. Subject to preferences that may be applicable to any outstanding shares of preferred stock, holders of common stock are entitled to receive ratably such dividends as may be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and traded on the New York Stock Exchange under the symbol “GWRE.”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 Limitations on Rights of Holders of Common Stock</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could have the effect of delaying, deferring or discouraging another party from acquiring control of us. These provisions, which are summarized below, may have the effect of discouraging coercive takeover practices</w:t>
      </w:r>
    </w:p>
    <w:p>
      <w:pPr>
        <w:sectPr>
          <w:pgSz w:w="11900" w:h="16838" w:orient="portrait"/>
          <w:cols w:equalWidth="0" w:num="1">
            <w:col w:w="11220"/>
          </w:cols>
          <w:pgMar w:left="320" w:top="1413" w:right="359" w:bottom="1440" w:gutter="0" w:footer="0" w:header="0"/>
        </w:sectPr>
      </w:pPr>
    </w:p>
    <w:bookmarkStart w:id="103" w:name="page104"/>
    <w:bookmarkEnd w:id="103"/>
    <w:p>
      <w:pPr>
        <w:spacing w:after="0" w:line="8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56"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Limits on ability of stockholders to call a special meeting</w:t>
      </w:r>
      <w:r>
        <w:rPr>
          <w:rFonts w:ascii="Times New Roman" w:cs="Times New Roman" w:eastAsia="Times New Roman" w:hAnsi="Times New Roman"/>
          <w:sz w:val="18"/>
          <w:szCs w:val="18"/>
          <w:color w:val="auto"/>
        </w:rPr>
        <w:t>. Our amended and restated bylaws provide that special meetings of the stockholders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only by a majority of the board of directors then in office. These restrictions may delay the ability of our stockholders to force consideration of a proposal or for holders controlling a majority of our capital stock to take any action, including the removal of directors.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amended and restated bylaws establish advance notice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Delaware General Corporation Law provides that stockholders are not entitled to the right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our amended and restated certificate of incorporation provides otherwise. Our amended and restated certificate of incorporation and amended and restated bylaws do not expressly provide for cumulative voting.</w:t>
      </w:r>
    </w:p>
    <w:p>
      <w:pPr>
        <w:spacing w:after="0" w:line="20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i w:val="1"/>
          <w:iCs w:val="1"/>
          <w:color w:val="auto"/>
        </w:rPr>
        <w:t>Board Composition and Filling Vacancies</w:t>
      </w:r>
      <w:r>
        <w:rPr>
          <w:rFonts w:ascii="Times New Roman" w:cs="Times New Roman" w:eastAsia="Times New Roman" w:hAnsi="Times New Roman"/>
          <w:sz w:val="18"/>
          <w:szCs w:val="18"/>
          <w:color w:val="auto"/>
        </w:rPr>
        <w:t>. Prior to December 17, 2019, our amended and restated certificate of incorporation provided for the division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into three classes serving staggered three-year terms, with one class being elected each year. Our amended and restated certificate of incorporation currently in effect provides for a gradual declassification of our board of directors such that each director shall be elected to hold office for a one-year term expiring at the next annual meeting of stockholders, but no terms in effect prior to the filing of our amended and restated certificate on December 17, 2019 were shortened. Beginning with the 2021 annual meeting, the entire board of directors will stand for election annually for one-year terms. Our amended and restated certificate of incorporation also provides that directors may be removed only for cause. Furthermore, any vacancy on our board of directors, however occurring, including a vacancy resulting from an increase in the size of our board, may only be filled by the affirmative vote of a majority of our directors then in office even if less than a quorum. The limitations on removal of directors and treatment of vacancies have the effect of making it more difficult for stockholders to change the composition of our board of directors.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No Written Consent of Stockholders</w:t>
      </w:r>
      <w:r>
        <w:rPr>
          <w:rFonts w:ascii="Times New Roman" w:cs="Times New Roman" w:eastAsia="Times New Roman" w:hAnsi="Times New Roman"/>
          <w:sz w:val="18"/>
          <w:szCs w:val="18"/>
          <w:color w:val="auto"/>
        </w:rPr>
        <w:t>. Our amended and restated certificate of incorporation provides that all stockholder actions are required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Amendment to Certificate of Incorporation and Bylaws</w:t>
      </w:r>
      <w:r>
        <w:rPr>
          <w:rFonts w:ascii="Times New Roman" w:cs="Times New Roman" w:eastAsia="Times New Roman" w:hAnsi="Times New Roman"/>
          <w:sz w:val="18"/>
          <w:szCs w:val="18"/>
          <w:color w:val="auto"/>
        </w:rPr>
        <w:t>. Any amendment of our amended and restated certificate of incorporation must first be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amended and restated certificate of incorporation must be approved by not less than 66 2/3% of the outstanding shares entitled to vote on the amendment, and not less than 66 2/3% of the outstanding shares of each class entitled to vote thereon as a class. Our amended and restated bylaws may be amended by the affirmative vote of a majority of the directors then in office, subject to any limitations set forth in the bylaws; and</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also be amended by the affirmative vote of a majority of the outstanding shares entitled to vote on the amendment.</w:t>
      </w:r>
    </w:p>
    <w:p>
      <w:pPr>
        <w:spacing w:after="0" w:line="22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amended and restated certificate of incorporation provides for 25,000,000 authorized shares of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5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bylaws provide that, unless we consent in writing to the selection of an alternative forum,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Chancery of the State of Delaware will be the sole and exclusive forum for any state law claim for (i) any derivative action or proceeding brought on our behalf; (ii) any action asserting a claim of breach of a fiduciary duty owed by any of our directors, officers and employees to us or our stockholders; (iii) 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 Provision will not apply to any causes of action arising under the Securities Act of 1933, as amended (the “Securities Act”) or the</w:t>
      </w:r>
    </w:p>
    <w:p>
      <w:pPr>
        <w:spacing w:after="0" w:line="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w:t>
      </w:r>
    </w:p>
    <w:p>
      <w:pPr>
        <w:spacing w:after="0" w:line="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w:t>
      </w:r>
    </w:p>
    <w:p>
      <w:pPr>
        <w:spacing w:after="0" w:line="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or results than other courts. In addition, there is uncertainty as to whether the Federal Forum Provision for Securities Act claims will be enforced, which may impose additional costs on us and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34" w:lineRule="exact"/>
        <w:rPr>
          <w:sz w:val="20"/>
          <w:szCs w:val="20"/>
          <w:color w:val="auto"/>
        </w:rPr>
      </w:pPr>
    </w:p>
    <w:p>
      <w:pPr>
        <w:ind w:left="980" w:hanging="401"/>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of the corporation approved either the business combination or the transaction which resulted in the stockholder becoming an interested stockholder;</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26" w:lineRule="exact"/>
        <w:rPr>
          <w:sz w:val="20"/>
          <w:szCs w:val="20"/>
          <w:color w:val="auto"/>
        </w:rPr>
      </w:pPr>
    </w:p>
    <w:p>
      <w:pPr>
        <w:ind w:left="980" w:hanging="401"/>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341" w:lineRule="exact"/>
        <w:rPr>
          <w:rFonts w:ascii="Times New Roman" w:cs="Times New Roman" w:eastAsia="Times New Roman" w:hAnsi="Times New Roman"/>
          <w:sz w:val="18"/>
          <w:szCs w:val="18"/>
          <w:color w:val="auto"/>
        </w:rPr>
      </w:pPr>
    </w:p>
    <w:p>
      <w:pPr>
        <w:ind w:left="980" w:right="40" w:hanging="401"/>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79" w:lineRule="exact"/>
        <w:rPr>
          <w:sz w:val="20"/>
          <w:szCs w:val="20"/>
          <w:color w:val="auto"/>
        </w:rPr>
      </w:pPr>
    </w:p>
    <w:p>
      <w:pPr>
        <w:ind w:left="980" w:hanging="40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387" w:lineRule="exact"/>
        <w:rPr>
          <w:rFonts w:ascii="Times New Roman" w:cs="Times New Roman" w:eastAsia="Times New Roman" w:hAnsi="Times New Roman"/>
          <w:sz w:val="18"/>
          <w:szCs w:val="18"/>
          <w:color w:val="auto"/>
        </w:rPr>
      </w:pPr>
    </w:p>
    <w:p>
      <w:pPr>
        <w:ind w:left="980" w:hanging="40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387" w:lineRule="exact"/>
        <w:rPr>
          <w:rFonts w:ascii="Times New Roman" w:cs="Times New Roman" w:eastAsia="Times New Roman" w:hAnsi="Times New Roman"/>
          <w:sz w:val="18"/>
          <w:szCs w:val="18"/>
          <w:color w:val="auto"/>
        </w:rPr>
      </w:pPr>
    </w:p>
    <w:p>
      <w:pPr>
        <w:ind w:left="980" w:right="20" w:hanging="401"/>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337" w:lineRule="exact"/>
        <w:rPr>
          <w:rFonts w:ascii="Times New Roman" w:cs="Times New Roman" w:eastAsia="Times New Roman" w:hAnsi="Times New Roman"/>
          <w:sz w:val="18"/>
          <w:szCs w:val="18"/>
          <w:color w:val="auto"/>
        </w:rPr>
      </w:pPr>
    </w:p>
    <w:p>
      <w:pPr>
        <w:ind w:left="980" w:right="300" w:hanging="401"/>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323" w:lineRule="exact"/>
        <w:rPr>
          <w:rFonts w:ascii="Times New Roman" w:cs="Times New Roman" w:eastAsia="Times New Roman" w:hAnsi="Times New Roman"/>
          <w:sz w:val="18"/>
          <w:szCs w:val="18"/>
          <w:color w:val="auto"/>
        </w:rPr>
      </w:pPr>
    </w:p>
    <w:p>
      <w:pPr>
        <w:ind w:left="980" w:right="200" w:hanging="401"/>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20"/>
          </w:cols>
          <w:pgMar w:left="320" w:top="1440"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64"/>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Country or Jurisdiction</w:t>
            </w:r>
          </w:p>
        </w:tc>
      </w:tr>
      <w:tr>
        <w:trPr>
          <w:trHeight w:val="27"/>
        </w:trPr>
        <w:tc>
          <w:tcPr>
            <w:tcW w:w="4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Pty Ltd.</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Servicios de Software Services do Brazil Ltda</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Canada Ltd.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(Beijing) Co. Ltd.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Denmark ApS</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France S.A.S</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GmbH</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Cyence India Private Limited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(Ireland) Limited.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(Italy) S.r.l.</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Japan K.K.</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(Malaysia) Sdn. BHD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Poland Sp. z o.o.</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Spain, S.L.</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(Switzerland) GmbH</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(UK) Limited</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Cyence LLC</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EagleEye Analytics, LLC</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Guidewire International Holdings, Inc.</w:t>
            </w: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bl>
    <w:p>
      <w:pPr>
        <w:sectPr>
          <w:pgSz w:w="11900" w:h="16838" w:orient="portrait"/>
          <w:cols w:equalWidth="0" w:num="1">
            <w:col w:w="11200"/>
          </w:cols>
          <w:pgMar w:left="360" w:top="89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Guidewire Software, Inc.:</w:t>
      </w:r>
    </w:p>
    <w:p>
      <w:pPr>
        <w:spacing w:after="0" w:line="1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333-230132,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223478, 333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216530, 333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209906, 333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202541,</w:t>
      </w:r>
    </w:p>
    <w:p>
      <w:pPr>
        <w:spacing w:after="0" w:line="51"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194290, 333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187004,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179799) on Form S-8, and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223487, 333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221298, 333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191856,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191834) on Form S-3 of Guidewire Software, Inc. of our report dated September 25, 2020, with respect to the consolidated balance sheets of Guidewire Software, Inc. and subsidiaries as of July 31, 2020 and 2019, the related consolidated statements of operations, comprehensive income (loss), stockholders’ equity, and cash flows for each of the years in the three-year period ended July 31, 2020, and the related notes , and the effectiveness of Guidewire Software, Inc.’s internal control over financial reporting as of July 31, 2020, which report appears in the July 31, 2020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of Guidewire Software, Inc. Our report refers to a change in the method of accounting for leases in the year ended July 31, 2020 due to the adoption of FASB Accounting Standards Codification No. 842,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w:t>
      </w:r>
    </w:p>
    <w:p>
      <w:pPr>
        <w:sectPr>
          <w:pgSz w:w="11900" w:h="16838" w:orient="portrait"/>
          <w:cols w:equalWidth="0" w:num="1">
            <w:col w:w="11240"/>
          </w:cols>
          <w:pgMar w:left="320" w:top="110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Mike Rosenbaum, certify that:</w:t>
      </w:r>
    </w:p>
    <w:p>
      <w:pPr>
        <w:spacing w:after="0" w:line="4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Guidewire Software, Inc.;</w:t>
      </w:r>
    </w:p>
    <w:p>
      <w:pPr>
        <w:spacing w:after="0" w:line="59"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6"/>
          <w:szCs w:val="16"/>
          <w:color w:val="auto"/>
        </w:rPr>
      </w:pPr>
    </w:p>
    <w:p>
      <w:pPr>
        <w:jc w:val="both"/>
        <w:ind w:left="660" w:right="340" w:hanging="328"/>
        <w:spacing w:after="0" w:line="263"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Times New Roman" w:cs="Times New Roman" w:eastAsia="Times New Roman" w:hAnsi="Times New Roman"/>
          <w:sz w:val="16"/>
          <w:szCs w:val="16"/>
          <w:color w:val="auto"/>
        </w:rPr>
      </w:pPr>
    </w:p>
    <w:p>
      <w:pPr>
        <w:ind w:left="1300" w:right="300" w:hanging="320"/>
        <w:spacing w:after="0" w:line="263"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Times New Roman" w:cs="Times New Roman" w:eastAsia="Times New Roman" w:hAnsi="Times New Roman"/>
          <w:sz w:val="16"/>
          <w:szCs w:val="16"/>
          <w:color w:val="auto"/>
        </w:rPr>
      </w:pPr>
    </w:p>
    <w:p>
      <w:pPr>
        <w:ind w:left="1300" w:right="100" w:hanging="320"/>
        <w:spacing w:after="0" w:line="263"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Times New Roman" w:cs="Times New Roman" w:eastAsia="Times New Roman" w:hAnsi="Times New Roman"/>
          <w:sz w:val="16"/>
          <w:szCs w:val="16"/>
          <w:color w:val="auto"/>
        </w:rPr>
      </w:pPr>
    </w:p>
    <w:p>
      <w:pPr>
        <w:ind w:left="1300" w:right="160" w:hanging="320"/>
        <w:spacing w:after="0" w:line="280"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7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6"/>
          <w:szCs w:val="16"/>
          <w:color w:val="auto"/>
        </w:rPr>
      </w:pPr>
    </w:p>
    <w:p>
      <w:pPr>
        <w:ind w:left="1300" w:right="300" w:hanging="320"/>
        <w:spacing w:after="0" w:line="280"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25, 2020</w:t>
      </w:r>
      <w:r>
        <w:rPr>
          <w:sz w:val="20"/>
          <w:szCs w:val="20"/>
          <w:color w:val="auto"/>
        </w:rPr>
        <w:tab/>
      </w:r>
      <w:r>
        <w:rPr>
          <w:rFonts w:ascii="Times New Roman" w:cs="Times New Roman" w:eastAsia="Times New Roman" w:hAnsi="Times New Roman"/>
          <w:sz w:val="16"/>
          <w:szCs w:val="16"/>
          <w:color w:val="auto"/>
        </w:rPr>
        <w:t>By:</w:t>
        <w:tab/>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37465</wp:posOffset>
            </wp:positionV>
            <wp:extent cx="31375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Mike Rosenbaum</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Jeff Cooper, certify that:</w:t>
      </w:r>
    </w:p>
    <w:p>
      <w:pPr>
        <w:spacing w:after="0" w:line="4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Guidewire Software, Inc.;</w:t>
      </w:r>
    </w:p>
    <w:p>
      <w:pPr>
        <w:spacing w:after="0" w:line="59"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6"/>
          <w:szCs w:val="16"/>
          <w:color w:val="auto"/>
        </w:rPr>
      </w:pPr>
    </w:p>
    <w:p>
      <w:pPr>
        <w:jc w:val="both"/>
        <w:ind w:left="660" w:right="340" w:hanging="328"/>
        <w:spacing w:after="0" w:line="263"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Times New Roman" w:cs="Times New Roman" w:eastAsia="Times New Roman" w:hAnsi="Times New Roman"/>
          <w:sz w:val="16"/>
          <w:szCs w:val="16"/>
          <w:color w:val="auto"/>
        </w:rPr>
      </w:pPr>
    </w:p>
    <w:p>
      <w:pPr>
        <w:ind w:left="1300" w:right="300" w:hanging="320"/>
        <w:spacing w:after="0" w:line="263"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Times New Roman" w:cs="Times New Roman" w:eastAsia="Times New Roman" w:hAnsi="Times New Roman"/>
          <w:sz w:val="16"/>
          <w:szCs w:val="16"/>
          <w:color w:val="auto"/>
        </w:rPr>
      </w:pPr>
    </w:p>
    <w:p>
      <w:pPr>
        <w:ind w:left="1300" w:right="100" w:hanging="320"/>
        <w:spacing w:after="0" w:line="263"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Times New Roman" w:cs="Times New Roman" w:eastAsia="Times New Roman" w:hAnsi="Times New Roman"/>
          <w:sz w:val="16"/>
          <w:szCs w:val="16"/>
          <w:color w:val="auto"/>
        </w:rPr>
      </w:pPr>
    </w:p>
    <w:p>
      <w:pPr>
        <w:ind w:left="1300" w:right="160" w:hanging="320"/>
        <w:spacing w:after="0" w:line="280"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7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6"/>
          <w:szCs w:val="16"/>
          <w:color w:val="auto"/>
        </w:rPr>
      </w:pPr>
    </w:p>
    <w:p>
      <w:pPr>
        <w:ind w:left="1300" w:right="300" w:hanging="320"/>
        <w:spacing w:after="0" w:line="280"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25, 2020</w:t>
      </w:r>
      <w:r>
        <w:rPr>
          <w:sz w:val="20"/>
          <w:szCs w:val="20"/>
          <w:color w:val="auto"/>
        </w:rPr>
        <w:tab/>
      </w:r>
      <w:r>
        <w:rPr>
          <w:rFonts w:ascii="Times New Roman" w:cs="Times New Roman" w:eastAsia="Times New Roman" w:hAnsi="Times New Roman"/>
          <w:sz w:val="16"/>
          <w:szCs w:val="16"/>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37465</wp:posOffset>
            </wp:positionV>
            <wp:extent cx="31375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Jeff Cooper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9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6"/>
          <w:szCs w:val="16"/>
          <w:b w:val="1"/>
          <w:bCs w:val="1"/>
          <w:color w:val="auto"/>
        </w:rPr>
        <w:t>xhibit 32.1</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82" w:lineRule="exact"/>
        <w:rPr>
          <w:sz w:val="20"/>
          <w:szCs w:val="20"/>
          <w:color w:val="auto"/>
        </w:rPr>
      </w:pPr>
    </w:p>
    <w:p>
      <w:pPr>
        <w:ind w:right="100" w:firstLine="162"/>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on Form 10-K of Guidewire Software, Inc. for the year ended July 31, 2020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16"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25, 2020</w:t>
      </w:r>
      <w:r>
        <w:rPr>
          <w:sz w:val="20"/>
          <w:szCs w:val="20"/>
          <w:color w:val="auto"/>
        </w:rPr>
        <w:tab/>
      </w:r>
      <w:r>
        <w:rPr>
          <w:rFonts w:ascii="Times New Roman" w:cs="Times New Roman" w:eastAsia="Times New Roman" w:hAnsi="Times New Roman"/>
          <w:sz w:val="16"/>
          <w:szCs w:val="16"/>
          <w:color w:val="auto"/>
        </w:rPr>
        <w:t>By:</w:t>
        <w:tab/>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37465</wp:posOffset>
            </wp:positionV>
            <wp:extent cx="31375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Mike Rosenbaum</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70" w:lineRule="exact"/>
        <w:rPr>
          <w:sz w:val="20"/>
          <w:szCs w:val="20"/>
          <w:color w:val="auto"/>
        </w:rPr>
      </w:pPr>
    </w:p>
    <w:p>
      <w:pPr>
        <w:ind w:right="60" w:firstLine="202"/>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on Form 10-K of Guidewire Software, Inc. for the year ended July 31, 2020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16"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25, 2020</w:t>
      </w:r>
      <w:r>
        <w:rPr>
          <w:sz w:val="20"/>
          <w:szCs w:val="20"/>
          <w:color w:val="auto"/>
        </w:rPr>
        <w:tab/>
      </w:r>
      <w:r>
        <w:rPr>
          <w:rFonts w:ascii="Times New Roman" w:cs="Times New Roman" w:eastAsia="Times New Roman" w:hAnsi="Times New Roman"/>
          <w:sz w:val="16"/>
          <w:szCs w:val="16"/>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37465</wp:posOffset>
            </wp:positionV>
            <wp:extent cx="3137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Jeff Cooper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Financial and Accounting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lvl w:ilvl="1">
      <w:lvlJc w:val="left"/>
      <w:lvlText w:val="%2."/>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30" Type="http://schemas.openxmlformats.org/officeDocument/2006/relationships/hyperlink" Target="http://www.sec.gov/Archives/edgar/data/1528396/000119312512113034/d307163dex31.htm" TargetMode="External"/><Relationship Id="rId131" Type="http://schemas.openxmlformats.org/officeDocument/2006/relationships/hyperlink" Target="https://www.sec.gov/Archives/edgar/data/1528396/000152839620000045/amendedandrestatedbyla.htm" TargetMode="External"/><Relationship Id="rId132" Type="http://schemas.openxmlformats.org/officeDocument/2006/relationships/hyperlink" Target="http://www.sec.gov/Archives/edgar/data/1528396/000119312512006627/d219721dex41.htm" TargetMode="External"/><Relationship Id="rId133" Type="http://schemas.openxmlformats.org/officeDocument/2006/relationships/hyperlink" Target="http://www.sec.gov/Archives/edgar/data/1528396/000119312518080863/d548361dex41.htm" TargetMode="External"/><Relationship Id="rId134" Type="http://schemas.openxmlformats.org/officeDocument/2006/relationships/hyperlink" Target="http://www.sec.gov/Archives/edgar/data/1528396/000119312518080863/d548361dex42.htm" TargetMode="External"/><Relationship Id="rId135" Type="http://schemas.openxmlformats.org/officeDocument/2006/relationships/hyperlink" Target="http://www.sec.gov/Archives/edgar/data/1528396/000119312518080863/d548361dex43.htm" TargetMode="External"/><Relationship Id="rId136" Type="http://schemas.openxmlformats.org/officeDocument/2006/relationships/hyperlink" Target="http://www.sec.gov/Archives/edgar/data/1528396/000119312511285002/d219721dex101.htm" TargetMode="External"/><Relationship Id="rId137" Type="http://schemas.openxmlformats.org/officeDocument/2006/relationships/hyperlink" Target="http://www.sec.gov/Archives/edgar/data/1528396/000119312511240194/dex102.htm" TargetMode="External"/><Relationship Id="rId138" Type="http://schemas.openxmlformats.org/officeDocument/2006/relationships/hyperlink" Target="http://www.sec.gov/Archives/edgar/data/1528396/000119312511240194/dex103.htm" TargetMode="External"/><Relationship Id="rId139" Type="http://schemas.openxmlformats.org/officeDocument/2006/relationships/hyperlink" Target="http://www.sec.gov/Archives/edgar/data/1528396/000119312511240194/dex104.htm" TargetMode="External"/><Relationship Id="rId140" Type="http://schemas.openxmlformats.org/officeDocument/2006/relationships/hyperlink" Target="http://www.sec.gov/Archives/edgar/data/1528396/000119312511339725/d219721dex105.htm" TargetMode="External"/><Relationship Id="rId141" Type="http://schemas.openxmlformats.org/officeDocument/2006/relationships/hyperlink" Target="http://www.sec.gov/Archives/edgar/data/1528396/000119312511339725/d219721dex1012.htm" TargetMode="External"/><Relationship Id="rId142" Type="http://schemas.openxmlformats.org/officeDocument/2006/relationships/hyperlink" Target="http://www.sec.gov/Archives/edgar/data/1528396/000152839615000028/gwreex109formofpsuagreement.htm" TargetMode="External"/><Relationship Id="rId143" Type="http://schemas.openxmlformats.org/officeDocument/2006/relationships/hyperlink" Target="http://www.sec.gov/Archives/edgar/data/1528396/000119312518080863/d548361dex101.htm" TargetMode="External"/><Relationship Id="rId144" Type="http://schemas.openxmlformats.org/officeDocument/2006/relationships/hyperlink" Target="http://www.sec.gov/Archives/edgar/data/1528396/000152839618000037/hqleasebaymeadowsex1011.htm" TargetMode="External"/><Relationship Id="rId145" Type="http://schemas.openxmlformats.org/officeDocument/2006/relationships/hyperlink" Target="https://www.sec.gov/Archives/edgar/data/1528396/000119312519213000/d759177dex101.htm" TargetMode="External"/><Relationship Id="rId146" Type="http://schemas.openxmlformats.org/officeDocument/2006/relationships/hyperlink" Target="https://www.sec.gov/Archives/edgar/data/1528396/000152839620000012/a101-formofrestricteds.htm" TargetMode="External"/><Relationship Id="rId147" Type="http://schemas.openxmlformats.org/officeDocument/2006/relationships/hyperlink" Target="https://www.sec.gov/Archives/edgar/data/1528396/000152839620000012/a102-formofrestricteds.htm" TargetMode="External"/><Relationship Id="rId148" Type="http://schemas.openxmlformats.org/officeDocument/2006/relationships/hyperlink" Target="http://www.sec.gov/Archives/edgar/data/1528396/000152839620000012/a103-formofrestricteds.htm" TargetMode="External"/><Relationship Id="rId149" Type="http://schemas.openxmlformats.org/officeDocument/2006/relationships/hyperlink" Target="https://www.sec.gov/Archives/edgar/data/1528396/000152839620000012/a104-formltip.htm" TargetMode="External"/><Relationship Id="rId152" Type="http://schemas.openxmlformats.org/officeDocument/2006/relationships/hyperlink" Target="https://www.sec.gov/Archives/edgar/data/1528396/000152839620000012/a105-formnogpsu.htm" TargetMode="External"/><Relationship Id="rId153" Type="http://schemas.openxmlformats.org/officeDocument/2006/relationships/hyperlink" Target="https://www.sec.gov/Archives/edgar/data/1528396/000152839620000012/a106-guidewireformof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2020-09-28T05:22:42Z</dcterms:created>
  <dcterms:modified xsi:type="dcterms:W3CDTF">2020-09-28T05:22:42Z</dcterms:modified>
</cp:coreProperties>
</file>