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0001805719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8"/>
        <w:gridCol w:w="3547"/>
      </w:tblGrid>
      <w:tr>
        <w:trPr/>
        <w:tc>
          <w:tcPr>
            <w:tcW w:w="6658" w:type="dxa"/>
            <w:tcBorders/>
            <w:vAlign w:val="center"/>
          </w:tcPr>
          <w:p>
            <w:pPr>
              <w:pStyle w:val="TableContents"/>
              <w:bidi w:val="0"/>
              <w:spacing w:before="0" w:after="283"/>
              <w:jc w:val="left"/>
              <w:rPr/>
            </w:pPr>
            <w:r>
              <w:rPr/>
              <w:t>Name of Issuer</w:t>
            </w:r>
          </w:p>
        </w:tc>
        <w:tc>
          <w:tcPr>
            <w:tcW w:w="3547" w:type="dxa"/>
            <w:tcBorders/>
            <w:vAlign w:val="center"/>
          </w:tcPr>
          <w:p>
            <w:pPr>
              <w:pStyle w:val="TableContents"/>
              <w:bidi w:val="0"/>
              <w:spacing w:before="0" w:after="0"/>
              <w:jc w:val="left"/>
              <w:rPr/>
            </w:pPr>
            <w:r>
              <w:rPr/>
              <w:t>Guidewire Software, Inc.</w:t>
            </w:r>
          </w:p>
        </w:tc>
      </w:tr>
      <w:tr>
        <w:trPr/>
        <w:tc>
          <w:tcPr>
            <w:tcW w:w="6658" w:type="dxa"/>
            <w:tcBorders/>
            <w:vAlign w:val="center"/>
          </w:tcPr>
          <w:p>
            <w:pPr>
              <w:pStyle w:val="TableContents"/>
              <w:bidi w:val="0"/>
              <w:spacing w:before="0" w:after="283"/>
              <w:jc w:val="left"/>
              <w:rPr/>
            </w:pPr>
            <w:r>
              <w:rPr/>
              <w:t>SEC File Number</w:t>
            </w:r>
          </w:p>
        </w:tc>
        <w:tc>
          <w:tcPr>
            <w:tcW w:w="3547" w:type="dxa"/>
            <w:tcBorders/>
            <w:vAlign w:val="center"/>
          </w:tcPr>
          <w:p>
            <w:pPr>
              <w:pStyle w:val="TableContents"/>
              <w:bidi w:val="0"/>
              <w:spacing w:before="0" w:after="0"/>
              <w:jc w:val="left"/>
              <w:rPr/>
            </w:pPr>
            <w:r>
              <w:rPr/>
              <w:t>001-35394</w:t>
            </w:r>
          </w:p>
        </w:tc>
      </w:tr>
      <w:tr>
        <w:trPr/>
        <w:tc>
          <w:tcPr>
            <w:tcW w:w="6658" w:type="dxa"/>
            <w:tcBorders/>
            <w:vAlign w:val="center"/>
          </w:tcPr>
          <w:p>
            <w:pPr>
              <w:pStyle w:val="TableContents"/>
              <w:bidi w:val="0"/>
              <w:spacing w:before="0" w:after="283"/>
              <w:jc w:val="left"/>
              <w:rPr/>
            </w:pPr>
            <w:r>
              <w:rPr/>
              <w:t>Address of Issuer</w:t>
            </w:r>
          </w:p>
        </w:tc>
        <w:tc>
          <w:tcPr>
            <w:tcW w:w="3547" w:type="dxa"/>
            <w:tcBorders/>
            <w:vAlign w:val="center"/>
          </w:tcPr>
          <w:p>
            <w:pPr>
              <w:pStyle w:val="TableContents"/>
              <w:bidi w:val="0"/>
              <w:spacing w:before="0" w:after="0"/>
              <w:jc w:val="left"/>
              <w:rPr/>
            </w:pPr>
            <w:r>
              <w:rPr/>
              <w:t>970 Park Pl, Suite 200</w:t>
              <w:br/>
              <w:t>San Mateo</w:t>
              <w:br/>
              <w:t xml:space="preserve">CALIFORNIA </w:t>
              <w:br/>
              <w:t>94403</w:t>
            </w:r>
          </w:p>
        </w:tc>
      </w:tr>
      <w:tr>
        <w:trPr/>
        <w:tc>
          <w:tcPr>
            <w:tcW w:w="6658" w:type="dxa"/>
            <w:tcBorders/>
            <w:vAlign w:val="center"/>
          </w:tcPr>
          <w:p>
            <w:pPr>
              <w:pStyle w:val="TableContents"/>
              <w:bidi w:val="0"/>
              <w:spacing w:before="0" w:after="283"/>
              <w:jc w:val="left"/>
              <w:rPr/>
            </w:pPr>
            <w:r>
              <w:rPr/>
              <w:t>Phone</w:t>
            </w:r>
          </w:p>
        </w:tc>
        <w:tc>
          <w:tcPr>
            <w:tcW w:w="3547" w:type="dxa"/>
            <w:tcBorders/>
            <w:vAlign w:val="center"/>
          </w:tcPr>
          <w:p>
            <w:pPr>
              <w:pStyle w:val="TableContents"/>
              <w:bidi w:val="0"/>
              <w:spacing w:before="0" w:after="0"/>
              <w:jc w:val="left"/>
              <w:rPr/>
            </w:pPr>
            <w:r>
              <w:rPr/>
              <w:t>650-357-9100</w:t>
            </w:r>
          </w:p>
        </w:tc>
      </w:tr>
      <w:tr>
        <w:trPr/>
        <w:tc>
          <w:tcPr>
            <w:tcW w:w="6658" w:type="dxa"/>
            <w:tcBorders/>
            <w:vAlign w:val="center"/>
          </w:tcPr>
          <w:p>
            <w:pPr>
              <w:pStyle w:val="TableContents"/>
              <w:bidi w:val="0"/>
              <w:spacing w:before="0" w:after="283"/>
              <w:jc w:val="left"/>
              <w:rPr/>
            </w:pPr>
            <w:r>
              <w:rPr/>
              <w:t>Name of Person for Whose Account the Securities are To Be Sold</w:t>
            </w:r>
          </w:p>
        </w:tc>
        <w:tc>
          <w:tcPr>
            <w:tcW w:w="3547" w:type="dxa"/>
            <w:tcBorders/>
            <w:vAlign w:val="center"/>
          </w:tcPr>
          <w:p>
            <w:pPr>
              <w:pStyle w:val="TableContents"/>
              <w:bidi w:val="0"/>
              <w:spacing w:before="0" w:after="0"/>
              <w:jc w:val="left"/>
              <w:rPr/>
            </w:pPr>
            <w:r>
              <w:rPr/>
              <w:t>Jeffrey Elliott Cooper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8" w:type="dxa"/>
            <w:tcBorders/>
            <w:vAlign w:val="center"/>
          </w:tcPr>
          <w:p>
            <w:pPr>
              <w:pStyle w:val="TableContents"/>
              <w:bidi w:val="0"/>
              <w:spacing w:before="0" w:after="283"/>
              <w:jc w:val="left"/>
              <w:rPr/>
            </w:pPr>
            <w:r>
              <w:rPr/>
              <w:t>Relationship to Issuer</w:t>
            </w:r>
          </w:p>
        </w:tc>
        <w:tc>
          <w:tcPr>
            <w:tcW w:w="3547" w:type="dxa"/>
            <w:tcBorders/>
            <w:vAlign w:val="center"/>
          </w:tcPr>
          <w:p>
            <w:pPr>
              <w:pStyle w:val="TableContents"/>
              <w:bidi w:val="0"/>
              <w:spacing w:before="0" w:after="0"/>
              <w:jc w:val="left"/>
              <w:rPr/>
            </w:pPr>
            <w:r>
              <w:rPr/>
              <w:t>Chief Financial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 Stock</w:t>
            </w:r>
          </w:p>
        </w:tc>
        <w:tc>
          <w:tcPr>
            <w:tcW w:w="1509"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67" w:type="dxa"/>
            <w:tcBorders/>
            <w:vAlign w:val="center"/>
          </w:tcPr>
          <w:p>
            <w:pPr>
              <w:pStyle w:val="TableContents"/>
              <w:bidi w:val="0"/>
              <w:spacing w:before="0" w:after="283"/>
              <w:jc w:val="left"/>
              <w:rPr/>
            </w:pPr>
            <w:r>
              <w:rPr/>
              <w:t>23234</w:t>
            </w:r>
          </w:p>
        </w:tc>
        <w:tc>
          <w:tcPr>
            <w:tcW w:w="1460" w:type="dxa"/>
            <w:tcBorders/>
            <w:vAlign w:val="center"/>
          </w:tcPr>
          <w:p>
            <w:pPr>
              <w:pStyle w:val="TableContents"/>
              <w:bidi w:val="0"/>
              <w:spacing w:before="0" w:after="283"/>
              <w:jc w:val="left"/>
              <w:rPr/>
            </w:pPr>
            <w:r>
              <w:rPr/>
              <w:t>3356657.73</w:t>
            </w:r>
          </w:p>
        </w:tc>
        <w:tc>
          <w:tcPr>
            <w:tcW w:w="1550" w:type="dxa"/>
            <w:tcBorders/>
            <w:vAlign w:val="center"/>
          </w:tcPr>
          <w:p>
            <w:pPr>
              <w:pStyle w:val="TableContents"/>
              <w:bidi w:val="0"/>
              <w:spacing w:before="0" w:after="283"/>
              <w:jc w:val="left"/>
              <w:rPr/>
            </w:pPr>
            <w:r>
              <w:rPr/>
              <w:t>81992669</w:t>
            </w:r>
          </w:p>
        </w:tc>
        <w:tc>
          <w:tcPr>
            <w:tcW w:w="1565" w:type="dxa"/>
            <w:tcBorders/>
            <w:vAlign w:val="center"/>
          </w:tcPr>
          <w:p>
            <w:pPr>
              <w:pStyle w:val="TableContents"/>
              <w:bidi w:val="0"/>
              <w:spacing w:before="0" w:after="283"/>
              <w:jc w:val="left"/>
              <w:rPr/>
            </w:pPr>
            <w:r>
              <w:rPr/>
              <w:t>09/17/2026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RSU (Grant Date: 09/15/2022)</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1721</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PSU (Grant Date: 09/13/2023)</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37826</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RSU (Grant Date: 09/13/2023)</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1738</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RSU (Grant Date: 09/11/2024)</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1038</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RSU (Grant Date: 09/11/2025)</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790</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Jeffrey Elliott Cooper</w:t>
              <w:br/>
              <w:t>c/o Guidewire Software, Inc.</w:t>
              <w:br/>
              <w:t>970 Park Pl, Suite 200</w:t>
              <w:br/>
              <w:t>San Mateo   CA   94403</w:t>
            </w:r>
          </w:p>
        </w:tc>
        <w:tc>
          <w:tcPr>
            <w:tcW w:w="2950" w:type="dxa"/>
            <w:tcBorders/>
            <w:vAlign w:val="center"/>
          </w:tcPr>
          <w:p>
            <w:pPr>
              <w:pStyle w:val="TableContents"/>
              <w:bidi w:val="0"/>
              <w:spacing w:before="0" w:after="283"/>
              <w:jc w:val="left"/>
              <w:rPr/>
            </w:pPr>
            <w:r>
              <w:rPr/>
              <w:t>Common Stock</w:t>
            </w:r>
          </w:p>
        </w:tc>
        <w:tc>
          <w:tcPr>
            <w:tcW w:w="946" w:type="dxa"/>
            <w:tcBorders/>
            <w:vAlign w:val="center"/>
          </w:tcPr>
          <w:p>
            <w:pPr>
              <w:pStyle w:val="TableContents"/>
              <w:bidi w:val="0"/>
              <w:spacing w:before="0" w:after="283"/>
              <w:jc w:val="left"/>
              <w:rPr/>
            </w:pPr>
            <w:r>
              <w:rPr/>
              <w:t>06/22/2026</w:t>
            </w:r>
          </w:p>
        </w:tc>
        <w:tc>
          <w:tcPr>
            <w:tcW w:w="1564" w:type="dxa"/>
            <w:tcBorders/>
            <w:vAlign w:val="center"/>
          </w:tcPr>
          <w:p>
            <w:pPr>
              <w:pStyle w:val="TableContents"/>
              <w:bidi w:val="0"/>
              <w:spacing w:before="0" w:after="283"/>
              <w:jc w:val="left"/>
              <w:rPr/>
            </w:pPr>
            <w:r>
              <w:rPr/>
              <w:t>1348</w:t>
            </w:r>
          </w:p>
        </w:tc>
        <w:tc>
          <w:tcPr>
            <w:tcW w:w="1763" w:type="dxa"/>
            <w:tcBorders/>
            <w:vAlign w:val="center"/>
          </w:tcPr>
          <w:p>
            <w:pPr>
              <w:pStyle w:val="TableContents"/>
              <w:bidi w:val="0"/>
              <w:spacing w:before="0" w:after="283"/>
              <w:jc w:val="left"/>
              <w:rPr/>
            </w:pPr>
            <w:r>
              <w:rPr/>
              <w:t>142443.16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27"/>
        <w:gridCol w:w="8878"/>
      </w:tblGrid>
      <w:tr>
        <w:trPr/>
        <w:tc>
          <w:tcPr>
            <w:tcW w:w="1327" w:type="dxa"/>
            <w:tcBorders/>
            <w:vAlign w:val="center"/>
          </w:tcPr>
          <w:p>
            <w:pPr>
              <w:pStyle w:val="TableContents"/>
              <w:bidi w:val="0"/>
              <w:spacing w:before="0" w:after="283"/>
              <w:jc w:val="left"/>
              <w:rPr/>
            </w:pPr>
            <w:r>
              <w:rPr/>
              <w:t>Remarks</w:t>
            </w:r>
          </w:p>
        </w:tc>
        <w:tc>
          <w:tcPr>
            <w:tcW w:w="8878" w:type="dxa"/>
            <w:tcBorders/>
            <w:vAlign w:val="center"/>
          </w:tcPr>
          <w:p>
            <w:pPr>
              <w:pStyle w:val="TableContents"/>
              <w:bidi w:val="0"/>
              <w:spacing w:before="0" w:after="0"/>
              <w:jc w:val="left"/>
              <w:rPr/>
            </w:pPr>
            <w:r>
              <w:rPr/>
              <w:t>The amounts listed under 'Number of Shares to be Sold' reflect automatic sell-to-cover transactions to satisfy tax withholding obligations under the Issuer's Amended and Restated 2020 Stock Plan, representing a portion of the full RSU and PSU vests on September 15, 2026.</w:t>
            </w:r>
          </w:p>
        </w:tc>
      </w:tr>
      <w:tr>
        <w:trPr/>
        <w:tc>
          <w:tcPr>
            <w:tcW w:w="1327" w:type="dxa"/>
            <w:tcBorders/>
            <w:vAlign w:val="center"/>
          </w:tcPr>
          <w:p>
            <w:pPr>
              <w:pStyle w:val="TableContents"/>
              <w:bidi w:val="0"/>
              <w:spacing w:before="0" w:after="283"/>
              <w:jc w:val="left"/>
              <w:rPr/>
            </w:pPr>
            <w:r>
              <w:rPr/>
              <w:t>Date of Notice</w:t>
            </w:r>
          </w:p>
        </w:tc>
        <w:tc>
          <w:tcPr>
            <w:tcW w:w="8878" w:type="dxa"/>
            <w:tcBorders/>
            <w:vAlign w:val="center"/>
          </w:tcPr>
          <w:p>
            <w:pPr>
              <w:pStyle w:val="TableContents"/>
              <w:bidi w:val="0"/>
              <w:spacing w:before="0" w:after="0"/>
              <w:jc w:val="left"/>
              <w:rPr/>
            </w:pPr>
            <w:r>
              <w:rPr/>
              <w:t>09/17/2026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27" w:type="dxa"/>
            <w:tcBorders/>
            <w:vAlign w:val="center"/>
          </w:tcPr>
          <w:p>
            <w:pPr>
              <w:pStyle w:val="TableContents"/>
              <w:bidi w:val="0"/>
              <w:spacing w:before="0" w:after="283"/>
              <w:jc w:val="left"/>
              <w:rPr/>
            </w:pPr>
            <w:r>
              <w:rPr/>
              <w:t>Signature</w:t>
            </w:r>
          </w:p>
        </w:tc>
        <w:tc>
          <w:tcPr>
            <w:tcW w:w="8878" w:type="dxa"/>
            <w:tcBorders/>
            <w:vAlign w:val="center"/>
          </w:tcPr>
          <w:p>
            <w:pPr>
              <w:pStyle w:val="TableContents"/>
              <w:bidi w:val="0"/>
              <w:spacing w:before="0" w:after="0"/>
              <w:jc w:val="left"/>
              <w:rPr/>
            </w:pPr>
            <w:r>
              <w:rPr/>
              <w:t>/s/ Jeffrey Elliott Cooper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728</Words>
  <Characters>3782</Characters>
  <CharactersWithSpaces>4422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