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31, 2020</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spacing w:after="0" w:line="242" w:lineRule="exact"/>
        <w:tabs>
          <w:tab w:leader="none" w:pos="38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60"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001-35394</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Guidewire Software,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52"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4520" w:type="dxa"/>
            <w:vAlign w:val="bottom"/>
          </w:tcPr>
          <w:p>
            <w:pPr>
              <w:jc w:val="center"/>
              <w:ind w:right="176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80" w:type="dxa"/>
            <w:vAlign w:val="bottom"/>
          </w:tcPr>
          <w:p>
            <w:pPr>
              <w:jc w:val="right"/>
              <w:ind w:right="103"/>
              <w:spacing w:after="0"/>
              <w:rPr>
                <w:sz w:val="20"/>
                <w:szCs w:val="20"/>
                <w:color w:val="auto"/>
              </w:rPr>
            </w:pPr>
            <w:r>
              <w:rPr>
                <w:rFonts w:ascii="Times New Roman" w:cs="Times New Roman" w:eastAsia="Times New Roman" w:hAnsi="Times New Roman"/>
                <w:sz w:val="16"/>
                <w:szCs w:val="16"/>
                <w:b w:val="1"/>
                <w:bCs w:val="1"/>
                <w:color w:val="auto"/>
              </w:rPr>
              <w:t>36-4468504</w:t>
            </w:r>
          </w:p>
        </w:tc>
      </w:tr>
      <w:tr>
        <w:trPr>
          <w:trHeight w:val="146"/>
        </w:trPr>
        <w:tc>
          <w:tcPr>
            <w:tcW w:w="4520" w:type="dxa"/>
            <w:vAlign w:val="bottom"/>
          </w:tcPr>
          <w:p>
            <w:pPr>
              <w:jc w:val="center"/>
              <w:ind w:right="176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80" w:type="dxa"/>
            <w:vAlign w:val="bottom"/>
          </w:tcPr>
          <w:p>
            <w:pPr>
              <w:jc w:val="center"/>
              <w:ind w:left="1783"/>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20" w:type="dxa"/>
            <w:vAlign w:val="bottom"/>
          </w:tcPr>
          <w:p>
            <w:pPr>
              <w:jc w:val="center"/>
              <w:ind w:right="17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80" w:type="dxa"/>
            <w:vAlign w:val="bottom"/>
          </w:tcPr>
          <w:p>
            <w:pPr>
              <w:jc w:val="center"/>
              <w:ind w:left="178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5"/>
        </w:trPr>
        <w:tc>
          <w:tcPr>
            <w:tcW w:w="4520" w:type="dxa"/>
            <w:vAlign w:val="bottom"/>
          </w:tcPr>
          <w:p>
            <w:pPr>
              <w:jc w:val="center"/>
              <w:ind w:right="1762"/>
              <w:spacing w:after="0"/>
              <w:rPr>
                <w:sz w:val="20"/>
                <w:szCs w:val="20"/>
                <w:color w:val="auto"/>
              </w:rPr>
            </w:pPr>
            <w:r>
              <w:rPr>
                <w:rFonts w:ascii="Times New Roman" w:cs="Times New Roman" w:eastAsia="Times New Roman" w:hAnsi="Times New Roman"/>
                <w:sz w:val="16"/>
                <w:szCs w:val="16"/>
                <w:b w:val="1"/>
                <w:bCs w:val="1"/>
                <w:color w:val="auto"/>
              </w:rPr>
              <w:t>2850 S. Delaware St., Suite 400</w:t>
            </w:r>
          </w:p>
        </w:tc>
        <w:tc>
          <w:tcPr>
            <w:tcW w:w="298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94403</w:t>
            </w:r>
          </w:p>
        </w:tc>
      </w:tr>
      <w:tr>
        <w:trPr>
          <w:trHeight w:val="212"/>
        </w:trPr>
        <w:tc>
          <w:tcPr>
            <w:tcW w:w="4520" w:type="dxa"/>
            <w:vAlign w:val="bottom"/>
          </w:tcPr>
          <w:p>
            <w:pPr>
              <w:jc w:val="center"/>
              <w:ind w:right="1762"/>
              <w:spacing w:after="0"/>
              <w:rPr>
                <w:sz w:val="20"/>
                <w:szCs w:val="20"/>
                <w:color w:val="auto"/>
              </w:rPr>
            </w:pPr>
            <w:r>
              <w:rPr>
                <w:rFonts w:ascii="Times New Roman" w:cs="Times New Roman" w:eastAsia="Times New Roman" w:hAnsi="Times New Roman"/>
                <w:sz w:val="16"/>
                <w:szCs w:val="16"/>
                <w:b w:val="1"/>
                <w:bCs w:val="1"/>
                <w:color w:val="auto"/>
              </w:rPr>
              <w:t>San Mateo, California</w:t>
            </w:r>
          </w:p>
        </w:tc>
        <w:tc>
          <w:tcPr>
            <w:tcW w:w="2980" w:type="dxa"/>
            <w:vAlign w:val="bottom"/>
          </w:tcPr>
          <w:p>
            <w:pPr>
              <w:spacing w:after="0"/>
              <w:rPr>
                <w:sz w:val="18"/>
                <w:szCs w:val="18"/>
                <w:color w:val="auto"/>
              </w:rPr>
            </w:pPr>
          </w:p>
        </w:tc>
      </w:tr>
      <w:tr>
        <w:trPr>
          <w:trHeight w:val="214"/>
        </w:trPr>
        <w:tc>
          <w:tcPr>
            <w:tcW w:w="4520" w:type="dxa"/>
            <w:vAlign w:val="bottom"/>
          </w:tcPr>
          <w:p>
            <w:pPr>
              <w:jc w:val="center"/>
              <w:ind w:right="1762"/>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80" w:type="dxa"/>
            <w:vAlign w:val="bottom"/>
          </w:tcPr>
          <w:p>
            <w:pPr>
              <w:jc w:val="center"/>
              <w:ind w:left="1783"/>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200" w:lineRule="exact"/>
        <w:rPr>
          <w:sz w:val="24"/>
          <w:szCs w:val="24"/>
          <w:color w:val="auto"/>
        </w:rPr>
      </w:pP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(650) 357-9100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590" w:type="dxa"/>
        <w:tblCellMar>
          <w:top w:w="0" w:type="dxa"/>
          <w:left w:w="0" w:type="dxa"/>
          <w:bottom w:w="0" w:type="dxa"/>
          <w:right w:w="0" w:type="dxa"/>
        </w:tblCellMar>
      </w:tblPr>
      <w:tr>
        <w:trPr>
          <w:trHeight w:val="243"/>
        </w:trPr>
        <w:tc>
          <w:tcPr>
            <w:tcW w:w="3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GWRE</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3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40"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58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334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line="20" w:lineRule="exact"/>
              <w:rPr>
                <w:sz w:val="1"/>
                <w:szCs w:val="1"/>
                <w:color w:val="auto"/>
              </w:rPr>
            </w:pPr>
          </w:p>
        </w:tc>
        <w:tc>
          <w:tcPr>
            <w:tcW w:w="520" w:type="dxa"/>
            <w:vAlign w:val="bottom"/>
            <w:vMerge w:val="restart"/>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851"/>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vMerge w:val="continue"/>
          </w:tcPr>
          <w:p>
            <w:pPr>
              <w:spacing w:after="0"/>
              <w:rPr>
                <w:sz w:val="24"/>
                <w:szCs w:val="24"/>
                <w:color w:val="auto"/>
              </w:rPr>
            </w:pPr>
          </w:p>
        </w:tc>
        <w:tc>
          <w:tcPr>
            <w:tcW w:w="520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40"/>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00" w:type="dxa"/>
            <w:vAlign w:val="bottom"/>
          </w:tcPr>
          <w:p>
            <w:pPr>
              <w:ind w:left="2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firstLine="40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5" w:lineRule="exact"/>
        <w:rPr>
          <w:sz w:val="20"/>
          <w:szCs w:val="20"/>
          <w:color w:val="auto"/>
        </w:rPr>
      </w:pPr>
    </w:p>
    <w:p>
      <w:pPr>
        <w:ind w:left="460" w:right="136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November 30, 2020, the registrant had 83,754,179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7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0300" w:type="dxa"/>
            <w:vAlign w:val="bottom"/>
            <w:gridSpan w:val="10"/>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600" w:type="dxa"/>
            <w:vAlign w:val="bottom"/>
          </w:tcPr>
          <w:p>
            <w:pPr>
              <w:spacing w:after="0"/>
              <w:rPr>
                <w:sz w:val="17"/>
                <w:szCs w:val="17"/>
                <w:color w:val="auto"/>
              </w:rPr>
            </w:pPr>
          </w:p>
        </w:tc>
      </w:tr>
      <w:tr>
        <w:trPr>
          <w:trHeight w:val="790"/>
        </w:trPr>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9040" w:type="dxa"/>
            <w:vAlign w:val="bottom"/>
            <w:gridSpan w:val="8"/>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Guidewire Software, Inc.</w:t>
            </w:r>
          </w:p>
        </w:tc>
        <w:tc>
          <w:tcPr>
            <w:tcW w:w="60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40" w:type="dxa"/>
            <w:vAlign w:val="bottom"/>
            <w:gridSpan w:val="8"/>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600" w:type="dxa"/>
            <w:vAlign w:val="bottom"/>
          </w:tcPr>
          <w:p>
            <w:pPr>
              <w:spacing w:after="0"/>
              <w:rPr>
                <w:sz w:val="24"/>
                <w:szCs w:val="24"/>
                <w:color w:val="auto"/>
              </w:rPr>
            </w:pPr>
          </w:p>
        </w:tc>
      </w:tr>
      <w:tr>
        <w:trPr>
          <w:trHeight w:val="743"/>
        </w:trPr>
        <w:tc>
          <w:tcPr>
            <w:tcW w:w="10640" w:type="dxa"/>
            <w:vAlign w:val="bottom"/>
            <w:gridSpan w:val="11"/>
          </w:tcPr>
          <w:p>
            <w:pPr>
              <w:ind w:left="20"/>
              <w:spacing w:after="0"/>
              <w:rPr>
                <w:rFonts w:ascii="Times New Roman" w:cs="Times New Roman" w:eastAsia="Times New Roman" w:hAnsi="Times New Roman"/>
                <w:sz w:val="18"/>
                <w:szCs w:val="18"/>
                <w:b w:val="1"/>
                <w:bCs w:val="1"/>
                <w:u w:val="single" w:color="auto"/>
                <w:color w:val="0000FF"/>
              </w:rPr>
            </w:pPr>
            <w:hyperlink w:anchor="page5">
              <w:r>
                <w:rPr>
                  <w:rFonts w:ascii="Times New Roman" w:cs="Times New Roman" w:eastAsia="Times New Roman" w:hAnsi="Times New Roman"/>
                  <w:sz w:val="18"/>
                  <w:szCs w:val="18"/>
                  <w:b w:val="1"/>
                  <w:bCs w:val="1"/>
                  <w:u w:val="single" w:color="auto"/>
                  <w:color w:val="0000FF"/>
                </w:rPr>
                <w:t>Part I – Financial Information</w:t>
              </w:r>
            </w:hyperlink>
          </w:p>
        </w:tc>
        <w:tc>
          <w:tcPr>
            <w:tcW w:w="600" w:type="dxa"/>
            <w:vAlign w:val="bottom"/>
          </w:tcPr>
          <w:p>
            <w:pPr>
              <w:spacing w:after="0"/>
              <w:rPr>
                <w:sz w:val="24"/>
                <w:szCs w:val="24"/>
                <w:color w:val="auto"/>
              </w:rPr>
            </w:pPr>
          </w:p>
        </w:tc>
      </w:tr>
      <w:tr>
        <w:trPr>
          <w:trHeight w:val="28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9"/>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Financial Statements (unaudited):</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2</w:t>
              </w:r>
            </w:hyperlink>
          </w:p>
        </w:tc>
      </w:tr>
      <w:tr>
        <w:trPr>
          <w:trHeight w:val="283"/>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00" w:type="dxa"/>
            <w:vAlign w:val="bottom"/>
            <w:gridSpan w:val="9"/>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Balance Sheets as of October 31, 2020 and July 31, 2020</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3</w:t>
              </w:r>
            </w:hyperlink>
          </w:p>
        </w:tc>
      </w:tr>
      <w:tr>
        <w:trPr>
          <w:trHeight w:val="284"/>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700" w:type="dxa"/>
            <w:vAlign w:val="bottom"/>
            <w:gridSpan w:val="9"/>
          </w:tcPr>
          <w:p>
            <w:pPr>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Condensed Consolidated Statements of Operations for the Three Months Ended October 31, 2020 and 2019</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4</w:t>
              </w:r>
            </w:hyperlink>
          </w:p>
        </w:tc>
      </w:tr>
      <w:tr>
        <w:trPr>
          <w:trHeight w:val="243"/>
        </w:trPr>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700" w:type="dxa"/>
            <w:vAlign w:val="bottom"/>
            <w:gridSpan w:val="9"/>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u w:val="single" w:color="auto"/>
                  <w:color w:val="0000FF"/>
                </w:rPr>
                <w:t>Condensed Consolidated Statements of Comprehensive Income (Loss) for the Three Months Ended October 31, 2020</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and 2019</w:t>
            </w:r>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5</w:t>
              </w:r>
            </w:hyperlink>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700" w:type="dxa"/>
            <w:vAlign w:val="bottom"/>
            <w:gridSpan w:val="9"/>
          </w:tcPr>
          <w:p>
            <w:pPr>
              <w:spacing w:after="0"/>
              <w:rPr>
                <w:rFonts w:ascii="Times New Roman" w:cs="Times New Roman" w:eastAsia="Times New Roman" w:hAnsi="Times New Roman"/>
                <w:sz w:val="18"/>
                <w:szCs w:val="18"/>
                <w:color w:val="0000FF"/>
              </w:rPr>
            </w:pPr>
            <w:hyperlink w:anchor="page8">
              <w:r>
                <w:rPr>
                  <w:rFonts w:ascii="Times New Roman" w:cs="Times New Roman" w:eastAsia="Times New Roman" w:hAnsi="Times New Roman"/>
                  <w:sz w:val="18"/>
                  <w:szCs w:val="18"/>
                  <w:u w:val="single" w:color="auto"/>
                  <w:color w:val="0000FF"/>
                </w:rPr>
                <w:t>Condensed Consolidated Statements of Changes in Stockholders’ Equity for the Three Months Ended October 31, 2020</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and 2019</w:t>
            </w:r>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6</w:t>
              </w:r>
            </w:hyperlink>
          </w:p>
        </w:tc>
      </w:tr>
      <w:tr>
        <w:trPr>
          <w:trHeight w:val="263"/>
        </w:trPr>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20" w:type="dxa"/>
            <w:vAlign w:val="bottom"/>
            <w:gridSpan w:val="6"/>
          </w:tcPr>
          <w:p>
            <w:pPr>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 xml:space="preserve">Condensed Consolidated Statements of Cash Flows for the Three Months Ended October </w:t>
              </w:r>
            </w:hyperlink>
            <w:r>
              <w:rPr>
                <w:rFonts w:ascii="Times New Roman" w:cs="Times New Roman" w:eastAsia="Times New Roman" w:hAnsi="Times New Roman"/>
                <w:sz w:val="18"/>
                <w:szCs w:val="18"/>
                <w:color w:val="0000FF"/>
              </w:rPr>
              <w:t>31</w:t>
            </w:r>
            <w:hyperlink w:anchor="page9">
              <w:r>
                <w:rPr>
                  <w:rFonts w:ascii="Times New Roman" w:cs="Times New Roman" w:eastAsia="Times New Roman" w:hAnsi="Times New Roman"/>
                  <w:sz w:val="18"/>
                  <w:szCs w:val="18"/>
                  <w:color w:val="0000FF"/>
                </w:rPr>
                <w:t xml:space="preserve">, 2020 and </w:t>
              </w:r>
            </w:hyperlink>
            <w:r>
              <w:rPr>
                <w:rFonts w:ascii="Times New Roman" w:cs="Times New Roman" w:eastAsia="Times New Roman" w:hAnsi="Times New Roman"/>
                <w:sz w:val="18"/>
                <w:szCs w:val="18"/>
                <w:color w:val="0000FF"/>
              </w:rPr>
              <w:t>2019</w:t>
            </w:r>
          </w:p>
        </w:tc>
        <w:tc>
          <w:tcPr>
            <w:tcW w:w="720" w:type="dxa"/>
            <w:vAlign w:val="bottom"/>
            <w:tcBorders>
              <w:top w:val="single" w:sz="8" w:color="0000FF"/>
            </w:tcBorders>
            <w:gridSpan w:val="2"/>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7</w:t>
              </w:r>
            </w:hyperlink>
          </w:p>
        </w:tc>
      </w:tr>
      <w:tr>
        <w:trPr>
          <w:trHeight w:val="304"/>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40" w:type="dxa"/>
            <w:vAlign w:val="bottom"/>
            <w:tcBorders>
              <w:top w:val="single" w:sz="8" w:color="0000FF"/>
            </w:tcBorders>
            <w:gridSpan w:val="2"/>
          </w:tcPr>
          <w:p>
            <w:pPr>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Notes to Condensed Consolidated Financial Statements</w:t>
              </w:r>
            </w:hyperlink>
          </w:p>
        </w:tc>
        <w:tc>
          <w:tcPr>
            <w:tcW w:w="280" w:type="dxa"/>
            <w:vAlign w:val="bottom"/>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900" w:type="dxa"/>
            <w:vAlign w:val="bottom"/>
            <w:gridSpan w:val="5"/>
          </w:tcPr>
          <w:p>
            <w:pPr>
              <w:spacing w:after="0"/>
              <w:rPr>
                <w:sz w:val="24"/>
                <w:szCs w:val="24"/>
                <w:color w:val="auto"/>
              </w:rPr>
            </w:pPr>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9</w:t>
              </w:r>
            </w:hyperlink>
          </w:p>
        </w:tc>
      </w:tr>
      <w:tr>
        <w:trPr>
          <w:trHeight w:val="28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9"/>
          </w:tcPr>
          <w:p>
            <w:pPr>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33</w:t>
              </w:r>
            </w:hyperlink>
          </w:p>
        </w:tc>
      </w:tr>
      <w:tr>
        <w:trPr>
          <w:trHeight w:val="28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9"/>
          </w:tcPr>
          <w:p>
            <w:pPr>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Quantitative and Qualitative Disclosures about Market Risk</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49</w:t>
              </w:r>
            </w:hyperlink>
          </w:p>
        </w:tc>
      </w:tr>
      <w:tr>
        <w:trPr>
          <w:trHeight w:val="28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9"/>
          </w:tcPr>
          <w:p>
            <w:pPr>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Controls and Procedures</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49</w:t>
              </w:r>
            </w:hyperlink>
          </w:p>
        </w:tc>
      </w:tr>
      <w:tr>
        <w:trPr>
          <w:trHeight w:val="283"/>
        </w:trPr>
        <w:tc>
          <w:tcPr>
            <w:tcW w:w="10640" w:type="dxa"/>
            <w:vAlign w:val="bottom"/>
            <w:gridSpan w:val="11"/>
          </w:tcPr>
          <w:p>
            <w:pPr>
              <w:ind w:left="20"/>
              <w:spacing w:after="0"/>
              <w:rPr>
                <w:rFonts w:ascii="Times New Roman" w:cs="Times New Roman" w:eastAsia="Times New Roman" w:hAnsi="Times New Roman"/>
                <w:sz w:val="18"/>
                <w:szCs w:val="18"/>
                <w:b w:val="1"/>
                <w:bCs w:val="1"/>
                <w:u w:val="single" w:color="auto"/>
                <w:color w:val="0000FF"/>
              </w:rPr>
            </w:pPr>
            <w:hyperlink w:anchor="page53">
              <w:r>
                <w:rPr>
                  <w:rFonts w:ascii="Times New Roman" w:cs="Times New Roman" w:eastAsia="Times New Roman" w:hAnsi="Times New Roman"/>
                  <w:sz w:val="18"/>
                  <w:szCs w:val="18"/>
                  <w:b w:val="1"/>
                  <w:bCs w:val="1"/>
                  <w:u w:val="single" w:color="auto"/>
                  <w:color w:val="0000FF"/>
                </w:rPr>
                <w:t>Part II – Other Information</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51</w:t>
              </w:r>
            </w:hyperlink>
          </w:p>
        </w:tc>
      </w:tr>
      <w:tr>
        <w:trPr>
          <w:trHeight w:val="28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9"/>
          </w:tcPr>
          <w:p>
            <w:pPr>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Legal Proceedings</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51</w:t>
              </w:r>
            </w:hyperlink>
          </w:p>
        </w:tc>
      </w:tr>
      <w:tr>
        <w:trPr>
          <w:trHeight w:val="28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9"/>
          </w:tcPr>
          <w:p>
            <w:pPr>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Risk Factors</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51</w:t>
              </w:r>
            </w:hyperlink>
          </w:p>
        </w:tc>
      </w:tr>
      <w:tr>
        <w:trPr>
          <w:trHeight w:val="283"/>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9"/>
          </w:tcPr>
          <w:p>
            <w:pPr>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Unregistered Sales of Equity Securities and Use of Proceeds</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74</w:t>
              </w:r>
            </w:hyperlink>
          </w:p>
        </w:tc>
      </w:tr>
      <w:tr>
        <w:trPr>
          <w:trHeight w:val="284"/>
        </w:trPr>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700" w:type="dxa"/>
            <w:vAlign w:val="bottom"/>
            <w:gridSpan w:val="9"/>
          </w:tcPr>
          <w:p>
            <w:pPr>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Exhibits</w:t>
              </w:r>
            </w:hyperlink>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76</w:t>
              </w:r>
            </w:hyperlink>
          </w:p>
        </w:tc>
      </w:tr>
      <w:tr>
        <w:trPr>
          <w:trHeight w:val="284"/>
        </w:trPr>
        <w:tc>
          <w:tcPr>
            <w:tcW w:w="94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Signatures</w:t>
              </w:r>
            </w:hyperlink>
          </w:p>
        </w:tc>
        <w:tc>
          <w:tcPr>
            <w:tcW w:w="6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77</w:t>
              </w:r>
            </w:hyperlink>
          </w:p>
        </w:tc>
      </w:tr>
      <w:tr>
        <w:trPr>
          <w:trHeight w:val="1235"/>
        </w:trPr>
        <w:tc>
          <w:tcPr>
            <w:tcW w:w="3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 w:name="page4"/>
    <w:bookmarkEnd w:id="3"/>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and the Securities Exchange Act of 1934, which are subject to risks and uncertainties. The forward-looking statements may include statements concerning, among other things, our business strategy (including anticipated trends and developments in, and management plans for, our business and the markets in which we operate), financial results, results of operations, revenue, gross margins, operating expenses, products, projected costs and capital expenditures, research and development programs, sales and marketing initiatives, and competition.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 Examples of forward-looking statements include statements regarding:</w:t>
      </w:r>
    </w:p>
    <w:p>
      <w:pPr>
        <w:spacing w:after="0" w:line="21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growth prospects of the property &amp; casualty (“P&amp;C”) insurance industry and our company;</w:t>
      </w:r>
    </w:p>
    <w:p>
      <w:pPr>
        <w:spacing w:after="0" w:line="63" w:lineRule="exact"/>
        <w:rPr>
          <w:rFonts w:ascii="Times New Roman" w:cs="Times New Roman" w:eastAsia="Times New Roman" w:hAnsi="Times New Roman"/>
          <w:sz w:val="18"/>
          <w:szCs w:val="18"/>
          <w:i w:val="1"/>
          <w:iCs w:val="1"/>
          <w:color w:val="auto"/>
        </w:rPr>
      </w:pPr>
    </w:p>
    <w:p>
      <w:pPr>
        <w:ind w:left="660" w:right="40" w:hanging="328"/>
        <w:spacing w:after="0" w:line="281"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developing market for subscription services and uncertainties attendant on emerging sales and delivery models, including the migration of our existing term license customers to subscription services;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trends in and timing of future sales, including the mix between license and subscription revenue and seasonality;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competitive environment and changes thereto;</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competitive attributes of our software applications and delivery models;</w:t>
      </w:r>
    </w:p>
    <w:p>
      <w:pPr>
        <w:spacing w:after="0" w:line="63" w:lineRule="exact"/>
        <w:rPr>
          <w:rFonts w:ascii="Times New Roman" w:cs="Times New Roman" w:eastAsia="Times New Roman" w:hAnsi="Times New Roman"/>
          <w:sz w:val="18"/>
          <w:szCs w:val="18"/>
          <w:i w:val="1"/>
          <w:iCs w:val="1"/>
          <w:color w:val="auto"/>
        </w:rPr>
      </w:pPr>
    </w:p>
    <w:p>
      <w:pPr>
        <w:ind w:left="660" w:right="500" w:hanging="328"/>
        <w:spacing w:after="0" w:line="281"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and number of professional services engagements and the billing rates and utilization of our professional services employees and contractors;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challenges to further increase sales both in the United States and internationally;</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research and development and cloud operations investment and efforts;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expenses to be incurred, and benefits to be achieved, from our acquisitions;</w:t>
      </w:r>
    </w:p>
    <w:p>
      <w:pPr>
        <w:spacing w:after="0" w:line="63" w:lineRule="exact"/>
        <w:rPr>
          <w:rFonts w:ascii="Times New Roman" w:cs="Times New Roman" w:eastAsia="Times New Roman" w:hAnsi="Times New Roman"/>
          <w:sz w:val="18"/>
          <w:szCs w:val="18"/>
          <w:i w:val="1"/>
          <w:iCs w:val="1"/>
          <w:color w:val="auto"/>
        </w:rPr>
      </w:pPr>
    </w:p>
    <w:p>
      <w:pPr>
        <w:ind w:left="660" w:right="8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gross and operating margins and factors that affect such margins, including costs related to operating, securing and enhancing our subscription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provision for tax liabilities, judgments related to revenue recognition, and other critical accounting estimates;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and amount of any share repurchases by us;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new regulations and laws, including tax laws and accounting standards;</w:t>
      </w:r>
    </w:p>
    <w:p>
      <w:pPr>
        <w:spacing w:after="0" w:line="63" w:lineRule="exact"/>
        <w:rPr>
          <w:rFonts w:ascii="Times New Roman" w:cs="Times New Roman" w:eastAsia="Times New Roman" w:hAnsi="Times New Roman"/>
          <w:sz w:val="18"/>
          <w:szCs w:val="18"/>
          <w:i w:val="1"/>
          <w:iCs w:val="1"/>
          <w:color w:val="auto"/>
        </w:rPr>
      </w:pPr>
    </w:p>
    <w:p>
      <w:pPr>
        <w:ind w:left="660" w:right="80" w:hanging="328"/>
        <w:spacing w:after="0" w:line="262" w:lineRule="auto"/>
        <w:tabs>
          <w:tab w:leader="none" w:pos="6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exposure to market risks, including geographical and political events that may negatively impact our customers, partners, and vendors or our business operations;</w:t>
      </w:r>
    </w:p>
    <w:p>
      <w:pPr>
        <w:spacing w:after="0" w:line="20" w:lineRule="exact"/>
        <w:rPr>
          <w:rFonts w:ascii="Times New Roman" w:cs="Times New Roman" w:eastAsia="Times New Roman" w:hAnsi="Times New Roman"/>
          <w:sz w:val="18"/>
          <w:szCs w:val="18"/>
          <w:i w:val="1"/>
          <w:iCs w:val="1"/>
          <w:color w:val="auto"/>
        </w:rPr>
      </w:pPr>
    </w:p>
    <w:p>
      <w:pPr>
        <w:ind w:left="660" w:right="260" w:hanging="328"/>
        <w:spacing w:after="0"/>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the effect of uncertainties related to the global COVID-19 pandemic and U.S. presidential election on U.S. and global economies, our business, our employees, results of operations, financial condition, demand for our products, sales and implementation cycles, and the health of our customers' and partners' businesses;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defend litigation brought against us; and</w:t>
      </w:r>
    </w:p>
    <w:p>
      <w:pPr>
        <w:spacing w:after="0" w:line="42"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satisfy future liquidity requirements.</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20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We do not undertake any obligation to update any forward-looking statements in this report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we are referring to Guidewire Software, Inc. together with its subsidiaries when we use the terms “Guidewire,” the “Company,” “we,” “our,” or “us.”</w:t>
      </w: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83"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50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0"/>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24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4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40" w:type="dxa"/>
            <w:vAlign w:val="bottom"/>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32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366,969</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766,527</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$1,233 and $1,276, respectively</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114,242</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49,491</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45,989</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1,349,095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1,343,218</w:t>
            </w:r>
          </w:p>
        </w:tc>
        <w:tc>
          <w:tcPr>
            <w:tcW w:w="0" w:type="dxa"/>
            <w:vAlign w:val="bottom"/>
          </w:tcPr>
          <w:p>
            <w:pPr>
              <w:spacing w:after="0"/>
              <w:rPr>
                <w:sz w:val="1"/>
                <w:szCs w:val="1"/>
                <w:color w:val="auto"/>
              </w:rPr>
            </w:pPr>
          </w:p>
        </w:tc>
      </w:tr>
      <w:tr>
        <w:trPr>
          <w:trHeight w:val="223"/>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300,771</w:t>
            </w:r>
          </w:p>
        </w:tc>
        <w:tc>
          <w:tcPr>
            <w:tcW w:w="0" w:type="dxa"/>
            <w:vAlign w:val="bottom"/>
          </w:tcPr>
          <w:p>
            <w:pPr>
              <w:spacing w:after="0"/>
              <w:rPr>
                <w:sz w:val="1"/>
                <w:szCs w:val="1"/>
                <w:color w:val="auto"/>
              </w:rPr>
            </w:pPr>
          </w:p>
        </w:tc>
      </w:tr>
      <w:tr>
        <w:trPr>
          <w:trHeight w:val="230"/>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34,737</w:t>
            </w:r>
          </w:p>
        </w:tc>
        <w:tc>
          <w:tcPr>
            <w:tcW w:w="0" w:type="dxa"/>
            <w:vAlign w:val="bottom"/>
          </w:tcPr>
          <w:p>
            <w:pPr>
              <w:spacing w:after="0"/>
              <w:rPr>
                <w:sz w:val="1"/>
                <w:szCs w:val="1"/>
                <w:color w:val="auto"/>
              </w:rPr>
            </w:pPr>
          </w:p>
        </w:tc>
      </w:tr>
      <w:tr>
        <w:trPr>
          <w:trHeight w:val="229"/>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65,235</w:t>
            </w:r>
          </w:p>
        </w:tc>
        <w:tc>
          <w:tcPr>
            <w:tcW w:w="0" w:type="dxa"/>
            <w:vAlign w:val="bottom"/>
          </w:tcPr>
          <w:p>
            <w:pPr>
              <w:spacing w:after="0"/>
              <w:rPr>
                <w:sz w:val="1"/>
                <w:szCs w:val="1"/>
                <w:color w:val="auto"/>
              </w:rPr>
            </w:pPr>
          </w:p>
        </w:tc>
      </w:tr>
      <w:tr>
        <w:trPr>
          <w:trHeight w:val="230"/>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103,797</w:t>
            </w:r>
          </w:p>
        </w:tc>
        <w:tc>
          <w:tcPr>
            <w:tcW w:w="0" w:type="dxa"/>
            <w:vAlign w:val="bottom"/>
          </w:tcPr>
          <w:p>
            <w:pPr>
              <w:spacing w:after="0"/>
              <w:rPr>
                <w:sz w:val="1"/>
                <w:szCs w:val="1"/>
                <w:color w:val="auto"/>
              </w:rPr>
            </w:pPr>
          </w:p>
        </w:tc>
      </w:tr>
      <w:tr>
        <w:trPr>
          <w:trHeight w:val="229"/>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29"/>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340,877</w:t>
            </w:r>
          </w:p>
        </w:tc>
        <w:tc>
          <w:tcPr>
            <w:tcW w:w="0" w:type="dxa"/>
            <w:vAlign w:val="bottom"/>
          </w:tcPr>
          <w:p>
            <w:pPr>
              <w:spacing w:after="0"/>
              <w:rPr>
                <w:sz w:val="1"/>
                <w:szCs w:val="1"/>
                <w:color w:val="auto"/>
              </w:rPr>
            </w:pPr>
          </w:p>
        </w:tc>
      </w:tr>
      <w:tr>
        <w:trPr>
          <w:trHeight w:val="230"/>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34,944</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2,364,852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22,634</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118,311</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225,198</w:t>
            </w:r>
          </w:p>
        </w:tc>
        <w:tc>
          <w:tcPr>
            <w:tcW w:w="0" w:type="dxa"/>
            <w:vAlign w:val="bottom"/>
          </w:tcPr>
          <w:p>
            <w:pPr>
              <w:spacing w:after="0"/>
              <w:rPr>
                <w:sz w:val="1"/>
                <w:szCs w:val="1"/>
                <w:color w:val="auto"/>
              </w:rPr>
            </w:pPr>
          </w:p>
        </w:tc>
      </w:tr>
      <w:tr>
        <w:trPr>
          <w:trHeight w:val="230"/>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119,408</w:t>
            </w:r>
          </w:p>
        </w:tc>
        <w:tc>
          <w:tcPr>
            <w:tcW w:w="0" w:type="dxa"/>
            <w:vAlign w:val="bottom"/>
          </w:tcPr>
          <w:p>
            <w:pPr>
              <w:spacing w:after="0"/>
              <w:rPr>
                <w:sz w:val="1"/>
                <w:szCs w:val="1"/>
                <w:color w:val="auto"/>
              </w:rPr>
            </w:pPr>
          </w:p>
        </w:tc>
      </w:tr>
      <w:tr>
        <w:trPr>
          <w:trHeight w:val="229"/>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330,208</w:t>
            </w:r>
          </w:p>
        </w:tc>
        <w:tc>
          <w:tcPr>
            <w:tcW w:w="0" w:type="dxa"/>
            <w:vAlign w:val="bottom"/>
          </w:tcPr>
          <w:p>
            <w:pPr>
              <w:spacing w:after="0"/>
              <w:rPr>
                <w:sz w:val="1"/>
                <w:szCs w:val="1"/>
                <w:color w:val="auto"/>
              </w:rPr>
            </w:pPr>
          </w:p>
        </w:tc>
      </w:tr>
      <w:tr>
        <w:trPr>
          <w:trHeight w:val="230"/>
        </w:trPr>
        <w:tc>
          <w:tcPr>
            <w:tcW w:w="7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18,585</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708,084</w:t>
            </w:r>
          </w:p>
        </w:tc>
        <w:tc>
          <w:tcPr>
            <w:tcW w:w="0" w:type="dxa"/>
            <w:vAlign w:val="bottom"/>
          </w:tcPr>
          <w:p>
            <w:pPr>
              <w:spacing w:after="0"/>
              <w:rPr>
                <w:sz w:val="1"/>
                <w:szCs w:val="1"/>
                <w:color w:val="auto"/>
              </w:rPr>
            </w:pPr>
          </w:p>
        </w:tc>
      </w:tr>
      <w:tr>
        <w:trPr>
          <w:trHeight w:val="210"/>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1,499,050</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162,956</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1,656,768</w:t>
            </w:r>
          </w:p>
        </w:tc>
        <w:tc>
          <w:tcPr>
            <w:tcW w:w="0" w:type="dxa"/>
            <w:vAlign w:val="bottom"/>
          </w:tcPr>
          <w:p>
            <w:pPr>
              <w:spacing w:after="0"/>
              <w:rPr>
                <w:sz w:val="1"/>
                <w:szCs w:val="1"/>
                <w:color w:val="auto"/>
              </w:rPr>
            </w:pPr>
          </w:p>
        </w:tc>
      </w:tr>
      <w:tr>
        <w:trPr>
          <w:trHeight w:val="223"/>
        </w:trPr>
        <w:tc>
          <w:tcPr>
            <w:tcW w:w="7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2,338,957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2,364,852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28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0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2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shares and per share amounts)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54,363</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53,616</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157,010</w:t>
            </w:r>
          </w:p>
        </w:tc>
        <w:tc>
          <w:tcPr>
            <w:tcW w:w="0" w:type="dxa"/>
            <w:vAlign w:val="bottom"/>
          </w:tcPr>
          <w:p>
            <w:pPr>
              <w:spacing w:after="0"/>
              <w:rPr>
                <w:sz w:val="1"/>
                <w:szCs w:val="1"/>
                <w:color w:val="auto"/>
              </w:rPr>
            </w:pPr>
          </w:p>
        </w:tc>
      </w:tr>
      <w:tr>
        <w:trPr>
          <w:trHeight w:val="20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53,366</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82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80,856</w:t>
            </w:r>
          </w:p>
        </w:tc>
        <w:tc>
          <w:tcPr>
            <w:tcW w:w="0" w:type="dxa"/>
            <w:vAlign w:val="bottom"/>
          </w:tcPr>
          <w:p>
            <w:pPr>
              <w:spacing w:after="0"/>
              <w:rPr>
                <w:sz w:val="1"/>
                <w:szCs w:val="1"/>
                <w:color w:val="auto"/>
              </w:rPr>
            </w:pPr>
          </w:p>
        </w:tc>
      </w:tr>
      <w:tr>
        <w:trPr>
          <w:trHeight w:val="20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51,806</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76,154</w:t>
            </w:r>
          </w:p>
        </w:tc>
        <w:tc>
          <w:tcPr>
            <w:tcW w:w="0" w:type="dxa"/>
            <w:vAlign w:val="bottom"/>
          </w:tcPr>
          <w:p>
            <w:pPr>
              <w:spacing w:after="0"/>
              <w:rPr>
                <w:sz w:val="1"/>
                <w:szCs w:val="1"/>
                <w:color w:val="auto"/>
              </w:rPr>
            </w:pPr>
          </w:p>
        </w:tc>
      </w:tr>
      <w:tr>
        <w:trPr>
          <w:trHeight w:val="210"/>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46,496</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33,016</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82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100,751</w:t>
            </w:r>
          </w:p>
        </w:tc>
        <w:tc>
          <w:tcPr>
            <w:tcW w:w="0" w:type="dxa"/>
            <w:vAlign w:val="bottom"/>
          </w:tcPr>
          <w:p>
            <w:pPr>
              <w:spacing w:after="0"/>
              <w:rPr>
                <w:sz w:val="1"/>
                <w:szCs w:val="1"/>
                <w:color w:val="auto"/>
              </w:rPr>
            </w:pPr>
          </w:p>
        </w:tc>
      </w:tr>
      <w:tr>
        <w:trPr>
          <w:trHeight w:val="223"/>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8280" w:type="dxa"/>
            <w:vAlign w:val="bottom"/>
            <w:gridSpan w:val="2"/>
            <w:vMerge w:val="continue"/>
          </w:tcPr>
          <w:p>
            <w:pPr>
              <w:spacing w:after="0"/>
              <w:rPr>
                <w:sz w:val="17"/>
                <w:szCs w:val="17"/>
                <w:color w:val="auto"/>
              </w:rPr>
            </w:pPr>
          </w:p>
        </w:tc>
        <w:tc>
          <w:tcPr>
            <w:tcW w:w="24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2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83,613,287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82,360,891</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83,613,287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82,360,891</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52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768"/>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26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6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45"/>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3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October</w:t>
            </w:r>
          </w:p>
        </w:tc>
      </w:tr>
      <w:tr>
        <w:trPr>
          <w:trHeight w:val="230"/>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860" w:type="dxa"/>
            <w:vAlign w:val="bottom"/>
            <w:tcBorders>
              <w:bottom w:val="single" w:sz="8" w:color="auto"/>
            </w:tcBorders>
          </w:tcPr>
          <w:p>
            <w:pPr>
              <w:spacing w:after="0"/>
              <w:rPr>
                <w:sz w:val="19"/>
                <w:szCs w:val="19"/>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8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r>
      <w:tr>
        <w:trPr>
          <w:trHeight w:val="229"/>
        </w:trPr>
        <w:tc>
          <w:tcPr>
            <w:tcW w:w="8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40" w:type="dxa"/>
            <w:vAlign w:val="bottom"/>
            <w:shd w:val="clear" w:color="auto" w:fill="CCEEFF"/>
          </w:tcPr>
          <w:p>
            <w:pPr>
              <w:spacing w:after="0"/>
              <w:rPr>
                <w:sz w:val="19"/>
                <w:szCs w:val="19"/>
                <w:color w:val="auto"/>
              </w:rPr>
            </w:pPr>
          </w:p>
        </w:tc>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340" w:type="dxa"/>
            <w:vAlign w:val="bottom"/>
          </w:tcPr>
          <w:p>
            <w:pPr>
              <w:spacing w:after="0"/>
              <w:rPr>
                <w:sz w:val="19"/>
                <w:szCs w:val="19"/>
                <w:color w:val="auto"/>
              </w:rPr>
            </w:pPr>
          </w:p>
        </w:tc>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gains (losses) on available-for-sale securities</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29"/>
        </w:trPr>
        <w:tc>
          <w:tcPr>
            <w:tcW w:w="340" w:type="dxa"/>
            <w:vAlign w:val="bottom"/>
            <w:shd w:val="clear" w:color="auto" w:fill="CCEEFF"/>
          </w:tcPr>
          <w:p>
            <w:pPr>
              <w:spacing w:after="0"/>
              <w:rPr>
                <w:sz w:val="19"/>
                <w:szCs w:val="19"/>
                <w:color w:val="auto"/>
              </w:rPr>
            </w:pPr>
          </w:p>
        </w:tc>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 on unrealized gains (losses) on available-for-sale securities</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340" w:type="dxa"/>
            <w:vAlign w:val="bottom"/>
            <w:tcBorders>
              <w:bottom w:val="single" w:sz="8" w:color="CCEEFF"/>
            </w:tcBorders>
          </w:tcPr>
          <w:p>
            <w:pPr>
              <w:spacing w:after="0"/>
              <w:rPr>
                <w:sz w:val="19"/>
                <w:szCs w:val="19"/>
                <w:color w:val="auto"/>
              </w:rPr>
            </w:pPr>
          </w:p>
        </w:tc>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realized gains (losses) included in net income (loss)</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340" w:type="dxa"/>
            <w:vAlign w:val="bottom"/>
            <w:shd w:val="clear" w:color="auto" w:fill="CCEEFF"/>
          </w:tcPr>
          <w:p>
            <w:pPr>
              <w:spacing w:after="0"/>
              <w:rPr>
                <w:sz w:val="19"/>
                <w:szCs w:val="19"/>
                <w:color w:val="auto"/>
              </w:rPr>
            </w:pPr>
          </w:p>
        </w:tc>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23"/>
        </w:trPr>
        <w:tc>
          <w:tcPr>
            <w:tcW w:w="8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(13,809)</w:t>
            </w: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GUIDEWIRE SOFTWARE,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STOCKHOLDERS’ EQUITY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7"/>
          <w:szCs w:val="17"/>
          <w:b w:val="1"/>
          <w:bCs w:val="1"/>
          <w:color w:val="auto"/>
        </w:rPr>
        <w:t>unaudited, in thousands except share amounts</w:t>
      </w:r>
      <w:r>
        <w:rPr>
          <w:rFonts w:ascii="Times New Roman" w:cs="Times New Roman" w:eastAsia="Times New Roman" w:hAnsi="Times New Roman"/>
          <w:sz w:val="16"/>
          <w:szCs w:val="16"/>
          <w:b w:val="1"/>
          <w:bCs w:val="1"/>
          <w:color w:val="auto"/>
        </w:rPr>
        <w:t>)</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60" w:type="dxa"/>
            <w:vAlign w:val="bottom"/>
            <w:gridSpan w:val="6"/>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68"/>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gridSpan w:val="6"/>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3"/>
          </w:tcPr>
          <w:p>
            <w:pPr>
              <w:jc w:val="center"/>
              <w:ind w:right="280"/>
              <w:spacing w:after="0" w:line="102"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8"/>
                <w:szCs w:val="8"/>
                <w:color w:val="auto"/>
              </w:rPr>
            </w:pPr>
          </w:p>
        </w:tc>
        <w:tc>
          <w:tcPr>
            <w:tcW w:w="150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comprehensive income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tcPr>
          <w:p>
            <w:pPr>
              <w:ind w:left="120"/>
              <w:spacing w:after="0" w:line="10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2020</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83,461,925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1,499,050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(5,246)</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162,956</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1,656,768</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2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Issuance of common stock upon vesting of Restricted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339,759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Units (“RSUs”)</w:t>
            </w:r>
          </w:p>
        </w:tc>
        <w:tc>
          <w:tcPr>
            <w:tcW w:w="10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(48,997)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2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Unrealized gain (loss) on available-for-sale securities, net</w:t>
            </w:r>
          </w:p>
        </w:tc>
        <w:tc>
          <w:tcPr>
            <w:tcW w:w="20" w:type="dxa"/>
            <w:vAlign w:val="bottom"/>
          </w:tcPr>
          <w:p>
            <w:pPr>
              <w:spacing w:after="0"/>
              <w:rPr>
                <w:sz w:val="11"/>
                <w:szCs w:val="11"/>
                <w:color w:val="auto"/>
              </w:rPr>
            </w:pPr>
          </w:p>
        </w:tc>
        <w:tc>
          <w:tcPr>
            <w:tcW w:w="10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tax</w:t>
            </w:r>
          </w:p>
        </w:tc>
        <w:tc>
          <w:tcPr>
            <w:tcW w:w="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37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4"/>
                <w:szCs w:val="14"/>
                <w:color w:val="auto"/>
              </w:rPr>
              <w:t>Reclassification adjustment for realized gain (loss) on</w:t>
            </w:r>
          </w:p>
        </w:tc>
        <w:tc>
          <w:tcPr>
            <w:tcW w:w="20" w:type="dxa"/>
            <w:vAlign w:val="bottom"/>
            <w:shd w:val="clear" w:color="auto" w:fill="CCEEFF"/>
          </w:tcPr>
          <w:p>
            <w:pPr>
              <w:spacing w:after="0"/>
              <w:rPr>
                <w:sz w:val="11"/>
                <w:szCs w:val="11"/>
                <w:color w:val="auto"/>
              </w:rPr>
            </w:pPr>
          </w:p>
        </w:tc>
        <w:tc>
          <w:tcPr>
            <w:tcW w:w="10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available-for-sale securities, included in net income (loss)</w:t>
            </w:r>
          </w:p>
        </w:tc>
        <w:tc>
          <w:tcPr>
            <w:tcW w:w="2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31, 2020</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83,791,856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1,529,160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(7,073)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137,766</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1,659,861</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7"/>
        </w:trPr>
        <w:tc>
          <w:tcPr>
            <w:tcW w:w="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gridSpan w:val="7"/>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tcBorders>
              <w:bottom w:val="single" w:sz="8" w:color="auto"/>
            </w:tcBorders>
            <w:gridSpan w:val="7"/>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3"/>
          </w:tcPr>
          <w:p>
            <w:pPr>
              <w:jc w:val="center"/>
              <w:ind w:right="240"/>
              <w:spacing w:after="0" w:line="103" w:lineRule="exact"/>
              <w:rPr>
                <w:sz w:val="20"/>
                <w:szCs w:val="20"/>
                <w:color w:val="auto"/>
              </w:rPr>
            </w:pPr>
            <w:r>
              <w:rPr>
                <w:rFonts w:ascii="Times New Roman" w:cs="Times New Roman" w:eastAsia="Times New Roman" w:hAnsi="Times New Roman"/>
                <w:sz w:val="11"/>
                <w:szCs w:val="11"/>
                <w:b w:val="1"/>
                <w:bCs w:val="1"/>
                <w:color w:val="auto"/>
              </w:rPr>
              <w:t>paid-in</w:t>
            </w:r>
          </w:p>
        </w:tc>
        <w:tc>
          <w:tcPr>
            <w:tcW w:w="40" w:type="dxa"/>
            <w:vAlign w:val="bottom"/>
          </w:tcPr>
          <w:p>
            <w:pPr>
              <w:spacing w:after="0"/>
              <w:rPr>
                <w:sz w:val="8"/>
                <w:szCs w:val="8"/>
                <w:color w:val="auto"/>
              </w:rPr>
            </w:pPr>
          </w:p>
        </w:tc>
        <w:tc>
          <w:tcPr>
            <w:tcW w:w="1500" w:type="dxa"/>
            <w:vAlign w:val="bottom"/>
            <w:gridSpan w:val="2"/>
          </w:tcPr>
          <w:p>
            <w:pPr>
              <w:jc w:val="center"/>
              <w:spacing w:after="0" w:line="103" w:lineRule="exact"/>
              <w:rPr>
                <w:sz w:val="20"/>
                <w:szCs w:val="20"/>
                <w:color w:val="auto"/>
              </w:rPr>
            </w:pPr>
            <w:r>
              <w:rPr>
                <w:rFonts w:ascii="Times New Roman" w:cs="Times New Roman" w:eastAsia="Times New Roman" w:hAnsi="Times New Roman"/>
                <w:sz w:val="11"/>
                <w:szCs w:val="11"/>
                <w:b w:val="1"/>
                <w:bCs w:val="1"/>
                <w:color w:val="auto"/>
              </w:rPr>
              <w:t>comprehensive income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tcPr>
          <w:p>
            <w:pPr>
              <w:ind w:left="100"/>
              <w:spacing w:after="0" w:line="103"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tcPr>
          <w:p>
            <w:pPr>
              <w:jc w:val="center"/>
              <w:ind w:right="200"/>
              <w:spacing w:after="0" w:line="103"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July 31, 2019</w:t>
            </w:r>
          </w:p>
        </w:tc>
        <w:tc>
          <w:tcPr>
            <w:tcW w:w="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82,140,883</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1,391,904</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(7,758)</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190,047</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1,574,201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 loss)</w:t>
            </w:r>
          </w:p>
        </w:tc>
        <w:tc>
          <w:tcPr>
            <w:tcW w:w="2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411,825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4"/>
                <w:szCs w:val="14"/>
                <w:color w:val="auto"/>
              </w:rPr>
              <w:t>Unrealized gain (loss) on available-for-sale securities, net</w:t>
            </w:r>
          </w:p>
        </w:tc>
        <w:tc>
          <w:tcPr>
            <w:tcW w:w="20" w:type="dxa"/>
            <w:vAlign w:val="bottom"/>
            <w:shd w:val="clear" w:color="auto" w:fill="CCEEFF"/>
          </w:tcPr>
          <w:p>
            <w:pPr>
              <w:spacing w:after="0"/>
              <w:rPr>
                <w:sz w:val="11"/>
                <w:szCs w:val="11"/>
                <w:color w:val="auto"/>
              </w:rPr>
            </w:pPr>
          </w:p>
        </w:tc>
        <w:tc>
          <w:tcPr>
            <w:tcW w:w="10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of tax</w:t>
            </w:r>
          </w:p>
        </w:tc>
        <w:tc>
          <w:tcPr>
            <w:tcW w:w="2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2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Reclassification adjustment for realized gain (loss) on</w:t>
            </w:r>
          </w:p>
        </w:tc>
        <w:tc>
          <w:tcPr>
            <w:tcW w:w="20" w:type="dxa"/>
            <w:vAlign w:val="bottom"/>
          </w:tcPr>
          <w:p>
            <w:pPr>
              <w:spacing w:after="0"/>
              <w:rPr>
                <w:sz w:val="11"/>
                <w:szCs w:val="11"/>
                <w:color w:val="auto"/>
              </w:rPr>
            </w:pPr>
          </w:p>
        </w:tc>
        <w:tc>
          <w:tcPr>
            <w:tcW w:w="10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available-for-sale securities, included in net income (loss)</w:t>
            </w:r>
          </w:p>
        </w:tc>
        <w:tc>
          <w:tcPr>
            <w:tcW w:w="2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2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4"/>
                <w:szCs w:val="14"/>
                <w:color w:val="auto"/>
              </w:rPr>
              <w:t>Adoption of Accounting Standards Update ("ASU") 2018-</w:t>
            </w:r>
          </w:p>
        </w:tc>
        <w:tc>
          <w:tcPr>
            <w:tcW w:w="20" w:type="dxa"/>
            <w:vAlign w:val="bottom"/>
            <w:shd w:val="clear" w:color="auto" w:fill="CCEEFF"/>
          </w:tcPr>
          <w:p>
            <w:pPr>
              <w:spacing w:after="0"/>
              <w:rPr>
                <w:sz w:val="11"/>
                <w:szCs w:val="11"/>
                <w:color w:val="auto"/>
              </w:rPr>
            </w:pPr>
          </w:p>
        </w:tc>
        <w:tc>
          <w:tcPr>
            <w:tcW w:w="10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shd w:val="clear" w:color="auto" w:fill="CCEEFF"/>
          </w:tcPr>
          <w:p>
            <w:pPr>
              <w:spacing w:after="0"/>
              <w:rPr>
                <w:sz w:val="16"/>
                <w:szCs w:val="16"/>
                <w:color w:val="auto"/>
              </w:rPr>
            </w:pPr>
          </w:p>
        </w:tc>
        <w:tc>
          <w:tcPr>
            <w:tcW w:w="108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October 31, 2019</w:t>
            </w:r>
          </w:p>
        </w:tc>
        <w:tc>
          <w:tcPr>
            <w:tcW w:w="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82,574,406</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1,417,037</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(6,683)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175,163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1,585,525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0" w:type="dxa"/>
            <w:vAlign w:val="bottom"/>
          </w:tcPr>
          <w:p>
            <w:pPr>
              <w:spacing w:after="0"/>
              <w:rPr>
                <w:sz w:val="1"/>
                <w:szCs w:val="1"/>
                <w:color w:val="auto"/>
              </w:rPr>
            </w:pPr>
          </w:p>
        </w:tc>
      </w:tr>
      <w:tr>
        <w:trPr>
          <w:trHeight w:val="211"/>
        </w:trPr>
        <w:tc>
          <w:tcPr>
            <w:tcW w:w="8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9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(20,190)</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10,886</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Changes to bad debt and revenue reserves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Amortization of premium (accretion of discount) on available-for-sale securities,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non-cash items affecting net income (loss)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58,567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(23,103)</w:t>
            </w:r>
          </w:p>
        </w:tc>
        <w:tc>
          <w:tcPr>
            <w:tcW w:w="0" w:type="dxa"/>
            <w:vAlign w:val="bottom"/>
          </w:tcPr>
          <w:p>
            <w:pPr>
              <w:spacing w:after="0"/>
              <w:rPr>
                <w:sz w:val="1"/>
                <w:szCs w:val="1"/>
                <w:color w:val="auto"/>
              </w:rPr>
            </w:pPr>
          </w:p>
        </w:tc>
      </w:tr>
      <w:tr>
        <w:trPr>
          <w:trHeight w:val="213"/>
        </w:trPr>
        <w:tc>
          <w:tcPr>
            <w:tcW w:w="8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0" w:type="dxa"/>
            <w:vAlign w:val="bottom"/>
          </w:tcPr>
          <w:p>
            <w:pPr>
              <w:spacing w:after="0"/>
              <w:rPr>
                <w:sz w:val="1"/>
                <w:szCs w:val="1"/>
                <w:color w:val="auto"/>
              </w:rPr>
            </w:pPr>
          </w:p>
        </w:tc>
      </w:tr>
      <w:tr>
        <w:trPr>
          <w:trHeight w:val="213"/>
        </w:trPr>
        <w:tc>
          <w:tcPr>
            <w:tcW w:w="8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employee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(39,780)</w:t>
            </w:r>
          </w:p>
        </w:tc>
        <w:tc>
          <w:tcPr>
            <w:tcW w:w="0" w:type="dxa"/>
            <w:vAlign w:val="bottom"/>
          </w:tcPr>
          <w:p>
            <w:pPr>
              <w:spacing w:after="0"/>
              <w:rPr>
                <w:sz w:val="1"/>
                <w:szCs w:val="1"/>
                <w:color w:val="auto"/>
              </w:rPr>
            </w:pPr>
          </w:p>
        </w:tc>
      </w:tr>
      <w:tr>
        <w:trPr>
          <w:trHeight w:val="213"/>
        </w:trPr>
        <w:tc>
          <w:tcPr>
            <w:tcW w:w="8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(24,709)</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(18,138)</w:t>
            </w:r>
          </w:p>
        </w:tc>
        <w:tc>
          <w:tcPr>
            <w:tcW w:w="0" w:type="dxa"/>
            <w:vAlign w:val="bottom"/>
          </w:tcPr>
          <w:p>
            <w:pPr>
              <w:spacing w:after="0"/>
              <w:rPr>
                <w:sz w:val="1"/>
                <w:szCs w:val="1"/>
                <w:color w:val="auto"/>
              </w:rPr>
            </w:pP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(346,405)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(406,762)</w:t>
            </w: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of available-for-sale securities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57,903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57,054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of available-for-sale securities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241,591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303,183</w:t>
            </w: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Acquisition of strategic investments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(53,399)</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(57,496)</w:t>
            </w:r>
          </w:p>
        </w:tc>
        <w:tc>
          <w:tcPr>
            <w:tcW w:w="0" w:type="dxa"/>
            <w:vAlign w:val="bottom"/>
          </w:tcPr>
          <w:p>
            <w:pPr>
              <w:spacing w:after="0"/>
              <w:rPr>
                <w:sz w:val="1"/>
                <w:szCs w:val="1"/>
                <w:color w:val="auto"/>
              </w:rPr>
            </w:pP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Repurchase and retirement of common stock</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(75,012)</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EQUIVALENTS—Beginning of period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366,969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254,101</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293,836</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179,089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income taxes, net of tax refunds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Accruals for purchase of property and equipment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5,167</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Accruals for capitalized software costs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283" w:right="1440" w:bottom="1440" w:gutter="0" w:footer="0" w:header="0"/>
        </w:sectPr>
      </w:pPr>
    </w:p>
    <w:bookmarkStart w:id="11" w:name="page12"/>
    <w:bookmarkEnd w:id="11"/>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 and Estimates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Guidewire Software, Inc., a Delaware corporation, was incorporated on September 20, 2001. Guidewire Software, Inc., together with its subsidiaries (the “Company”), provides a technology platform, which combines core operations, digital engagement, analytics, and artificial intelligence ("AI") applications. The Company's technology platform supports core insurance operations, including underwriting and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include the Company and its wholly-owned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generally accepted accounting principles in the United States of America (“GAAP”) have been condensed or omitted under the rules and regulations of the U.S. Securities and Exchange Commission (“SEC”).</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2020. There have been no changes in the Company’s significant accounting policies from those that were disclosed in the Company’s consolidated financial statements included in the Company’s Annual Report on Form 10-K.</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Beginning with the Annual Report on Form 10-K for fiscal year 2020, the Company changed the presentation in the consolidated statements of operations for revenue and cost of revenue to include subtotals for "subscription and support," "license," and "services". The Company's previous presentation included subtotals for "license and subscription," "maintenance" (now referred to as "support"), and "services". Accordingly, prior period amounts have been reclassified to conform to the current period presentation in the Company's condensed consolidated financial statements and the accompanying notes.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accompanying condensed consolidated financial statements in conformity with GAAP requires management to make estimates and assumptions about future events that affect the amounts of assets and liabilities reported, disclosures about contingent assets and liabilities, and reported amounts of revenue and expenses. Significant items subject to such estimates include, but are not limited to, revenue recognition, the useful lives of property and equipment and intangible assets, accounts receivable allowances, valuation allowance for deferred tax assets, stock-based compensation, annual bonus attainment, income tax uncertainties, fair value of convertible senior notes and investments, valuation of goodwill and intangible assets, fair value of acquired assets and assumed liabilities, software development costs to be capitalized, and contingencies. These estimates and assumptions are based on management’s best estimates and judgment. Management regularly evaluates its estimates and assumptions using historical experience and other factors; however, actual results could differ from these estimates.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0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their respective local currency. The Company translates all assets and liabilities of foreign subsidiaries to U.S. dollars at the current exchange rate as of the applicable balance sheet date. Revenue and expenses are translated at the average exchange rate prevailing during the period in which the transactions occur. The effects of foreign currency translations are recorded in accumulated other comprehensive income (loss) as a separate component of stockholders' equity in the accompanying condensed consolidated balance sheets. Transaction gains and losses that arise from exchange rate fluctuations on transactions denominated in a currency other than the functional currency of the recording entity are included in other income (expense) in the condensed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are comprised of cash and highly liquid investments with remaining maturities of 90 days or less at the date of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primarily consist of commercial paper and money market funds.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determines the appropriate classification of investments at the time of purchase based upon management’s intent with regard to such investments. All investments in the periods presented have been classified as available-for-sale.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classifies investments as short-term when they have remaining contractual maturities of one year or less from the balance sheet date, and as long-term when the investments have remaining contractual maturities of more than one year from the balance sheet date. Investments are recorded at fair value with unrealized gains and losses, net of taxes, generally included in accumulated other comprehensive income (loss). Unrealized losses that are related to the credit worthiness of an investment are recorded in other income (expense), net on the condensed consolidated statements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4"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calculated on a straight-line basis over the estimated useful lives of the assets. Maintenance and repairs that do not extend the life or improve an asset are expensed in the period incurred.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estimated useful lives of property and equipment are as follows:</w:t>
            </w:r>
          </w:p>
        </w:tc>
        <w:tc>
          <w:tcPr>
            <w:tcW w:w="5180" w:type="dxa"/>
            <w:vAlign w:val="bottom"/>
          </w:tcPr>
          <w:p>
            <w:pPr>
              <w:spacing w:after="0"/>
              <w:rPr>
                <w:sz w:val="20"/>
                <w:szCs w:val="20"/>
                <w:color w:val="auto"/>
              </w:rPr>
            </w:pPr>
          </w:p>
        </w:tc>
      </w:tr>
      <w:tr>
        <w:trPr>
          <w:trHeight w:val="27"/>
        </w:trPr>
        <w:tc>
          <w:tcPr>
            <w:tcW w:w="600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5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5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 years</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machinery</w:t>
            </w:r>
          </w:p>
        </w:tc>
        <w:tc>
          <w:tcPr>
            <w:tcW w:w="5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 to 5 years</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1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Shorter of 10 years or remaining lease term</w:t>
            </w:r>
          </w:p>
        </w:tc>
      </w:tr>
    </w:tbl>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development costs related to software delivered to customers ("self-managed software") incurred subsequent to the establishment of technological feasibility are subject to capitalization and amortized over the estimated lives of the related products. Technological feasibility is established upon completion of a working model. Costs incurred subsequent to the establishment of technological feasibility have not been material and, therefore, all software development costs related to self-managed software have been charged to research and development expense in the condensed consolidated statements of operations as incurred.</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qualifying costs incurred for computer software developed for internal use, which includes software used to deliver subscription services exclusively through the cloud, the Company begins to capitalize costs when preliminary development efforts are successfully completed, management has authorized and committed project funding, it is probable that the project will be completed, and the software will be used as intended. If any of these criteria cease being met before the software reaches its intended use, any capitalized costs related to the project will be impaired. When the software reaches its intended use, capitalized costs are amortized to cost of revenue over the estimated useful lives of the related assets, generally estimated to be three to five years. Costs incurred prior to meeting these capitalization criteria and costs incurred for training and maintenance are expensed as incurred and recorded in research and development expense in the condensed consolidated statements of operations. Capitalized software development costs are recorded in property and equipment in the condensed consolidated balance sheets.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 2019, the Company adopted the Financial Accounting Standards Board (“FASB”) Accounting Standards Codification Topic 842: Leases (“ASC 842") using the modified retrospective transition approach by applying the new standard to all leases existing at the date of initial application. Under ASC 842, the Company determines if an arrangement is a lease at inception of the agreement. If an arrangement is determined to be a lease, an operating lease asset, also known as a right-of-use asset, and lease liability are recorded based on the present value of lease payments over the lease term. In connection with determining the present value of the lease payments, the Company considers only payments that are fixed and determinable at the time of commencement, including non-lease components that are fixed throughout the lease term. Variable components of the lease payments such as utilities and maintenance costs, are expensed as incurred and not included in determining the present value of the lease liability. As the Company's leases generally do not provide an implicit rate, the Company's incremental borrowing rate, calculated based on available information at the lease commencement date, is used in determining the present value of the lease payments. The Company's incremental borrowing rate is a hypothetical rate based on the Company's understanding of its credit rating. The Company's lease term used to calculate the lease liability and operating lease asset includes options to extend or terminate the lease if it is reasonably certain the Company will exercise that option. Operating lease assets also include any lease payments made prior to commencement and are recorded net of any lease incentives received. Lease expense is recognized on a straight-line basis over the lease term and is reflected in the condensed consolidated statements of operations in each of the cost of revenue and operating expense categories.</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also enters into agreements to sublease unoccupied office space. Any sublease payments received in excess of the straight-line rent expense related to the subleased space are recorded as an offset to operating expenses over the sublease term.</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leases are included in operating lease assets, other current liabilities, and lease liabilities on the condensed consolidated balance sheets.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Intangible Assets, and Goodwill</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its long-lived assets, consisting of property and equipment, operating lease assets, and intangible assets for indicators of possible impairment when events or changes in circumstances indicate that the carrying amount of certain assets may not be recoverable. Impairment exists if the carrying amount of such assets exceed the estimates of future net undiscounted cash flows expected to be generated by such assets. Should impairment exist, the impairment loss would be measured based on the excess carrying amount of the assets over the estimated fair value of the assets.</w:t>
      </w:r>
    </w:p>
    <w:p>
      <w:pPr>
        <w:spacing w:after="0" w:line="3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tests goodwill for impairment annually, during the fourth quarter of each fiscal year, and in the interim whenever events or changes in circumstances indicate that the carrying amount may not be recoverable. The Company evaluates qualitative factors to determine whether it is more likely than not that the fair value of the Company’s single reporting unit is less than its carrying amount as a basis for determining whether it is necessary to perform the two-step goodwill impairment test. In performing the qualitative assessment, the Company considers events and circumstances, including, but not limited to, macroeconomic conditions, industry and market considerations, cost factors, overall financial performance, changes in management or key personnel, changes in strategy, changes in customers, changes in the composition or carrying amount of a reporting unit’s net assets, and changes in the price of the Company’s common stock. If, after assessing the totality of events or circumstances, the Company determines that it is more likely than not that the fair value of a reporting unit is greater than its carrying amount, then the two-step goodwill impairment test is not performed. There have been no goodwill impairments during the periods presented.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March 2018, the Company issued $400.0 million aggregate principal amount of 1.25% Convertible Senior Notes due 2025 (the “Convertible Senior Notes”). The Company accounts for the liability and equity components of the issued Convertible Senior Notes separately. The carrying amount of the equity component, representing the conversion option, was determined by deducting the fair value of the liability component from the par value of the Convertible Senior Notes as a whole. This difference represents a debt discount that is amortized to interest expense using the effective interest method over the term of the Convertible Senior Notes. The carrying amount of the liability component was calculated by measuring the fair value of a similar liability that does not have an associated convertible feature. The liability and equity components will not be remeasured as long as the conversion option continues to meet the requirements for equity classification. The equity component is net of issuance costs and recorded in additional paid-in capital.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uses its best estimates and assumptions to assign fair value to the tangible and intangible assets acquired and liabilities assumed at the acquisition date. Goodwill is calculated as the difference between the acquisition date fair value of the consideration transferred and the values assigned to the assets acquired and liabilities assumed. The Company’s estimates of fair value are based upon assumptions believed to be reasonable, but which are inherently uncertain and subject to refinement and, as a result, actual results may differ from estimates. During the measurement period, which may be up to one year from the acquisition date, if new information is obtained about facts and circumstances that existed as of the acquisition date, the Company may record adjustments to the fair value of these assets and liabilities, with the corresponding offset to goodwill. Upon the conclusion of the measurement period or final determination of the fair value of assets acquired and liabilities assumed, whichever comes first, subsequent adjustments, if any, are recorded in the condensed consolidated statements of operations.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 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One customer accounted for 10% or more of the Company’s revenue for the three months ended October 31, 2020, and no customer accounted for 10% or more of the Company’s revenue for the three months ended October 31, 2019. One customer accounted for 10% or more of the Company's accounts receivable as of October 31, 2020, and no customer accounted for 10% or more of the Company's accounts receivable as of July 31, 2020.</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invoiced amounts and do not bear interest. While the Company does not require collateral, the Company performs ongoing credit evaluations of its customers. The Company maintains an allowance for credit losses based upon the expected collectability of its accounts receivable. The expectation of collectability is based on historical loss patterns, the number of days that billings are past due, and an evaluation of the potential risk of loss associated with delinquent accounts. Credit losses are recorded in general and administrative expense while billing and other revenue adjustments are recorded against the corresponding revenue financial statement line item in the condensed consolidated statements of operations.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revenue is derived from contracts with customers. The majority of the Company’s revenue is derived from subscriptions to its cloud services, licensing arrangements for its software, and implementation and other professional services arrangements. The Company accounts for revenue in accordance with Accounting Standards Codification 606, Revenue from Contracts with Customers ("ASC 606"), which the Company adopted on August 1, 2018.</w:t>
      </w:r>
    </w:p>
    <w:p>
      <w:pPr>
        <w:spacing w:after="0" w:line="126" w:lineRule="exact"/>
        <w:rPr>
          <w:sz w:val="20"/>
          <w:szCs w:val="20"/>
          <w:color w:val="auto"/>
        </w:rPr>
      </w:pPr>
    </w:p>
    <w:p>
      <w:pPr>
        <w:ind w:right="720" w:firstLine="324"/>
        <w:spacing w:after="0" w:line="266" w:lineRule="auto"/>
        <w:rPr>
          <w:sz w:val="20"/>
          <w:szCs w:val="20"/>
          <w:color w:val="auto"/>
        </w:rPr>
      </w:pPr>
      <w:r>
        <w:rPr>
          <w:rFonts w:ascii="Times New Roman" w:cs="Times New Roman" w:eastAsia="Times New Roman" w:hAnsi="Times New Roman"/>
          <w:sz w:val="18"/>
          <w:szCs w:val="18"/>
          <w:color w:val="auto"/>
        </w:rPr>
        <w:t>The core principle of ASC 606 is to recognize revenue upon the transfer of services or products to customers in an amount that reflects the consideration the Company expects to be entitled to in exchange for those services or products. The Company applies the following framework to recognize revenue:</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Identification of the contract, or contracts, with the customer</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considers the terms and conditions of written contracts and its customary business practices in identifying its contracts under ASC 606. The Company determines it has a contract with a customer when the contract is approved, the Company can identify each party’s rights regarding the services and products to be transferred, the Company can identify the payment terms for the services and products, the Company has determined that the customer has the ability and intent to pay, and the contract has commercial substance. In general, contract terms will be reflected in a written document that is signed by both parties. At contract inception, the Company evaluates whether two or more contracts should be combined and accounted for as a single contract. The Company also evaluates the customer’s ability and intent to pay, which is based on a variety of factors, including the customer’s historical payment experience or, in the case of a new customer, credit and financial information pertaining to the customer.</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Contracts may be modified to account for changes in contract scope or price. The Company considers contract modifications to exist when the modification either creates new rights or obligations or changes the existing enforceable rights and obligations of either party. Contract modifications for services and products that are distinct from the existing contract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are priced commensurate with their standalone selling price are treated as separate contracts, and are accounted for prospectively. Contract modifications for services and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revenue recognized may be adjusted.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Identification of the performance obligation in the contract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or products that will be transferred to the customer that are both:</w:t>
      </w:r>
    </w:p>
    <w:p>
      <w:pPr>
        <w:spacing w:after="0" w:line="171" w:lineRule="exact"/>
        <w:rPr>
          <w:sz w:val="20"/>
          <w:szCs w:val="20"/>
          <w:color w:val="auto"/>
        </w:rPr>
      </w:pPr>
    </w:p>
    <w:p>
      <w:pPr>
        <w:ind w:left="660" w:right="140" w:hanging="328"/>
        <w:spacing w:after="0" w:line="282" w:lineRule="auto"/>
        <w:tabs>
          <w:tab w:leader="none" w:pos="6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capable of being distinct, whereby the customer can benefit from the service or product either on its own or together with other resources that are readily available from the Company or third parties,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distinct in the context of the contract, whereby the transfer of the service or product is separately identifiable from other promises in the contract.</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which generally represent the performance obligations of the Company:</w:t>
      </w:r>
    </w:p>
    <w:p>
      <w:pPr>
        <w:spacing w:after="0" w:line="171"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services related to the Company's Software-as-a-Service ("SaaS") offerings, including hosting;</w:t>
      </w:r>
    </w:p>
    <w:p>
      <w:pPr>
        <w:spacing w:after="0" w:line="17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activities that consist of email and phone support, bug fixes, and unspecified software updates and upgrades released when, and if, available during the support term;</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Self-managed software licenses related to term or perpetual agreements;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related to the implementation and configuration of the Company’s services and products, reimbursable travel, and training.</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Subscriptions are typically sold with a three-to-five year initial term with a customer option to renew on an annual basis after the initial term. Term licenses generally have a two-year initial term with a customer option to renew on an annual basis after the initial term. In certain circumstances, the Company will enter into term licenses with an initial term of more than two years or a renewal period longer than one year. Support for term licenses follows the same contract periods. Professional services typically are time and materials contracts that last for an average period of approximately one year.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expects to be entitled in exchange for transferring services and products to the customer. Consideration may vary due to discounts, incentives, and potential service level credits or contractual penalties. Variable consideration is estimated and included in the transaction price if, in the Company’s judgment, it is probable that there will not be a significant future reversal of cumulative revenue under the contract.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Self-managed software licenses and subscription services may be subject to either fixed or variable installments. Variable installments are generally subject to changes in a customer’s Direct Written Premium (“DWP”) or a customer’s Gross Written Premium (“GWP”). When consideration is subject to variable installments, the Company estimates variable consideration using the expected value method based on historical DWP or GWP usage to the extent that a significant revenue reversal is not probable to occur. When consideration is subject to a customer termination right, the Company estimates the total transaction price using the most likely method, and defers consideration associated with the customer’s termination right until it expires.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elected the practical expedient to evaluate whether a significant financing component exists when the contract term is greater than one year and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the Company’s standard contracting and billing practices. For example, the Company’s typical time-based licenses have a two-year initial term with the final payment due at the end of the first year and the Company's typical subscription services are generally billed in advance of providing the services.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the performance obligations in the contract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the Company’s contracts contain multiple performance obligations, such as when licenses are sold with support, implementation services or training services. Additionally, as customers transition to subscription services, customers may be under contract for both self-managed licenses and subscription services for a period of time, which may require an allocation of the transaction price to each performance obligation. Some of the Company’s performance obligations, such as support, implementation services, and training services, have observable inputs that are used to determine the SSP of those distinct performance obligations. Where SSP is not directly observable, the Company determines the SSP using information that may include market conditions and other observable inputs. In the circumstances when available information to determine SSP is highly variable or uncertain, such as for our term licenses, the Company will use the residual method.</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Recognition of revenue when, or as, the Company satisfies a performance obligation</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control of the services or products are transferred to a customer, in an amount that reflects the consideration the Company expects to be entitled to in exchange for those services or products. The Company is principally responsible for the satisfaction of its distinct performance obligations, which are satisfied either at a point in time or over a period of time.</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satisfied at a point in time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Self-managed software licenses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Self-managed term and perpetual software licenses comprise the majority of distinct performance obligations that are satisfied at a point in time. Revenue is recognized at the point in which the self-managed software licenses are made available to a customer. Consideration for self-managed software licenses is typically billed in advance on an annual basis over the license term.</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satisfied over a period of time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Subscriptions, support activities, and professional service arrangements comprise the majority of distinct performance obligations that are satisfied over a period of time.</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 arrangements</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subscription arrangements is recognized ratably over the subscription period using a time-based measure of progress as customers receive the benefits from their subscriptions over the contractually agreed-upon term. The Company’s subscription arrangements are generally three to five years in duration. Consideration from subscription arrangements is typically billed in advance on an annual basis over the contract period.</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Support activities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from support activities associated with self-managed licenses is a stand-ready obligation, which is recognized over the contractually agreed-upon term using a time-based measure of progress as customers receive benefits from the availability of support technicians over the support period. Consideration for support activities is typically billed in advance on an annual basis. The Company’s support activities are consistently priced as a percentage of the associated self-managed software license.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professional service arrangements is recognized over the service period as the underlying services are performed.</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substantially all of the Company’s professional service contracts, services are separately identifiable performance obligations for which related revenue and costs are recognized according to when each service obligation is delivered. Substantially all professional services engagements are billed and recognized on a time and materials basis. In select situations, the Company will contract professional services on a fixed fee basis, where the Company generally recognizes services revenue over time, using an input method. The measure of progress of the professional services being provided under these fixed fee arrangements is based on hours incurred compared to estimates of the total hours to complete the performance obligation.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professional services are sold with a self-managed license or subscription arrangement, the Company evaluates whether the performance obligations are distinct or separately identifiable, or whether they constitute a single performance obligation. In the limited cases where professional services are not considered to be distinct from the self-managed license or subscription services, the Company will recognize revenue based on the nature and term of the combined performance obligation when control of the combined performance obligation is transferred to the customer.</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Balance Sheet Presentation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Contracts with customers are reflected in the condensed consolidated balance sheets as follows:</w:t>
      </w:r>
    </w:p>
    <w:p>
      <w:pPr>
        <w:spacing w:after="0" w:line="225"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net represents amounts billed to customers in accordance with contract terms for which payment has not yet been received. It is presented net of allowances as part of current assets in the condensed consolidated balance sheets.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Unbilled accounts receivable, net represents amounts that are unbilled due to agreed-upon contractual terms in which billing occurs subsequent to revenue recognition. This situation typically occurs when the Company transfers control of self-managed software licenses to customers up-front, but invoices customers annually over the term of the license. Unbilled accounts receivable is classified as either current or non-current based on the duration of remaining time between the date of the condensed consolidated balance sheets and the anticipated due date of the underlying receivables. Unbilled accounts receivable is evaluated for credit losses based upon the expected collectability of future accounts receivable, customer payment history, global economic conditions, and ongoing credit evaluations of customers. Unbilled accounts receivable is presented net of allowance for credit losses, if applicable, in the condensed consolidated balance sheets. This balance represents contract assets.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costs include customer acquisition costs, which consist primarily of sales commissions paid to sales personnel and their related payroll taxes and referral fees paid to third-parties, and costs to fulfill a contract, which consist primarily of royalties payable to third-party software providers that support both the Company’s software offerings and support services. The short-term portion is presented as prepaid and other current assets. The long-term portion is presented as other assets.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costs represent costs related to our professional services that have been deferred to align with revenue recognition. The short-term portion is presented as prepaid and other current assets. The long-term portion is presented as other assets.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net represents amounts that have been invoiced and for which the Company has the right to bill, but that have not been recognized as revenue because the related services or products have not been transferred to the customer. Deferred revenue that will be realized during the 12-month period following the date of the condensed consolidated balance sheets is recorded as current. The remaining deferred revenue is recorded as non-current. This balance represents contract liabilities.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receive consideration from its customers in advance of performance on a portion of the contract and, on another portion of the contract, perform in advance of receiving consideration. Contract assets and liabilities related to rights and obligations in a contract are interdependent. Therefore, contract assets and liabilities are presented net at the contract level, as either a single contract asset or a single contract liability, in the consolidated balance sheets.</w:t>
      </w:r>
    </w:p>
    <w:p>
      <w:pPr>
        <w:spacing w:after="0" w:line="207"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contracted revenue that has not yet been recognized, which includes deferred revenue and amounts that will be invoiced and recognized as revenue in future periods. The Company excludes amounts related to professional services contracts that are on a time and materials basis from 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costs consists of two components, customer acquisition costs and costs to fulfill a contract.</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Customer acquisition costs are capitalized only if the costs are incrementally incurred to obtain a customer contract and the expected amortization period is greater than one year. Contract costs are classified as either current or non-current based on the duration of time remaining between the date of the condensed consolidated balance sheets and the anticipated amortization date of the associated costs. Capitalized customer acquisition costs related to software licenses, subscriptions, and support services are amortized over the anticipated period of time that such goods and services are expected to be provided to a customer, which the Company estimates to be approximately five years. The amortization of customer acquisition costs is classified as a sales and marketing expense in the condensed consolidated statement of operations.</w:t>
      </w:r>
    </w:p>
    <w:p>
      <w:pPr>
        <w:spacing w:after="0" w:line="3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Costs to fulfill a contract, or fulfillment costs, are only capitalized if they relate directly to a contract with a customer, the costs generate or enhance resources that will be used to satisfy performance obligations in the future, and the costs are expected to be recoverable. Fulfillment costs would be generally amortized over the same period of time as the customer acquisition costs. The amortization of fulfillment costs is classified as a cost of revenue in the condensed consolidated statement of operations.</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warranty for its software products and services to its customers for periods ranging from three to twelve months. The Company's software products are generally warranted to be free of defects in materials and workmanship under normal use and to substantially perform as described in published documentation. The Company's services are generally warranted to be performed in a professional manner and to materially conform to the specifications set forth in the related customer contract. In the event there is a failure of such warranties, the Company generally will correct the problem or provide a reasonable workaround or replacement product. If the Company cannot correct the problem or provide a workaround or replacement product, then the customer's remedy is generally limited to a refund of the fees paid for the nonconforming product or services. Warranty expense has been insignificant to date.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costs are expensed as incurred and amounts incurred were not material during the three months ended October 31, 2020 and 2019.</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using the fair value method, which requires the Company to measure stock-based compensation based on the grant-date fair value of the awards and recognize the compensation expense over the requisite service period. The Company recognizes compensation expense net of actual forfeitures. To date, the Company has granted or assumed stock options, restricted stock awards (“RSAs”), time-based restricted stock units (“RSUs”), performance-based restricted stock units (“PSUs”), and restricted stock units that may be earned subject to the Company’s total shareholder return ranking relative to the software companies in the S&amp;P Software and Services Select Industry Index (“S&amp;P Index”) over a specified performance period or periods and, in select cases, are subject to certain performance conditions (“TSR PSUs”). RSAs, RSUs, PSUs, and TSR PSUs are collectively referred to as “Stock Awards.”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Company’s RSAs, RSUs, and PSUs is equal to the market value of the Company’s common stock on the date of grant. These awards are subject to time-based vesting, which generally occurs over a period of four years. The Company recognizes compensation expense for awards that contain only service conditions on a straight-line basis over the requisite service period, which is generally the vesting period of the respective awards. The Company recognizes the compensation cost for awards that contain either performance conditions, market conditions, or both using the graded vesting method and a portion of the expense may fluctuate depending on changing estimates of the achievement of the performance conditions.</w:t>
      </w:r>
    </w:p>
    <w:p>
      <w:pPr>
        <w:spacing w:after="0" w:line="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fair value of the Company’s stock options and TSR PSUs are estimated at the grant date using the Black-Scholes model and Monte Carlo simulation method, respectively. The assumptions utilized under these methods require judgments and estimates. Changes in these inputs and assumptions could affect the measurement of the estimated fair value of the related compensation expense of these stock options and stock awards. Compensation expense associated with TSR PSUs will be recognized over the vesting period regardless of whether the market condition is ultimately satisfied; however, the expense will be reversed if a grantee terminates prior to satisfying the requisite service period. For TSR PSUs containing an additional performance condition, a portion of the expense may fluctuate depending on changing estimates of the achievement of the performance conditions. All TSR PSUs vest at the end of a three-year period.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the Company determines deferred tax assets and liabilities based on the differences between the financial statement carrying amounts and the tax basis of existing assets and liabilities, using enacted tax rates in effect for the year in which the differences are expected to reverse. All deferred tax assets and liabilities are classified as non-current on the Company’s condensed consolidated balance sheets. The effect on deferred tax assets and liabilities of a change in tax rates is recognized in income in the period that includes the enactment date. A valuation allowance against deferred tax assets is recorded when it is more likely than not that some portion or all of such deferred tax assets will not be realized and is based on both positive and negative evidence about the future, including future reversals of existing taxable temporary differences, projected future taxable income, tax-planning strategies, and results of recent operations.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effective tax rate in any given financial statement period may differ materially from the statutory rate. These differences may be caused by changes in tax regulations and resulting changes in the deferred tax valuation allowance; changes in the mix and level of income or losses; changes in the expected outcome of tax audits; permanent differences for stock-based compensation, including excess tax benefits; research and development credits; the tax rate differences between the United States and foreign countries; foreign withholding taxes; certain non-deductible expenses, including executive compensation; acquisition-related expenses; and provisions under the Tax Cuts and Jobs Act (the “Tax Act”), including a provision to tax global intangible low-taxed income of foreign subsidiaries, a special deduction for foreign-derived intangible income, and a base erosion anti-abuse tax that may tax certain payments between a U.S. corporation and its foreign subsidiaries.</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records interest and penalties related to unrecognized tax benefits as income tax expense in its condensed consolidated statement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Intangibles, Goodwill and Other (Subtopic 350-40): Customer’s Accounting for Implementation Costs Incurred in a Cloud Computing Arrangement that is a Service Contract</w:t>
      </w:r>
    </w:p>
    <w:p>
      <w:pPr>
        <w:spacing w:after="0" w:line="3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No. 2018-15, Intangibles, Goodwill and Other (Subtopic 350-40): Customer’s Accounting for Implementation Costs Incurred in a Cloud Computing Arrangement that is a Service Contract, which requires implementation costs incurred in cloud computing arrangements to be deferred and recognized over the term of the arrangement, if those costs would be capitalized in a software licensing arrangement under the internal-use software guidance in ASC 350-40. On August 1, 2020 the Company adopted this ASU prospectively. The adoption of this standard did not have a material impact on the condensed consolidated financial statements and related disclosures.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Instruments-Credit Losses (Topic 326): Measurement of Credit Losses on Financial Instruments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an expected loss model which requires the use of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On August 1, 2020 the Company adopted this ASU using the modified retrospective method The adoption of this standard did not have a material impact on the condensed consolidated financial statements and related disclosures.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that are applicable to the Company did not, or are not expected to, have a material impact on the Company's present or future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34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top w:val="single" w:sz="8" w:color="0000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 Revenue</w:t>
            </w: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revenue type and by geography is as follows (in thousands):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 2020</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Subscription</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80" w:type="dxa"/>
            <w:vAlign w:val="bottom"/>
          </w:tcPr>
          <w:p>
            <w:pPr>
              <w:spacing w:after="0"/>
              <w:rPr>
                <w:sz w:val="15"/>
                <w:szCs w:val="15"/>
                <w:color w:val="auto"/>
              </w:rPr>
            </w:pPr>
          </w:p>
        </w:tc>
        <w:tc>
          <w:tcPr>
            <w:tcW w:w="11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Pr>
          <w:p>
            <w:pPr>
              <w:spacing w:after="0"/>
              <w:rPr>
                <w:sz w:val="15"/>
                <w:szCs w:val="15"/>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Geography:</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and support</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Americas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47,268</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51,965</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Other EMEA</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EMEA</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APAC</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200" w:type="dxa"/>
            <w:vAlign w:val="bottom"/>
            <w:tcBorders>
              <w:top w:val="single" w:sz="8" w:color="CCEEFF"/>
              <w:bottom w:val="single" w:sz="8" w:color="auto"/>
            </w:tcBorders>
            <w:gridSpan w:val="7"/>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7"/>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October 31, 2019</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36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Subscription and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80" w:type="dxa"/>
            <w:vAlign w:val="bottom"/>
          </w:tcPr>
          <w:p>
            <w:pPr>
              <w:spacing w:after="0"/>
              <w:rPr>
                <w:sz w:val="15"/>
                <w:szCs w:val="15"/>
                <w:color w:val="auto"/>
              </w:rPr>
            </w:pPr>
          </w:p>
        </w:tc>
        <w:tc>
          <w:tcPr>
            <w:tcW w:w="11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Pr>
          <w:p>
            <w:pPr>
              <w:spacing w:after="0"/>
              <w:rPr>
                <w:sz w:val="15"/>
                <w:szCs w:val="15"/>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Geography:</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support</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w:t>
            </w:r>
          </w:p>
        </w:tc>
        <w:tc>
          <w:tcPr>
            <w:tcW w:w="2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37,328</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Americas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36,691</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40,747</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EMEA</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EMEA</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APAC</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54,363</w:t>
            </w:r>
          </w:p>
        </w:tc>
        <w:tc>
          <w:tcPr>
            <w:tcW w:w="280" w:type="dxa"/>
            <w:vAlign w:val="bottom"/>
            <w:tcBorders>
              <w:bottom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country or region, other than those presented above, accounted for more than 10% of revenue during the three months ended October 31, 2020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603"/>
        </w:trPr>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by license or service type is as follows (in thousands):</w:t>
            </w: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7060" w:type="dxa"/>
            <w:vAlign w:val="bottom"/>
          </w:tcPr>
          <w:p>
            <w:pPr>
              <w:spacing w:after="0"/>
              <w:rPr>
                <w:sz w:val="24"/>
                <w:szCs w:val="24"/>
                <w:color w:val="auto"/>
              </w:rPr>
            </w:pPr>
          </w:p>
        </w:tc>
        <w:tc>
          <w:tcPr>
            <w:tcW w:w="3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720" w:type="dxa"/>
            <w:vAlign w:val="bottom"/>
            <w:tcBorders>
              <w:bottom w:val="single" w:sz="8" w:color="auto"/>
            </w:tcBorders>
          </w:tcPr>
          <w:p>
            <w:pPr>
              <w:spacing w:after="0"/>
              <w:rPr>
                <w:sz w:val="24"/>
                <w:szCs w:val="24"/>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Borders>
              <w:bottom w:val="single" w:sz="8" w:color="auto"/>
            </w:tcBorders>
          </w:tcPr>
          <w:p>
            <w:pPr>
              <w:spacing w:after="0"/>
              <w:rPr>
                <w:sz w:val="19"/>
                <w:szCs w:val="19"/>
                <w:color w:val="auto"/>
              </w:rPr>
            </w:pPr>
          </w:p>
        </w:tc>
      </w:tr>
      <w:tr>
        <w:trPr>
          <w:trHeight w:val="20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37,230</w:t>
            </w:r>
          </w:p>
        </w:tc>
        <w:tc>
          <w:tcPr>
            <w:tcW w:w="100" w:type="dxa"/>
            <w:vAlign w:val="bottom"/>
          </w:tcPr>
          <w:p>
            <w:pPr>
              <w:spacing w:after="0"/>
              <w:rPr>
                <w:sz w:val="19"/>
                <w:szCs w:val="19"/>
                <w:color w:val="auto"/>
              </w:rPr>
            </w:pP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28,060</w:t>
            </w: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Support</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w:t>
            </w: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license</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54,314</w:t>
            </w: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Perpetual license</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53,616</w:t>
            </w:r>
          </w:p>
        </w:tc>
      </w:tr>
      <w:tr>
        <w:trPr>
          <w:trHeight w:val="223"/>
        </w:trPr>
        <w:tc>
          <w:tcPr>
            <w:tcW w:w="7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157,010</w:t>
            </w:r>
          </w:p>
        </w:tc>
      </w:tr>
      <w:tr>
        <w:trPr>
          <w:trHeight w:val="20"/>
        </w:trPr>
        <w:tc>
          <w:tcPr>
            <w:tcW w:w="7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21" w:name="page22"/>
    <w:bookmarkEnd w:id="21"/>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Contract - Related Balance Sheet Amounts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related to customer contract-related arrangements are included in the condensed consolidated balance sheets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320" w:type="dxa"/>
            <w:vAlign w:val="bottom"/>
          </w:tcPr>
          <w:p>
            <w:pPr>
              <w:spacing w:after="0"/>
              <w:rPr>
                <w:sz w:val="20"/>
                <w:szCs w:val="20"/>
                <w:color w:val="auto"/>
              </w:rPr>
            </w:pPr>
          </w:p>
        </w:tc>
        <w:tc>
          <w:tcPr>
            <w:tcW w:w="17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July 31, 2020</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84,228</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 net</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34,809</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132,996</w:t>
            </w:r>
          </w:p>
        </w:tc>
      </w:tr>
    </w:tbl>
    <w:p>
      <w:pPr>
        <w:spacing w:after="0" w:line="200" w:lineRule="exact"/>
        <w:rPr>
          <w:sz w:val="20"/>
          <w:szCs w:val="20"/>
          <w:color w:val="auto"/>
        </w:rPr>
      </w:pPr>
    </w:p>
    <w:p>
      <w:pPr>
        <w:spacing w:after="0" w:line="268" w:lineRule="exact"/>
        <w:rPr>
          <w:sz w:val="20"/>
          <w:szCs w:val="20"/>
          <w:color w:val="auto"/>
        </w:rPr>
      </w:pPr>
    </w:p>
    <w:p>
      <w:pPr>
        <w:ind w:left="340" w:right="1640"/>
        <w:spacing w:after="0" w:line="422" w:lineRule="auto"/>
        <w:rPr>
          <w:sz w:val="20"/>
          <w:szCs w:val="20"/>
          <w:color w:val="auto"/>
        </w:rPr>
      </w:pPr>
      <w:r>
        <w:rPr>
          <w:rFonts w:ascii="Times New Roman" w:cs="Times New Roman" w:eastAsia="Times New Roman" w:hAnsi="Times New Roman"/>
          <w:sz w:val="18"/>
          <w:szCs w:val="18"/>
          <w:color w:val="auto"/>
        </w:rPr>
        <w:t xml:space="preserve">As of October 31, 2020 and July 31, 2020, there was no allowance for credit losses associated with unbilled accounts receivable. </w:t>
      </w:r>
      <w:r>
        <w:rPr>
          <w:rFonts w:ascii="Times New Roman" w:cs="Times New Roman" w:eastAsia="Times New Roman" w:hAnsi="Times New Roman"/>
          <w:sz w:val="18"/>
          <w:szCs w:val="18"/>
          <w:i w:val="1"/>
          <w:iCs w:val="1"/>
          <w:color w:val="auto"/>
        </w:rPr>
        <w:t>Contract costs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current portion of contract costs in the amount of $10.0 million and $9.6 million is included in prepaid and other current assets in the Company’s condensed consolidated balance sheets as of October 31, 2020 and July 31, 2020, respectively. The non-current portion of contract costs in the amount of $23.8 million and $25.2 million is included in other assets in the Company’s condensed consolidated balance sheets as of October 31, 2020 and July 31, 2020, respectively. The Company amortized $2.2 million and $1.4 million of contract costs during the three months ended October 31, 2020 and 2019, respectively.</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2020, the Company recognized revenue of approximately $47 million related to the Company’s deferred revenue balance reported as of July 31, 2020.</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amount of consideration allocated to performance obligations either not satisfied or partially satisfied was approximately $539 million as of October 31, 2020. Subscription services are typically satisfied over three to five years, support services are generally satisfied within one year, and professional services are typically satisfied within one year. Professional services under time and material contracts are not included in the performance obligations calculation as these arrangements can be cancelled at any time.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Available-for-sale investments within cash equivalents and investments consist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4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209,116</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225,521</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449,130</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155,126</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47,518</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73,148</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173,069</w:t>
            </w:r>
          </w:p>
        </w:tc>
      </w:tr>
      <w:tr>
        <w:trPr>
          <w:trHeight w:val="248"/>
        </w:trPr>
        <w:tc>
          <w:tcPr>
            <w:tcW w:w="40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1,340,100</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62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92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40" w:type="dxa"/>
            <w:vAlign w:val="bottom"/>
          </w:tcPr>
          <w:p>
            <w:pPr>
              <w:spacing w:after="0"/>
              <w:rPr>
                <w:sz w:val="19"/>
                <w:szCs w:val="19"/>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23"/>
        </w:trPr>
        <w:tc>
          <w:tcPr>
            <w:tcW w:w="39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242,274</w:t>
            </w:r>
          </w:p>
        </w:tc>
      </w:tr>
      <w:tr>
        <w:trPr>
          <w:trHeight w:val="22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222,578</w:t>
            </w:r>
          </w:p>
        </w:tc>
      </w:tr>
      <w:tr>
        <w:trPr>
          <w:trHeight w:val="230"/>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478,056</w:t>
            </w:r>
          </w:p>
        </w:tc>
      </w:tr>
      <w:tr>
        <w:trPr>
          <w:trHeight w:val="22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68,808</w:t>
            </w:r>
          </w:p>
        </w:tc>
      </w:tr>
      <w:tr>
        <w:trPr>
          <w:trHeight w:val="229"/>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58,870</w:t>
            </w:r>
          </w:p>
        </w:tc>
      </w:tr>
      <w:tr>
        <w:trPr>
          <w:trHeight w:val="230"/>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7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56,296</w:t>
            </w:r>
          </w:p>
        </w:tc>
      </w:tr>
      <w:tr>
        <w:trPr>
          <w:trHeight w:val="229"/>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231,063</w:t>
            </w:r>
          </w:p>
        </w:tc>
      </w:tr>
      <w:tr>
        <w:trPr>
          <w:trHeight w:val="223"/>
        </w:trPr>
        <w:tc>
          <w:tcPr>
            <w:tcW w:w="39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1,353,632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1,357,945</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consider any portion of the unrealized losses at October 31, 2020 to be credit losses. The Company has recorded the securities at fair value in its condensed consolidated balance sheets, with unrealized gains and losses reported as a component of accumulated other comprehensive income (loss). The amount of realized gains and losses reclassified into earnings are based on the specific identification of the securities sold. The realized gains and losses from sales of securities in the periods presented were not material.</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investments measured at fair value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12 Months or Greater</w:t>
            </w:r>
          </w:p>
        </w:tc>
        <w:tc>
          <w:tcPr>
            <w:tcW w:w="460" w:type="dxa"/>
            <w:vAlign w:val="bottom"/>
          </w:tcPr>
          <w:p>
            <w:pPr>
              <w:spacing w:after="0"/>
              <w:rPr>
                <w:sz w:val="19"/>
                <w:szCs w:val="19"/>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209,116</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225,521</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449,130</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155,126</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47,518</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4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73,148</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173,069</w:t>
            </w:r>
          </w:p>
        </w:tc>
      </w:tr>
      <w:tr>
        <w:trPr>
          <w:trHeight w:val="248"/>
        </w:trPr>
        <w:tc>
          <w:tcPr>
            <w:tcW w:w="50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1,340,100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applies the three-level valuation hierarchy when measuring the fair value of certain assets and liabilities: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Level 1—Unadjusted quoted prices in active markets for identical assets or liabilities;</w:t>
      </w:r>
    </w:p>
    <w:p>
      <w:pPr>
        <w:spacing w:after="0" w:line="90" w:lineRule="exact"/>
        <w:rPr>
          <w:sz w:val="20"/>
          <w:szCs w:val="20"/>
          <w:color w:val="auto"/>
        </w:rPr>
      </w:pPr>
    </w:p>
    <w:p>
      <w:pPr>
        <w:ind w:firstLine="567"/>
        <w:spacing w:after="0" w:line="282"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unadjusted quoted prices in markets that are not active, or other inputs that are observable or can be corroborated by observable market data; and</w:t>
      </w:r>
    </w:p>
    <w:p>
      <w:pPr>
        <w:spacing w:after="0" w:line="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which require the Company to develop its own assumptions.</w:t>
      </w: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0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available-for-sale investments measured at fair value, by level within the fair value hierarchy (in thousands):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48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92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8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41,688</w:t>
            </w:r>
          </w:p>
        </w:tc>
        <w:tc>
          <w:tcPr>
            <w:tcW w:w="10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41,688</w:t>
            </w:r>
          </w:p>
        </w:tc>
      </w:tr>
      <w:tr>
        <w:trPr>
          <w:trHeight w:val="229"/>
        </w:trPr>
        <w:tc>
          <w:tcPr>
            <w:tcW w:w="4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15,013</w:t>
            </w:r>
          </w:p>
        </w:tc>
      </w:tr>
      <w:tr>
        <w:trPr>
          <w:trHeight w:val="230"/>
        </w:trPr>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173,069</w:t>
            </w:r>
          </w:p>
        </w:tc>
      </w:tr>
      <w:tr>
        <w:trPr>
          <w:trHeight w:val="223"/>
        </w:trPr>
        <w:tc>
          <w:tcPr>
            <w:tcW w:w="482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173,069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229,770</w:t>
            </w:r>
          </w:p>
        </w:tc>
      </w:tr>
      <w:tr>
        <w:trPr>
          <w:trHeight w:val="230"/>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143,491</w:t>
            </w:r>
          </w:p>
        </w:tc>
      </w:tr>
      <w:tr>
        <w:trPr>
          <w:trHeight w:val="229"/>
        </w:trPr>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183,833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183,833</w:t>
            </w:r>
          </w:p>
        </w:tc>
      </w:tr>
      <w:tr>
        <w:trPr>
          <w:trHeight w:val="230"/>
        </w:trPr>
        <w:tc>
          <w:tcPr>
            <w:tcW w:w="4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339,403</w:t>
            </w:r>
          </w:p>
        </w:tc>
      </w:tr>
      <w:tr>
        <w:trPr>
          <w:trHeight w:val="229"/>
        </w:trPr>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119,758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119,758</w:t>
            </w:r>
          </w:p>
        </w:tc>
      </w:tr>
      <w:tr>
        <w:trPr>
          <w:trHeight w:val="230"/>
        </w:trPr>
        <w:tc>
          <w:tcPr>
            <w:tcW w:w="4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29"/>
        </w:trPr>
        <w:tc>
          <w:tcPr>
            <w:tcW w:w="4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67,398</w:t>
            </w:r>
          </w:p>
        </w:tc>
      </w:tr>
      <w:tr>
        <w:trPr>
          <w:trHeight w:val="223"/>
        </w:trPr>
        <w:tc>
          <w:tcPr>
            <w:tcW w:w="482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856,377</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856,377</w:t>
            </w:r>
          </w:p>
        </w:tc>
      </w:tr>
      <w:tr>
        <w:trPr>
          <w:trHeight w:val="229"/>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65,625</w:t>
            </w:r>
          </w:p>
        </w:tc>
      </w:tr>
      <w:tr>
        <w:trPr>
          <w:trHeight w:val="230"/>
        </w:trPr>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109,727</w:t>
            </w:r>
          </w:p>
        </w:tc>
      </w:tr>
      <w:tr>
        <w:trPr>
          <w:trHeight w:val="229"/>
        </w:trPr>
        <w:tc>
          <w:tcPr>
            <w:tcW w:w="4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w:t>
            </w:r>
          </w:p>
        </w:tc>
      </w:tr>
      <w:tr>
        <w:trPr>
          <w:trHeight w:val="229"/>
        </w:trPr>
        <w:tc>
          <w:tcPr>
            <w:tcW w:w="4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45,024</w:t>
            </w:r>
          </w:p>
        </w:tc>
      </w:tr>
      <w:tr>
        <w:trPr>
          <w:trHeight w:val="230"/>
        </w:trPr>
        <w:tc>
          <w:tcPr>
            <w:tcW w:w="4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7,472</w:t>
            </w:r>
          </w:p>
        </w:tc>
      </w:tr>
      <w:tr>
        <w:trPr>
          <w:trHeight w:val="229"/>
        </w:trPr>
        <w:tc>
          <w:tcPr>
            <w:tcW w:w="4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23"/>
        </w:trPr>
        <w:tc>
          <w:tcPr>
            <w:tcW w:w="482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253,953</w:t>
            </w:r>
          </w:p>
        </w:tc>
      </w:tr>
      <w:tr>
        <w:trPr>
          <w:trHeight w:val="223"/>
        </w:trPr>
        <w:tc>
          <w:tcPr>
            <w:tcW w:w="34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1,167,031</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1,340,100</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1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48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92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8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60,584</w:t>
            </w:r>
          </w:p>
        </w:tc>
        <w:tc>
          <w:tcPr>
            <w:tcW w:w="10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60,584</w:t>
            </w:r>
          </w:p>
        </w:tc>
      </w:tr>
      <w:tr>
        <w:trPr>
          <w:trHeight w:val="229"/>
        </w:trPr>
        <w:tc>
          <w:tcPr>
            <w:tcW w:w="4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231,063</w:t>
            </w:r>
          </w:p>
        </w:tc>
      </w:tr>
      <w:tr>
        <w:trPr>
          <w:trHeight w:val="223"/>
        </w:trPr>
        <w:tc>
          <w:tcPr>
            <w:tcW w:w="48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231,063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60,584</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291,647</w:t>
            </w:r>
          </w:p>
        </w:tc>
      </w:tr>
      <w:tr>
        <w:trPr>
          <w:trHeight w:val="229"/>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110,089</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110,089</w:t>
            </w:r>
          </w:p>
        </w:tc>
      </w:tr>
      <w:tr>
        <w:trPr>
          <w:trHeight w:val="229"/>
        </w:trPr>
        <w:tc>
          <w:tcPr>
            <w:tcW w:w="4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161,994</w:t>
            </w:r>
          </w:p>
        </w:tc>
      </w:tr>
      <w:tr>
        <w:trPr>
          <w:trHeight w:val="230"/>
        </w:trPr>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358,175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358,175</w:t>
            </w:r>
          </w:p>
        </w:tc>
      </w:tr>
      <w:tr>
        <w:trPr>
          <w:trHeight w:val="229"/>
        </w:trPr>
        <w:tc>
          <w:tcPr>
            <w:tcW w:w="4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63,773</w:t>
            </w:r>
          </w:p>
        </w:tc>
      </w:tr>
      <w:tr>
        <w:trPr>
          <w:trHeight w:val="229"/>
        </w:trPr>
        <w:tc>
          <w:tcPr>
            <w:tcW w:w="4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25,448</w:t>
            </w:r>
          </w:p>
        </w:tc>
      </w:tr>
      <w:tr>
        <w:trPr>
          <w:trHeight w:val="230"/>
        </w:trPr>
        <w:tc>
          <w:tcPr>
            <w:tcW w:w="4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47,048</w:t>
            </w:r>
          </w:p>
        </w:tc>
      </w:tr>
      <w:tr>
        <w:trPr>
          <w:trHeight w:val="223"/>
        </w:trPr>
        <w:tc>
          <w:tcPr>
            <w:tcW w:w="48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766,527</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766,527</w:t>
            </w:r>
          </w:p>
        </w:tc>
      </w:tr>
      <w:tr>
        <w:trPr>
          <w:trHeight w:val="230"/>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132,185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132,185</w:t>
            </w:r>
          </w:p>
        </w:tc>
      </w:tr>
      <w:tr>
        <w:trPr>
          <w:trHeight w:val="229"/>
        </w:trPr>
        <w:tc>
          <w:tcPr>
            <w:tcW w:w="4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119,881</w:t>
            </w:r>
          </w:p>
        </w:tc>
      </w:tr>
      <w:tr>
        <w:trPr>
          <w:trHeight w:val="230"/>
        </w:trPr>
        <w:tc>
          <w:tcPr>
            <w:tcW w:w="4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29"/>
        </w:trPr>
        <w:tc>
          <w:tcPr>
            <w:tcW w:w="4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r>
      <w:tr>
        <w:trPr>
          <w:trHeight w:val="230"/>
        </w:trPr>
        <w:tc>
          <w:tcPr>
            <w:tcW w:w="48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w:t>
            </w:r>
          </w:p>
        </w:tc>
      </w:tr>
      <w:tr>
        <w:trPr>
          <w:trHeight w:val="223"/>
        </w:trPr>
        <w:tc>
          <w:tcPr>
            <w:tcW w:w="482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long-term investment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299,771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299,771</w:t>
            </w:r>
          </w:p>
        </w:tc>
      </w:tr>
      <w:tr>
        <w:trPr>
          <w:trHeight w:val="223"/>
        </w:trPr>
        <w:tc>
          <w:tcPr>
            <w:tcW w:w="48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1,126,882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1,357,945</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Strategic Convertible Debt Investment</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Long-term investments on the condensed consolidated balance sheet also includes a strategic convertible debt investment made in May 2020. The Company invested $1.0 million in a technology company by participating in its convertible debt financing round. The Company estimates the fair value of this strategic investment was $1.0 million at both October 31, 2020 and July 31, 2020 based on assumptions of the expected return on the investment (Level 3).</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Convertible Senior Notes was $436.3 million at October 31, 2020 and $480.0 million at July 31, 2020. The Company estimates the fair value of the Convertible Senior Notes using commonly accepted valuation methodologies and market-based risk measurements that are directly observable, such as unadjusted quoted prices (Level 2). The Company carries the Convertible Senior Notes at initial fair value less unamortized debt discount and issuance costs on its condensed consolidated balance sheets. For further information on the Convertible Senior Notes, see Note 6.</w:t>
      </w:r>
    </w:p>
    <w:p>
      <w:pPr>
        <w:spacing w:after="0" w:line="200" w:lineRule="exact"/>
        <w:rPr>
          <w:sz w:val="20"/>
          <w:szCs w:val="20"/>
          <w:color w:val="auto"/>
        </w:rPr>
      </w:pPr>
    </w:p>
    <w:p>
      <w:pPr>
        <w:spacing w:after="0" w:line="259" w:lineRule="exact"/>
        <w:rPr>
          <w:sz w:val="20"/>
          <w:szCs w:val="20"/>
          <w:color w:val="auto"/>
        </w:rPr>
      </w:pPr>
    </w:p>
    <w:p>
      <w:pPr>
        <w:jc w:val="right"/>
        <w:ind w:left="340" w:right="8960" w:hanging="332"/>
        <w:spacing w:after="0" w:line="375" w:lineRule="auto"/>
        <w:tabs>
          <w:tab w:leader="none" w:pos="19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Components </w:t>
      </w:r>
      <w:r>
        <w:rPr>
          <w:rFonts w:ascii="Times New Roman" w:cs="Times New Roman" w:eastAsia="Times New Roman" w:hAnsi="Times New Roman"/>
          <w:sz w:val="17"/>
          <w:szCs w:val="17"/>
          <w:b w:val="1"/>
          <w:bCs w:val="1"/>
          <w:i w:val="1"/>
          <w:iCs w:val="1"/>
          <w:color w:val="auto"/>
        </w:rPr>
        <w:t>Accounts Receivables, Net</w:t>
      </w: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Accounts receivable, net consists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 2020</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79,528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115,518</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and revenue reserves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color w:val="auto"/>
                <w:w w:val="98"/>
              </w:rPr>
              <w:t>(1,233)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48"/>
        </w:trPr>
        <w:tc>
          <w:tcPr>
            <w:tcW w:w="6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78,295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25" w:name="page26"/>
    <w:bookmarkEnd w:id="25"/>
    <w:p>
      <w:pPr>
        <w:ind w:left="340"/>
        <w:spacing w:after="0"/>
        <w:rPr>
          <w:rFonts w:ascii="Times New Roman" w:cs="Times New Roman" w:eastAsia="Times New Roman" w:hAnsi="Times New Roman"/>
          <w:sz w:val="17"/>
          <w:szCs w:val="17"/>
          <w:u w:val="single" w:color="auto"/>
          <w:color w:val="0000FF"/>
        </w:rPr>
      </w:pPr>
      <w:hyperlink w:anchor="page2">
        <w:r>
          <w:rPr>
            <w:rFonts w:ascii="Times New Roman" w:cs="Times New Roman" w:eastAsia="Times New Roman" w:hAnsi="Times New Roman"/>
            <w:sz w:val="17"/>
            <w:szCs w:val="17"/>
            <w:u w:val="single" w:color="auto"/>
            <w:color w:val="0000FF"/>
          </w:rPr>
          <w:t>Table of Contents</w:t>
        </w:r>
      </w:hyperlink>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and Revenue Reserves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Changes to the allowance for credit losses and revenue reserves consists of the following (in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Allowance, July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changes to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changes to revenue reserves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Write-offs,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Allowance, October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30"/>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9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00" w:space="720"/>
            <w:col w:w="2220"/>
          </w:cols>
          <w:pgMar w:left="320" w:top="283" w:right="339" w:bottom="1440" w:gutter="0" w:footer="0" w:header="0"/>
          <w:type w:val="continuous"/>
        </w:sectPr>
      </w:pP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Deposits and other receivables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6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340" w:type="dxa"/>
            <w:vAlign w:val="bottom"/>
          </w:tcPr>
          <w:p>
            <w:pPr>
              <w:spacing w:after="0"/>
              <w:rPr>
                <w:sz w:val="22"/>
                <w:szCs w:val="22"/>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16,791</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machinery</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46,165</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101,251</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65,235</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October 31, 2020 and July 31, 2020, no property and equipment was pledged as collateral. Depreciation expense, excluding the amortization of capitalized software development costs, was $3.6 million and $3.5 million for the three months ended October 31, 2020 and 2019, respectively.</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capitalizes software development costs for technology applications that the Company will offer solely as cloud-based subscriptions, which is primarily comprised of compensation for employees who are directly associated with the software development projects. The Company begins amortizing the capitalized software development costs once the technology applications are available for general release and amortizes those costs over the estimated lives of the applications, which typically ranges from three to five years. The Company recognized approximately $0.6 million and $0.3 million in amortization expense in cost of subscription and support revenue on the condensed consolidated statements of operations during the three months ended October 31, 2020 and 2019 respectively.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Net</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has been no change to the $340.9 million carrying amount of goodwill since July 31,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6" w:name="page27"/>
    <w:bookmarkEnd w:id="26"/>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intangible assets are amortized over their estimated useful lives. Intangible assets consist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October 31, 2020</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July 31, 2020</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1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2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240" w:type="dxa"/>
            <w:vAlign w:val="bottom"/>
          </w:tcPr>
          <w:p>
            <w:pPr>
              <w:spacing w:after="0"/>
              <w:rPr>
                <w:sz w:val="11"/>
                <w:szCs w:val="11"/>
                <w:color w:val="auto"/>
              </w:rPr>
            </w:pPr>
          </w:p>
        </w:tc>
        <w:tc>
          <w:tcPr>
            <w:tcW w:w="8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technology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77,717</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20,409</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Customer contracts and related</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relationships</w:t>
            </w: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Partner relationships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Order backlog</w:t>
            </w: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was $6.3 million and $7.2 million for the three months ended October 31, 2020 and 2019 respectively. The future amortization expense for existing intangible assets as of October 31, 2020, based on their current useful lives, is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July 31,</w:t>
            </w: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2021 (remainder of fiscal year)</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Strategic equity investments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Company’s other assets include strategic equity investments in privately-held companies in which the Company does not have a controlling interest or the ability to exert significant influence. The strategic investments consist of non-marketable equity securities that do not have readily determinable market values (Level 3). The Company records these strategic investments at cost less impairment and adjusts cost for subsequent observable changes in fair value. In the first fiscal quarter of 2021, the Company invested $2.0 million in new strategic equity investments. No impairment charges were recognized during the three months ended October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38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3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Employee Compensation</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employee compensation consists of the following (in thousands):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Bonus</w:t>
            </w: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Salaries, payroll taxes and benefits</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63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 (in thousands):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Income (Loss) Per Share</w:t>
      </w:r>
    </w:p>
    <w:p>
      <w:pPr>
        <w:spacing w:after="0" w:line="108"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(in thousands, except share and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shares used in computing net income (loss) per share:</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83,613,287</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82,360,891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Weighted average effect of dilutive stock options</w:t>
            </w:r>
          </w:p>
        </w:tc>
        <w:tc>
          <w:tcPr>
            <w:tcW w:w="1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Weighted average effect of dilutive stock awards</w:t>
            </w:r>
          </w:p>
        </w:tc>
        <w:tc>
          <w:tcPr>
            <w:tcW w:w="12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83,613,287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82,360,891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following weighted average shares of potential common stock were excluded from the computation of diluted income (loss) per share for the periods presented because including them would have been anti-dilutive:</w:t>
      </w:r>
    </w:p>
    <w:p>
      <w:pPr>
        <w:spacing w:after="0" w:line="14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6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1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61,472</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206,919</w:t>
            </w:r>
          </w:p>
        </w:tc>
      </w:tr>
      <w:tr>
        <w:trPr>
          <w:trHeight w:val="234"/>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2,263,076</w:t>
            </w:r>
          </w:p>
        </w:tc>
        <w:tc>
          <w:tcPr>
            <w:tcW w:w="1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2,028,908</w:t>
            </w: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28" w:name="page29"/>
    <w:bookmarkEnd w:id="28"/>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the Company has the intent and ability to settle the principal amount of the Convertible Senior Notes in cash and any excess in shares of the Company’s common stock, the Company uses the treasury stock method for calculating any potential dilutive effect of the conversion spread on net income (loss) per share, if applicable. The conversion spread will have a dilutive impact on net income (loss) per share when the average market price of the Company’s common stock for a given period exceeds the conversion price of $113.75 per share for the Convertible Senior Notes. During the three months ended October 31, 2020 and 2019, the Company’s weighted average common stock price was below the conversion price of the Convertible Senior Notes.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Convertible Senior Notes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2018, the Company offered and sold $400.0 million aggregate principal amount of its 1.25% Convertible Senior Notes due 2025. The Convertible Senior Notes were issued in accordance with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The net proceeds from the issuance of the Convertible Senior Notes were $387.2 million, after deducting issuance costs.</w:t>
      </w:r>
    </w:p>
    <w:p>
      <w:pPr>
        <w:spacing w:after="0" w:line="21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Convertible Senior Notes are unsecured obligations of the Company with interest payable semi-annually in arrears at a rate of 1.25% per year, on March 15th and September 15th of each year beginning on September 15, 2018. The Convertible Senior Notes will mature on March 15, 2025 unless repurchased, redeemed, or converted prior to such date. Prior to the close of business on the business day immediately preceding October 15, 2024, the Convertible Senior Notes are convertible at the option of holders during certain periods, upon satisfaction of certain conditions. On or after October 15, 2024, the Convertible Senior Notes are convertible at any time until the close of business on the second scheduled trading day immediately preceding the maturity date. The Convertible Senior Notes will have an initial conversion rate of 8.7912 shares of common stock per $1,000 principal (equivalent to an initial conversion price of approximately $113.75 per share of the Company's common stock). The conversion rate is subject to customary adjustments upon the occurrence of certain events but will not be adjusted for any accrued and unpaid interest. Upon conversion, the Company will pay or deliver, as the case may be, cash, shares of its common stock or a combination of cash and shares of its common stock, at its election.</w:t>
      </w:r>
    </w:p>
    <w:p>
      <w:pPr>
        <w:spacing w:after="0" w:line="21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may redeem the Convertible Senior Notes, at its option, on or after March 20, 2022, at a redemption price equal to 100% of the principal amount thereof, plus accrued and unpaid interest if the last reported sale price of the Company’s common stock has been at least 130% of the conversion price then in effect for at least 20 trading days (whether or not consecutive), including at least one of the three trading days immediately preceding the date on which the Company provides notice of redemption, during any 30 consecutive trading day period ending on, and including, the trading day immediately preceding the date on which the Company provides notice of redemption. No sinking fund is provided for the Convertible Senior Notes. Upon the occurrence of a fundamental change (as defined in the Indenture) prior to the maturity date, holders may require the Company to repurchase all or a portion of the Convertible Senior Notes for cash at a price equal to 100% of the principal amount of the notes to be repurchased, plus any accrued and unpaid interest to, but excluding, the fundamental change repurchase date.</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Convertible Senior Notes rank senior in right of payment to any of the Company’s indebtedness that is expressly subordinated in right of payment to the Convertible Senior Notes, and equal in right of payment to any of its indebtedness that is not so subordinated. The Convertible Senior Notes are effectively junior in right of payment to any of the Company’s secured indebtedness to the extent of the value of the assets securing such indebtedness; and structurally junior to all indebtedness and other liabilities (including trade payables) and any preferred equity of its current or future subsidiaries.</w:t>
      </w:r>
    </w:p>
    <w:p>
      <w:pPr>
        <w:spacing w:after="0" w:line="207"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The net carrying value of the liability component, unamortized debt discount and unamortized debt issuance costs of the Convertible Senior Notes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340" w:type="dxa"/>
            <w:vAlign w:val="bottom"/>
          </w:tcPr>
          <w:p>
            <w:pPr>
              <w:spacing w:after="0"/>
              <w:rPr>
                <w:sz w:val="21"/>
                <w:szCs w:val="21"/>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 2020</w:t>
            </w:r>
          </w:p>
        </w:tc>
      </w:tr>
      <w:tr>
        <w:trPr>
          <w:trHeight w:val="230"/>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discount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62,508</w:t>
            </w:r>
          </w:p>
        </w:tc>
      </w:tr>
      <w:tr>
        <w:trPr>
          <w:trHeight w:val="230"/>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amount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effective interest rate of the Convertible Senior Notes is 5.53%. The following table sets forth the interest expense recognized related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Senior Notes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7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700" w:type="dxa"/>
            <w:vAlign w:val="bottom"/>
            <w:tcBorders>
              <w:bottom w:val="single" w:sz="8" w:color="auto"/>
            </w:tcBorders>
          </w:tcPr>
          <w:p>
            <w:pPr>
              <w:spacing w:after="0"/>
              <w:rPr>
                <w:sz w:val="20"/>
                <w:szCs w:val="20"/>
                <w:color w:val="auto"/>
              </w:rPr>
            </w:pPr>
          </w:p>
        </w:tc>
      </w:tr>
      <w:tr>
        <w:trPr>
          <w:trHeight w:val="230"/>
        </w:trPr>
        <w:tc>
          <w:tcPr>
            <w:tcW w:w="67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tcBorders>
              <w:bottom w:val="single" w:sz="8" w:color="auto"/>
            </w:tcBorders>
          </w:tcPr>
          <w:p>
            <w:pPr>
              <w:spacing w:after="0"/>
              <w:rPr>
                <w:sz w:val="20"/>
                <w:szCs w:val="20"/>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r>
      <w:tr>
        <w:trPr>
          <w:trHeight w:val="20"/>
        </w:trPr>
        <w:tc>
          <w:tcPr>
            <w:tcW w:w="6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Capped Call</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March 2018, the Company paid $37.2 million to purchase capped calls with certain financial institutions pursuant to capped call confirmations (the “Capped Calls”). The Capped Calls have an initial strike price of $113.75 per share, subject to certain adjustments, which corresponds to the initial conversion price of the Convertible Senior Notes. The Capped Calls have initial cap prices of $153.13 per share, subject to certain adjustments. The Capped Calls cover, subject to anti-dilution adjustments, 3.5 million shares of common stock. By entering into the Capped Calls,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Capped Calls are subject to either adjustment or termination upon the occurrence of specified extraordinary events affecting the Company, including a merger event, tender offer, and a nationalization, insolvency, or delisting involving the Company. Additionally, the Capped Calls are subject to certain specified additional disruption events that may give rise to a termination of the Capped Calls, including change in law, insolvency filing, and hedging disruptions. The Capped Calls were recorded in the periods purchased as a reduction of the Company’s additional paid-in capital in the condensed consolidated balance sheets.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lease obligations consist of operating leases for office facilities and equipment, with lease periods expiring between fiscal years 2021 and 2032. Some leases include one or more options to renew. Lease renewals are not assumed in the determination of the lease term until the exercise of the renewal option is deemed to be reasonably certain.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Components of operating lease costs were as follows (in thousands):</w:t>
            </w: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99"/>
        </w:trPr>
        <w:tc>
          <w:tcPr>
            <w:tcW w:w="6780" w:type="dxa"/>
            <w:vAlign w:val="bottom"/>
          </w:tcPr>
          <w:p>
            <w:pPr>
              <w:spacing w:after="0"/>
              <w:rPr>
                <w:sz w:val="24"/>
                <w:szCs w:val="24"/>
                <w:color w:val="auto"/>
              </w:rPr>
            </w:pPr>
          </w:p>
        </w:tc>
        <w:tc>
          <w:tcPr>
            <w:tcW w:w="37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700" w:type="dxa"/>
            <w:vAlign w:val="bottom"/>
            <w:tcBorders>
              <w:bottom w:val="single" w:sz="8" w:color="auto"/>
            </w:tcBorders>
          </w:tcPr>
          <w:p>
            <w:pPr>
              <w:spacing w:after="0"/>
              <w:rPr>
                <w:sz w:val="24"/>
                <w:szCs w:val="24"/>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00" w:type="dxa"/>
            <w:vAlign w:val="bottom"/>
            <w:tcBorders>
              <w:bottom w:val="single" w:sz="8" w:color="auto"/>
            </w:tcBorders>
          </w:tcPr>
          <w:p>
            <w:pPr>
              <w:spacing w:after="0"/>
              <w:rPr>
                <w:sz w:val="19"/>
                <w:szCs w:val="19"/>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9"/>
                <w:szCs w:val="9"/>
                <w:color w:val="auto"/>
              </w:rPr>
              <w:t>(1)</w:t>
            </w: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lease cost</w:t>
            </w:r>
          </w:p>
        </w:tc>
        <w:tc>
          <w:tcPr>
            <w:tcW w:w="14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5,052</w:t>
            </w:r>
          </w:p>
        </w:tc>
      </w:tr>
      <w:tr>
        <w:trPr>
          <w:trHeight w:val="21"/>
        </w:trPr>
        <w:tc>
          <w:tcPr>
            <w:tcW w:w="6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20" w:firstLine="8"/>
        <w:spacing w:after="0"/>
        <w:tabs>
          <w:tab w:leader="none" w:pos="132"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Lease expense for leases with an initial term of 12 months or less is excluded from the table above and was $0.3 million and $0.3 million for the three months ended October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72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0"/>
        </w:trPr>
        <w:tc>
          <w:tcPr>
            <w:tcW w:w="340" w:type="dxa"/>
            <w:vAlign w:val="bottom"/>
          </w:tcPr>
          <w:p>
            <w:pPr>
              <w:spacing w:after="0"/>
              <w:rPr>
                <w:sz w:val="24"/>
                <w:szCs w:val="24"/>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operating lease payments as of October 31, 2020 were as follows (in thousands):</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9"/>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Ending July 31,</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(remaining)</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w:t>
            </w:r>
          </w:p>
        </w:tc>
      </w:tr>
      <w:tr>
        <w:trPr>
          <w:trHeight w:val="229"/>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18,745</w:t>
            </w:r>
          </w:p>
        </w:tc>
      </w:tr>
      <w:tr>
        <w:trPr>
          <w:trHeight w:val="229"/>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17,198</w:t>
            </w:r>
          </w:p>
        </w:tc>
      </w:tr>
      <w:tr>
        <w:trPr>
          <w:trHeight w:val="230"/>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16,823</w:t>
            </w:r>
          </w:p>
        </w:tc>
      </w:tr>
      <w:tr>
        <w:trPr>
          <w:trHeight w:val="229"/>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17,214</w:t>
            </w:r>
          </w:p>
        </w:tc>
      </w:tr>
      <w:tr>
        <w:trPr>
          <w:trHeight w:val="230"/>
        </w:trPr>
        <w:tc>
          <w:tcPr>
            <w:tcW w:w="9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84,960</w:t>
            </w:r>
          </w:p>
        </w:tc>
      </w:tr>
      <w:tr>
        <w:trPr>
          <w:trHeight w:val="223"/>
        </w:trPr>
        <w:tc>
          <w:tcPr>
            <w:tcW w:w="90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166,778</w:t>
            </w:r>
          </w:p>
        </w:tc>
      </w:tr>
      <w:tr>
        <w:trPr>
          <w:trHeight w:val="230"/>
        </w:trPr>
        <w:tc>
          <w:tcPr>
            <w:tcW w:w="9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(29,662)</w:t>
            </w:r>
          </w:p>
        </w:tc>
      </w:tr>
      <w:tr>
        <w:trPr>
          <w:trHeight w:val="248"/>
        </w:trPr>
        <w:tc>
          <w:tcPr>
            <w:tcW w:w="90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137,116</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 (in thousands, except for lease term and discount rate):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380" w:type="dxa"/>
            <w:vAlign w:val="bottom"/>
          </w:tcPr>
          <w:p>
            <w:pPr>
              <w:spacing w:after="0"/>
              <w:rPr>
                <w:sz w:val="20"/>
                <w:szCs w:val="20"/>
                <w:color w:val="auto"/>
              </w:rPr>
            </w:pP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July 31, 2020</w:t>
            </w:r>
          </w:p>
        </w:tc>
      </w:tr>
      <w:tr>
        <w:trPr>
          <w:trHeight w:val="248"/>
        </w:trPr>
        <w:tc>
          <w:tcPr>
            <w:tcW w:w="6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103,797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10,936</w:t>
            </w:r>
          </w:p>
        </w:tc>
      </w:tr>
      <w:tr>
        <w:trPr>
          <w:trHeight w:val="230"/>
        </w:trPr>
        <w:tc>
          <w:tcPr>
            <w:tcW w:w="6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125,536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119,408</w:t>
            </w:r>
          </w:p>
        </w:tc>
      </w:tr>
      <w:tr>
        <w:trPr>
          <w:trHeight w:val="248"/>
        </w:trPr>
        <w:tc>
          <w:tcPr>
            <w:tcW w:w="6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130,344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29"/>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34"/>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4.34 %</w:t>
            </w:r>
          </w:p>
        </w:tc>
      </w:tr>
    </w:tbl>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and non-cash information related to operating leases was as follows (in thousands):</w:t>
      </w:r>
    </w:p>
    <w:p>
      <w:pPr>
        <w:spacing w:after="0" w:line="28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19685</wp:posOffset>
            </wp:positionV>
            <wp:extent cx="2802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ind w:left="7720"/>
        <w:spacing w:after="0"/>
        <w:tabs>
          <w:tab w:leader="none" w:pos="996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98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34"/>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9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the Company’s contractual obligations and commitments other than in the ordinary course of business since the Company’s fiscal year ended July 31, 2020. See the Annual Report on Form 10-K for the fiscal year ended July 31, 2020 for additional information regarding the Company’s contractual obligations.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and receives claims, arising from the normal course of business activities.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has not recorded any accrual for claims as of October 31, 2020 or July 31, 2020. The Company expenses legal fees in the period in which they are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2020, one of the Company's stockholders filed a putative securities class action complaint in the United States District Court for the Northern District of California, against the Company and certain of its current or former officers and directors. The complaint alleged violations of Sections 10(b) and 20(a) of the Exchange Act and SEC Rule 10b-5 and was seeking unspecified compensatory damages, interest, and attorney's fees and costs. In October 2020, the suit was voluntarily dismissed without prejudice by plaintiff's counsel.</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not had to reimburse any of its customers for Losses related to indemnification provisions and no material claims against the Company were outstanding as of October 31, 2020 or July 31, 2020.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 and Shareholders’ Equity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94" w:lineRule="exact"/>
        <w:rPr>
          <w:sz w:val="20"/>
          <w:szCs w:val="20"/>
          <w:color w:val="auto"/>
        </w:rPr>
      </w:pPr>
    </w:p>
    <w:p>
      <w:pPr>
        <w:jc w:val="both"/>
        <w:ind w:right="20" w:firstLine="324"/>
        <w:spacing w:after="0" w:line="271" w:lineRule="auto"/>
        <w:rPr>
          <w:sz w:val="20"/>
          <w:szCs w:val="20"/>
          <w:color w:val="auto"/>
        </w:rPr>
      </w:pPr>
      <w:r>
        <w:rPr>
          <w:rFonts w:ascii="Times New Roman" w:cs="Times New Roman" w:eastAsia="Times New Roman" w:hAnsi="Times New Roman"/>
          <w:sz w:val="18"/>
          <w:szCs w:val="18"/>
          <w:color w:val="auto"/>
        </w:rPr>
        <w:t>Stock-based compensation expense related to stock options and Stock Awards is included in the Company’s condensed consolidated statements of operations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36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impact of deferred stock-based compensation</w:t>
            </w:r>
          </w:p>
        </w:tc>
        <w:tc>
          <w:tcPr>
            <w:tcW w:w="1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48"/>
        </w:trPr>
        <w:tc>
          <w:tcPr>
            <w:tcW w:w="6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is included in the following categories: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8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license revenue</w:t>
            </w:r>
          </w:p>
        </w:tc>
        <w:tc>
          <w:tcPr>
            <w:tcW w:w="1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0" w:type="dxa"/>
            <w:vAlign w:val="bottom"/>
          </w:tcPr>
          <w:p>
            <w:pPr>
              <w:spacing w:after="0"/>
              <w:rPr>
                <w:sz w:val="1"/>
                <w:szCs w:val="1"/>
                <w:color w:val="auto"/>
              </w:rPr>
            </w:pPr>
          </w:p>
        </w:tc>
      </w:tr>
      <w:tr>
        <w:trPr>
          <w:trHeight w:val="248"/>
        </w:trPr>
        <w:tc>
          <w:tcPr>
            <w:tcW w:w="6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w:t>
            </w:r>
          </w:p>
        </w:tc>
        <w:tc>
          <w:tcPr>
            <w:tcW w:w="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2" w:name="page33"/>
    <w:bookmarkEnd w:id="32"/>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unrecognized stock-based compensation expense as of October 31, 2020 related to stock options and Stock Awards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6"/>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Unrecognized Expense</w:t>
            </w:r>
          </w:p>
        </w:tc>
        <w:tc>
          <w:tcPr>
            <w:tcW w:w="2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Expected Recognition</w:t>
            </w:r>
          </w:p>
        </w:tc>
        <w:tc>
          <w:tcPr>
            <w:tcW w:w="0" w:type="dxa"/>
            <w:vAlign w:val="bottom"/>
          </w:tcPr>
          <w:p>
            <w:pPr>
              <w:spacing w:after="0"/>
              <w:rPr>
                <w:sz w:val="1"/>
                <w:szCs w:val="1"/>
                <w:color w:val="auto"/>
              </w:rPr>
            </w:pPr>
          </w:p>
        </w:tc>
      </w:tr>
      <w:tr>
        <w:trPr>
          <w:trHeight w:val="221"/>
        </w:trPr>
        <w:tc>
          <w:tcPr>
            <w:tcW w:w="6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22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38"/>
        </w:trPr>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296,490</w:t>
            </w:r>
          </w:p>
        </w:tc>
        <w:tc>
          <w:tcPr>
            <w:tcW w:w="2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296,860</w:t>
            </w: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11"/>
        </w:trPr>
        <w:tc>
          <w:tcPr>
            <w:tcW w:w="91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 summary of the Company’s Stock Awards activity under the Company’s equity incentive plans is as follows:</w:t>
            </w: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6"/>
        </w:trPr>
        <w:tc>
          <w:tcPr>
            <w:tcW w:w="4940" w:type="dxa"/>
            <w:vAlign w:val="bottom"/>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Awards Outstanding</w:t>
            </w: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r>
      <w:tr>
        <w:trPr>
          <w:trHeight w:val="169"/>
        </w:trPr>
        <w:tc>
          <w:tcPr>
            <w:tcW w:w="4940" w:type="dxa"/>
            <w:vAlign w:val="bottom"/>
          </w:tcPr>
          <w:p>
            <w:pPr>
              <w:spacing w:after="0"/>
              <w:rPr>
                <w:sz w:val="14"/>
                <w:szCs w:val="14"/>
                <w:color w:val="auto"/>
              </w:rPr>
            </w:pPr>
          </w:p>
        </w:tc>
        <w:tc>
          <w:tcPr>
            <w:tcW w:w="20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Number of Stock Awards</w:t>
            </w:r>
          </w:p>
        </w:tc>
        <w:tc>
          <w:tcPr>
            <w:tcW w:w="100" w:type="dxa"/>
            <w:vAlign w:val="bottom"/>
          </w:tcPr>
          <w:p>
            <w:pPr>
              <w:spacing w:after="0"/>
              <w:rPr>
                <w:sz w:val="14"/>
                <w:szCs w:val="14"/>
                <w:color w:val="auto"/>
              </w:rPr>
            </w:pPr>
          </w:p>
        </w:tc>
        <w:tc>
          <w:tcPr>
            <w:tcW w:w="20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Weighted Average Grant</w:t>
            </w:r>
          </w:p>
        </w:tc>
        <w:tc>
          <w:tcPr>
            <w:tcW w:w="20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Aggregate Intrinsic Value</w:t>
            </w:r>
          </w:p>
        </w:tc>
      </w:tr>
      <w:tr>
        <w:trPr>
          <w:trHeight w:val="229"/>
        </w:trPr>
        <w:tc>
          <w:tcPr>
            <w:tcW w:w="494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30"/>
              <w:spacing w:after="0" w:line="230" w:lineRule="exact"/>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23"/>
                <w:szCs w:val="23"/>
                <w:b w:val="1"/>
                <w:bCs w:val="1"/>
                <w:color w:val="auto"/>
                <w:vertAlign w:val="superscript"/>
              </w:rPr>
              <w:t>(1)</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2,445,698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99.34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287,761</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1,112,046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111.55</w:t>
            </w: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90.29</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36,027</w:t>
            </w:r>
          </w:p>
        </w:tc>
      </w:tr>
      <w:tr>
        <w:trPr>
          <w:trHeight w:val="229"/>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(88,564)</w:t>
            </w: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100.38</w:t>
            </w:r>
          </w:p>
        </w:tc>
        <w:tc>
          <w:tcPr>
            <w:tcW w:w="2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2020</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3,129,421</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104.63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300,769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r>
        <w:trPr>
          <w:trHeight w:val="203"/>
        </w:trPr>
        <w:tc>
          <w:tcPr>
            <w:tcW w:w="4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Expected to vest as of October 31, 2020</w:t>
            </w:r>
          </w:p>
        </w:tc>
        <w:tc>
          <w:tcPr>
            <w:tcW w:w="2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3,129,421</w:t>
            </w:r>
          </w:p>
        </w:tc>
        <w:tc>
          <w:tcPr>
            <w:tcW w:w="340" w:type="dxa"/>
            <w:vAlign w:val="bottom"/>
            <w:gridSpan w:val="2"/>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104.63</w:t>
            </w: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300,769</w:t>
            </w:r>
          </w:p>
        </w:tc>
      </w:tr>
      <w:tr>
        <w:trPr>
          <w:trHeight w:val="20"/>
        </w:trPr>
        <w:tc>
          <w:tcPr>
            <w:tcW w:w="49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12" w:lineRule="exact"/>
        <w:rPr>
          <w:sz w:val="20"/>
          <w:szCs w:val="20"/>
          <w:color w:val="auto"/>
        </w:rPr>
      </w:pPr>
    </w:p>
    <w:p>
      <w:pPr>
        <w:ind w:right="20" w:firstLine="8"/>
        <w:spacing w:after="0" w:line="337" w:lineRule="auto"/>
        <w:tabs>
          <w:tab w:leader="none" w:pos="132" w:val="left"/>
        </w:tabs>
        <w:numPr>
          <w:ilvl w:val="0"/>
          <w:numId w:val="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Aggregate intrinsic value at each period end represents the total market value of Stock Awards at the Company’s closing stock price of $96.11 and $117.66 on October 31, 2020 and July 31, 2020, respectively. Aggregate intrinsic value for released Stock Awards represents the total market value of released Stock Awards at date of release.</w:t>
      </w:r>
    </w:p>
    <w:p>
      <w:pPr>
        <w:spacing w:after="0" w:line="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executives and employees of the Company received PSUs and TSR PSUs in addition to RSUs. PSUs awarded in September 2021 will vest over three years with 50% vesting annually over the three year period and the remaining 50% vesting at the end of the third year. The TSR PSUs are subject to total shareholder return rankings of the Company's common stock relative to the software companies in the S&amp;P Index for a specified period or periods, and vest at the end of three years. The Company recognized stock-based compensation related to these performance-based and market-based stock awards of $3.3 million and $3.4 million for the three months ended October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70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3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option activity under the Company’s equity incentive plans is as follows: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Stock</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480" w:type="dxa"/>
            <w:vAlign w:val="bottom"/>
            <w:vMerge w:val="restart"/>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5"/>
                <w:szCs w:val="5"/>
                <w:color w:val="auto"/>
              </w:rPr>
            </w:pPr>
          </w:p>
        </w:tc>
        <w:tc>
          <w:tcPr>
            <w:tcW w:w="1520" w:type="dxa"/>
            <w:vAlign w:val="bottom"/>
            <w:gridSpan w:val="3"/>
            <w:vMerge w:val="restart"/>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460" w:type="dxa"/>
            <w:vAlign w:val="bottom"/>
            <w:gridSpan w:val="2"/>
            <w:vMerge w:val="restart"/>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vMerge w:val="restart"/>
          </w:tcPr>
          <w:p>
            <w:pPr>
              <w:jc w:val="center"/>
              <w:ind w:right="114"/>
              <w:spacing w:after="0" w:line="20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98"/>
        </w:trPr>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jc w:val="center"/>
              <w:ind w:right="94"/>
              <w:spacing w:after="0" w:line="132" w:lineRule="exact"/>
              <w:rPr>
                <w:sz w:val="20"/>
                <w:szCs w:val="20"/>
                <w:color w:val="auto"/>
              </w:rPr>
            </w:pPr>
            <w:r>
              <w:rPr>
                <w:rFonts w:ascii="Times New Roman" w:cs="Times New Roman" w:eastAsia="Times New Roman" w:hAnsi="Times New Roman"/>
                <w:sz w:val="12"/>
                <w:szCs w:val="12"/>
                <w:b w:val="1"/>
                <w:bCs w:val="1"/>
                <w:color w:val="auto"/>
                <w:w w:val="99"/>
              </w:rPr>
              <w:t>(1)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80,332</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0" w:type="dxa"/>
            <w:vAlign w:val="bottom"/>
          </w:tcPr>
          <w:p>
            <w:pPr>
              <w:spacing w:after="0"/>
              <w:rPr>
                <w:sz w:val="1"/>
                <w:szCs w:val="1"/>
                <w:color w:val="auto"/>
              </w:rPr>
            </w:pPr>
          </w:p>
        </w:tc>
      </w:tr>
      <w:tr>
        <w:trPr>
          <w:trHeight w:val="229"/>
        </w:trPr>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(39,169)</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4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40,509</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October 31, 2020</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40,509</w:t>
            </w:r>
          </w:p>
        </w:tc>
        <w:tc>
          <w:tcPr>
            <w:tcW w:w="340" w:type="dxa"/>
            <w:vAlign w:val="bottom"/>
            <w:gridSpan w:val="2"/>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16.56</w:t>
            </w:r>
          </w:p>
        </w:tc>
        <w:tc>
          <w:tcPr>
            <w:tcW w:w="12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October 31,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firstLine="8"/>
        <w:spacing w:after="0" w:line="585" w:lineRule="auto"/>
        <w:tabs>
          <w:tab w:leader="none" w:pos="132"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Aggregate intrinsic value at each period end represents the difference between the Company’s closing stock price of $96.11 and $117.66 on October 31, 2020 and July 31, 2020, respectively, and the exercise price of outstanding options. Aggregate intrinsic value for exercised options represents the difference between the Company’s stock price at date of exercise and the exercise price.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of Awards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TSR PSUs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TSR PSUs is estimated at the date of grant using the Monte Carlo simulation model which included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44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r>
      <w:tr>
        <w:trPr>
          <w:trHeight w:val="223"/>
        </w:trPr>
        <w:tc>
          <w:tcPr>
            <w:tcW w:w="678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2.9</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 of the Company</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28.4%</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volatility of the peer companies in the S&amp;P Index</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37.0%</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TSR PSUs granted during the three months ended October 31, 2020.</w:t>
      </w:r>
    </w:p>
    <w:p>
      <w:pPr>
        <w:spacing w:after="0" w:line="248"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number of TSR PSUs that may ultimately vest will vary based on the performance of the Company’s common stock relative to the shareholder return of the software companies in the S&amp;P Index for a specified period or periods. The Monte Carlo methodology incorporates into the valuation all possible outcomes, including that the Company’s relative performance may result in no shares vesting. As a result, stock-based compensation expense is recognized regardless of the Company's ultimate achievement of the plan’s metrics. The expense will be reversed only in the event that a grantee is terminated prior to satisfying the requisite service period.</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Issuance</w:t>
      </w:r>
    </w:p>
    <w:p>
      <w:pPr>
        <w:spacing w:after="0" w:line="108"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As of October 31, 2020 and July 31, 2020, the Company was authorized to issue 500,000,000 shares of common stock with a par value of $0.0001 per share and, of these, 83,791,856 and 83,461,925 shares of common stock were issued and outstanding, respectively. Per the terms of the Company’s 2011 Stock Plan, on January first of each year, an additional number of shares equal to 5% of the number of shares of common stock issued and outstanding on the preceding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may be added to the Company’s 2011 Stock Plan reserve. The Company elected not to increase the number of shares of common stock available for grant under this plan for the calendar year ended December 31, 2019. As of October 31, 2020 and July 31, 2020, the Company had reserved shares of common stock for future issuance as follows: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44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925"/>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180" w:type="dxa"/>
            <w:vAlign w:val="bottom"/>
          </w:tcPr>
          <w:p>
            <w:pPr>
              <w:spacing w:after="0"/>
              <w:rPr>
                <w:sz w:val="24"/>
                <w:szCs w:val="24"/>
                <w:color w:val="auto"/>
              </w:rPr>
            </w:pPr>
          </w:p>
        </w:tc>
        <w:tc>
          <w:tcPr>
            <w:tcW w:w="22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2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 2020</w:t>
            </w:r>
          </w:p>
        </w:tc>
      </w:tr>
      <w:tr>
        <w:trPr>
          <w:trHeight w:val="223"/>
        </w:trPr>
        <w:tc>
          <w:tcPr>
            <w:tcW w:w="678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 of stock options to purchase common stock</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40,509</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80,332</w:t>
            </w:r>
          </w:p>
        </w:tc>
      </w:tr>
      <w:tr>
        <w:trPr>
          <w:trHeight w:val="229"/>
        </w:trPr>
        <w:tc>
          <w:tcPr>
            <w:tcW w:w="67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Vesting of stock awards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3,129,421</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2,445,698</w:t>
            </w:r>
          </w:p>
        </w:tc>
      </w:tr>
      <w:tr>
        <w:trPr>
          <w:trHeight w:val="229"/>
        </w:trPr>
        <w:tc>
          <w:tcPr>
            <w:tcW w:w="6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Shares available under stock plans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21,720,159</w:t>
            </w:r>
          </w:p>
        </w:tc>
        <w:tc>
          <w:tcPr>
            <w:tcW w:w="100" w:type="dxa"/>
            <w:vAlign w:val="bottom"/>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23,460,234</w:t>
            </w:r>
          </w:p>
        </w:tc>
      </w:tr>
      <w:tr>
        <w:trPr>
          <w:trHeight w:val="223"/>
        </w:trPr>
        <w:tc>
          <w:tcPr>
            <w:tcW w:w="6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24,890,089</w:t>
            </w: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25,986,264</w:t>
            </w: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2020, the Company's board of directors authorized and approved a stock repurchase program of up to $200.0 million of the Company's outstanding common stock. During the three months ended October 31, 2020, the Company repurchased 48,997 shares of common stock at an average price of $102.05 per share, for an aggregate purchase price of $5.0 million. As of October 31, 2020, $195.0 million remained available for future share repurchases.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recognized an income tax benefit of $10.7 million and $6.7 million for the three months ended October 31, 2020 and 2019, respectively. The change in the amount of income taxes recorded for the three months ended October 31, 2020 compared to the same period a year ago was primarily due to the increase in the loss before taxes and a tax status change of a foreign subsidiary for U.S. tax purposes. The effective tax rate of 35% for the three months ended October 31, 2020 differs from the statutory U.S. federal income tax rate of 21% mainly due to permanent differences for stock-based compensation including excess tax benefits, global intangible low-taxed income ("GILTI") inclusion, research and development credits, certain non-deductible expenses including executive compensation, and the tax status change of a foreign subsidiary.</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2020, unrecognized tax benefits increased by $0.3 million. As of October 31, 2020, the Company had unrecognized tax benefits of $18.2 million that, if recognized, would affect the Company’s effective tax rate.</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currently under examination by the California Franchise Tax Board for the state income tax returns filed for fiscal years 2018 and 2017. If any issues addressed in the tax audit are resolved in a manner not consistent with the Company's expectations, the Company may be required to adjust its provision for income tax in the period such resolution occurs. The Company does not believe the audit will have a material impact on the Company's financial position,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operates in one segment. The Company’s chief operating decision maker (the “CODM”), its Chief Executive Officer, manages the Company’s operations on a consolidated basis for purposes of allocating resources. When evaluating the Company’s financial performance, the CODM reviews separate revenue information for the Company’s subscription, support, term license, perpetual license, and services offerings, while all other financial information is reviewed on a consolidated basis. The Company’s principal operations and decision-making functions are located in the United States.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long-lived assets, including intangibles and goodwill, net by geographic region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 2020</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434,283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440,291</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2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441,678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445,820</w:t>
            </w: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condensed consolidated financial statements and the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deliver the platform P&amp;C insurers trust to engage, innovate, and grow efficiently. We combine core operations, digital engagement, analytics, and artificial intelligence ("AI") applications delivered as a cloud service or self-managed software. As a partner to our customers, we continually evolve to enable their success and assist them in navigating a rapidly changing insurance market.</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core operational products are InsuranceSuite via Guidewire Cloud, InsuranceNow, and InsuranceSuite for self-managed installations. These products are core transactional systems of record that support the entire insurance lifecycle, including insurance product definition, distribution, underwriting, policyholder services, and claims management. InsuranceSuite via Guidewire Cloud is a highly configurable and scalable product, delivered as a service and primarily comprised of three core applications (PolicyCenter, BillingCenter, and ClaimCenter) that can be subscribed to separately or</w:t>
      </w:r>
    </w:p>
    <w:p>
      <w:pPr>
        <w:spacing w:after="0" w:line="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together. These applications are built on and optimized for our Guidewire Cloud Platform ("GWCP") architecture and leverages our in-house Guidewire cloud operations team. InsuranceSuite via Guidewire Cloud is designed to support multiple releases a year to ensure that cloud customers remain on the latest version and gain fast access to our innovation efforts. Additionally, InsuranceSuite via Guidewire Cloud embeds digital and analytics capabilities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natively into our platform. Most new sales and implementations are for InsuranceSuite via Guidewire Cloud. InsuranceNow is a complete, cloud-based system that offers policy, billing, and claims management functionality to insurers that have limited internal information technology resources. InsuranceSuite for self-managed is comprised of three core applications (PolicyCenter, BillingCenter, and ClaimCenter) that can be licensed separately or</w:t>
      </w:r>
    </w:p>
    <w:p>
      <w:pPr>
        <w:jc w:val="both"/>
        <w:spacing w:after="0" w:line="258" w:lineRule="auto"/>
        <w:rPr>
          <w:sz w:val="20"/>
          <w:szCs w:val="20"/>
          <w:color w:val="auto"/>
        </w:rPr>
      </w:pPr>
      <w:r>
        <w:rPr>
          <w:rFonts w:ascii="Times New Roman" w:cs="Times New Roman" w:eastAsia="Times New Roman" w:hAnsi="Times New Roman"/>
          <w:sz w:val="18"/>
          <w:szCs w:val="18"/>
          <w:color w:val="auto"/>
        </w:rPr>
        <w:t>together and can be deployed and updated by our customers and their implementation partners. Our digital engagement applications enable digital sales, omni-channel service, and enhanced claims experiences for policyholders, agents, vendor partners and field personnel. Our analytics and AI offerings enable insurers to manage data more effectively, gain insights into their business, drive operational efficiencies, and underwrite new and evolving risks. To support P&amp;C insurers globally, we have localized, and will continue to localize, our platform for use in a variety of international regulatory, language, and currency environments.</w:t>
      </w:r>
    </w:p>
    <w:p>
      <w:pPr>
        <w:spacing w:after="0" w:line="210"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8"/>
          <w:szCs w:val="18"/>
          <w:color w:val="auto"/>
        </w:rPr>
        <w:t>Our customers range from some of the largest global insurance companies or their subsidiaries to predominantly national or local insurers that serve 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1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sales cycles for new and existing customers remain protracted as customers are deliberate and the decision-making and product evaluation process is long. These evaluation periods can extend further if the customer purchases multiple products or assesses the benefits of a cloud-based subscription in addition to our more traditional self-managed licensing model. Sales to new customers also involve extensive customer due diligence and reference checks. The success of our sales efforts relies on continued improvements and enhancements to our current products, the introduction of new products, efficient operation of our cloud infrastructure, continued development of relevant local content and automated tools for updating content, and successful implementations.</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sell our cloud-delivered offerings through subscription services and our self-managed products through term licenses. We generally price our products and services based on the amount of DWP that will be managed by our platform.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is met including providing access to the service. Term licenses are primarily sold with an initial two-year committed term with optional annual renewals commencing after the initial term. We may enter into term license arrangements with our customers that have an initial term of more than two years or may renew license arrangements for longer than one year. A small portion of our revenue is derived from perpetual licenses. Term and perpetual license revenue are typically recognized when software is made available to the customer, provided that all other revenue recognition criteria have been met. We also offer professional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6" w:name="page37"/>
    <w:bookmarkEnd w:id="36"/>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services, both directly and through partners, to help our customers deploy, migrate, and utilize our products and platform. Substantially all of our services revenue is billed monthly on a time and materials basis.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Over the past few years, we have primarily been entering into cloud-based subscription arrangements with our new and existing customers and we anticipate that subscription arrangements will be a majority of annual new sales going forward. As this sales model matures, we may decide to change certain contract terms in new arrangements to remain competitive or otherwise meet market demands.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extend our technology leadership in the global market and to drive operating efficiency, we continue to invest in product development and cloud operations to enhance and improve our current products, introduce new products, and advance our ability to cost-effectively deliver each of our products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and solutions.</w:t>
      </w:r>
    </w:p>
    <w:p>
      <w:pPr>
        <w:spacing w:after="0" w:line="1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track record of success with customers and their implementations is central to maintaining our strong competitive position. We rely on our global services team and SI partners to ensure that teams with the right combination of product and language skills are used in the most efficient way to meet our customers’ implementation needs. Our partnerships with leading SI partners allow us to increase efficiency and scale while reducing customer implementation costs. Our extensive relationships with SI and other industry partners have strengthened and expanded in line with the interest in and adoption of our services and products. We encourage our partners to co-market, pursue joint sales initiatives, and drive broader adoption of our technology, helping us grow our business more efficiently. We continue to grow our services organization and invest time and resources in increasing the number of qualified consultants employed by our SI partners, developing relationships with new SI partners in existing and new markets, and ensuring that all partners are qualified to implement our services and products.</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services and products successfully, migrating our business towards a subscription model with ratable revenue recognition, increasing the overall adoption of our products, and managing the infrastructure of our cloud-based customers. In response to these and other risks we might face, we continue to invest in many areas of our business, including product development, cloud operations, implementation services and sales and marketing.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48" w:lineRule="exact"/>
        <w:rPr>
          <w:sz w:val="20"/>
          <w:szCs w:val="20"/>
          <w:color w:val="auto"/>
        </w:rPr>
      </w:pPr>
    </w:p>
    <w:p>
      <w:pPr>
        <w:ind w:right="40" w:firstLine="324"/>
        <w:spacing w:after="0" w:line="237" w:lineRule="auto"/>
        <w:rPr>
          <w:sz w:val="20"/>
          <w:szCs w:val="20"/>
          <w:color w:val="auto"/>
        </w:rPr>
      </w:pPr>
      <w:r>
        <w:rPr>
          <w:rFonts w:ascii="Times New Roman" w:cs="Times New Roman" w:eastAsia="Times New Roman" w:hAnsi="Times New Roman"/>
          <w:sz w:val="18"/>
          <w:szCs w:val="18"/>
          <w:color w:val="auto"/>
        </w:rPr>
        <w:t>We have experienced seasonal variations in our license revenue and, to a lesser extent, our subscription revenue as a result of increased customer orders in our fourth fiscal quarter. We generally see significantly increased orders in our fourth fiscal quarter, which is the quarter ending July 31, due to efforts by our sales team to achieve annual incentives. Additionally, current revenue recognition guidance, also referred to as ASC 606, could continue to heighten or change the seasonal impact on our business as new term licenses and multi-year term license renewals recognize more revenue upfront based on the length of the committed term. Any quarter in which a significant multi-year term license or multi-year term license renewal or non-renewal occurs could be impacted. For example, in the first quarter of fiscal year 2021, we experienced license revenue growth due to a five year term license deal under which revenue was recognized upfront, which may overshadow the usual positive seasonal impact in our second quarter of fiscal year 2021 and may create a challenging comparable period for the first quarter of fiscal year 2022. On an annual basis, our support revenue, which is recognized ratably, may also be impacted in the event that seasonal patterns change significantly. Additionally, as subscriptions increase as a percentage of total sales, the revenue we can recognize in the initial fiscal year of an order will be reduced, deferred revenue will increase, and our reported revenue growth will be adversely affected in the near term due to the ratable nature of these arrangements. The concentration of our sales in our fiscal fourth quarter increases this impact as the revenue impact of most fiscal fourth quarter subscription sales will not be realized until the following fiscal year.</w:t>
      </w:r>
    </w:p>
    <w:p>
      <w:pPr>
        <w:spacing w:after="0" w:line="1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services revenue is also subject to seasonal fluctuations, though to a lesser degree than our license revenue and subscription revenue. Our services revenue is impacted by the number of billable days in a given fiscal quarter. The quarter ending January 31 usually has fewer billable days due to the impact of the Thanksgiving, Christmas, and New Year’s holidays. The fiscal quarter ending July 31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pandemic that continues to spread throughout the United States and the world and has resulted in authorities implementing numerous measures to contain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virus, including travel bans and restrictions, quarantines, shelter-in-place orders, and business limitations and shutdowns. While we are unable to accurately predict the full impact that COVID-19 will have on our results of operations, financial condition, liquidity, and cash flows due to numerous uncertainties, including the duration and severity of the pandemic and containment measures, our compliance with these measures has impacted our day-to-day operations and could disrupt our business and operations, as well as that of our key customers, SI partners, vendors, and other counterparties, for an indefinite period of time. To support the health and well-being of our employees, customers, SI partners and communities, a vast majority of our employees are working remotely. In addition, many of our existing and potential customers are working remotely, which may continue to delay the timing of new orders and professional services engagements in the future.</w:t>
      </w:r>
    </w:p>
    <w:p>
      <w:pPr>
        <w:spacing w:after="0" w:line="13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and financial results since the third fiscal quarter of 2020 have been impacted due to these disruptions, including decreases in annual recurring revenue ("ARR") growth rates, services revenue and margins, operating cash flow, and the change in fair value of strategic investments. ARR and revenue, especially services revenue, for the first fiscal quarter of 2021 continued to be impacted as a result of the challenges related to our compliance with government-mandated or recommended shelter-in-place orders in jurisdictions in which we, our customers, SI partners and vendors operate. For example, we or our SI partners have not been able to visit customer facilities to make sales visits or to work on implementation engagements since March 2020.</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believe that the economic impact of the pandemic on our business and the businesses of our customers, SI partners, and vendors is expected to continue through fiscal year 2021, or possibly longer. We believe that new sales activities are being delayed, not cancelled, and implementation engagements are being rescheduled to later periods or being completed over a longer period of time. Certain marketing events have or will be cancelled or postponed, while the majority are being hosted virtually, like our annual customer conference, Connections. Our customers may be unable to pay or may request amended payment terms for their outstanding invoices due to the economic impacts from COVID-19, and we may need to increase our accounts receivable allowances. A decrease in orders in a given period could negatively affect our revenues and ARR in future periods, particularly if experienced on a sustained basis, because a substantial proportion of our new software subscription services orders is recognized as revenue over time. Also, the pandemic’s global economic impact could affect our customers’ DWP, which could ultimately impact our revenue as we generally price our products and services based on the amount of DWP that will be managed by our platform. Additionally, we may be required to record impairment related to our operating lease assets, investments, long-lived assets, or goodwill. We will continue to evaluate the nature and extent of the impact of COVID-19 on our business.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certain key metrics and financial measures not prepared in accordance with United States Generally Accepted Accounting Principles (“GAAP”) to evaluate and manage our business, including Annual Recurring Revenue ("ARR") and Free Cash Flow. For a further discussion of how we use key metrics and certain non-GAAP financial measures, see “Non-GAAP Financial Measures.”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use ARR to identify the annualized recurring value of active customer contracts at the end of a reporting period. ARR includes the annualized recurring value of term licenses, subscription agreements, support contracts, and hosting agreements based on customer contracts, which may not be the same as the timing and amount of revenue recognized. All components of the licensing and subscription arrangements that are not expected to recur (primarily perpetual licenses and services) are excluded. 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reported ARR results for interim quarterly periods in fiscal year 2021 are based on actual currency rates at the end of fiscal year 2020, held constant throughout the year. ARR was $513 million as of October 31, 2020, compared to $514 million as of July 31, 2020.</w:t>
      </w: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monitor our free cash flow, as a key measure of our overall business performance, which enables us to analyze our financial performance without the effects of certain non-cash items such as depreciation, amortization, and stock-based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compensation expenses. Additionally, free cash flow takes into account the impact of changes in deferred revenue, which reflects the receipt of cash payment for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consists of purchases of property and equipment, primarily computer hardware, software, and leasehold improvements, and capitalized software development costs. The build out and furnishing of our corporate headquarters in San Mateo, California impacted free cash flow by $7.9 million for the three months ended October 31, 2019 and had no impact for the three months ended October 31, 2020. For a further discussion of our operating cash flows, see “Liquidity and Capital Resources -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37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 October 31,</w:t>
            </w:r>
          </w:p>
        </w:tc>
        <w:tc>
          <w:tcPr>
            <w:tcW w:w="740" w:type="dxa"/>
            <w:vAlign w:val="bottom"/>
            <w:tcBorders>
              <w:bottom w:val="single" w:sz="8" w:color="auto"/>
            </w:tcBorders>
          </w:tcPr>
          <w:p>
            <w:pPr>
              <w:spacing w:after="0"/>
              <w:rPr>
                <w:sz w:val="18"/>
                <w:szCs w:val="18"/>
                <w:color w:val="auto"/>
              </w:rPr>
            </w:pPr>
          </w:p>
        </w:tc>
      </w:tr>
      <w:tr>
        <w:trPr>
          <w:trHeight w:val="211"/>
        </w:trPr>
        <w:tc>
          <w:tcPr>
            <w:tcW w:w="62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740" w:type="dxa"/>
            <w:vAlign w:val="bottom"/>
            <w:tcBorders>
              <w:bottom w:val="single" w:sz="8" w:color="auto"/>
            </w:tcBorders>
          </w:tcPr>
          <w:p>
            <w:pPr>
              <w:spacing w:after="0"/>
              <w:rPr>
                <w:sz w:val="18"/>
                <w:szCs w:val="18"/>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(15,707)</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(18,138)</w:t>
            </w: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(9,625)</w:t>
            </w: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8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r>
      <w:tr>
        <w:trPr>
          <w:trHeight w:val="212"/>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Free cash flow</w:t>
            </w: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(20,195)</w:t>
            </w:r>
          </w:p>
        </w:tc>
        <w:tc>
          <w:tcPr>
            <w:tcW w:w="180" w:type="dxa"/>
            <w:vAlign w:val="bottom"/>
          </w:tcPr>
          <w:p>
            <w:pPr>
              <w:spacing w:after="0"/>
              <w:rPr>
                <w:sz w:val="18"/>
                <w:szCs w:val="18"/>
                <w:color w:val="auto"/>
              </w:rPr>
            </w:pPr>
          </w:p>
        </w:tc>
        <w:tc>
          <w:tcPr>
            <w:tcW w:w="1420" w:type="dxa"/>
            <w:vAlign w:val="bottom"/>
            <w:tcBorders>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(29,109)</w:t>
            </w:r>
          </w:p>
        </w:tc>
      </w:tr>
      <w:tr>
        <w:trPr>
          <w:trHeight w:val="21"/>
        </w:trPr>
        <w:tc>
          <w:tcPr>
            <w:tcW w:w="6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7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Summary of Significant Accounting Policies and Estimates” to our condensed consolidated financial statements included in this Quarterly Report on Form 10-Q, our revenue recognition policies are particularly critical to fiscal years 2021 and 2020.</w:t>
      </w:r>
    </w:p>
    <w:p>
      <w:pPr>
        <w:spacing w:after="0" w:line="2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While we continue to evaluate our significant accounting policies to determine which ones involve the most judgment and complexity, there have been no changes to our significant accounting policies as described in our Annual Report on Form 10-K for the fiscal year ended July 31, 2020 that have had a material impact on our condensed consolidated financial statements and related notes.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recognition requires judgment and the use of estimates, especially in identifying and evaluating the various non-standard terms and conditions in our contracts with customers as to their effect on reported revenue.</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revenue is derived from contracts with customers. The majority of our revenue is derived from licensing arrangements that can span multiple years, subscriptions for our cloud services, and implementation and other professional services arrangements. The core principle of ASC 606 is to recognize revenue upon the transfer of services or products to customers in an amount that reflects the consideration we expect to be entitled to in exchange for those services or products. We apply a five-step framework to recognize revenue as described in our Revenue Recognition policy included in Note 1 of our condensed consolidated financial statements included in this Quarterly Report on Form 10-Q</w:t>
      </w:r>
      <w:r>
        <w:rPr>
          <w:rFonts w:ascii="Times New Roman" w:cs="Times New Roman" w:eastAsia="Times New Roman" w:hAnsi="Times New Roman"/>
          <w:sz w:val="18"/>
          <w:szCs w:val="18"/>
          <w:i w:val="1"/>
          <w:iCs w:val="1"/>
          <w:color w:val="auto"/>
        </w:rPr>
        <w:t>.</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customers have significant negotiating power during the sales process which can and does result in terms and conditions that are different from our standard terms and conditions. When terms and conditions of our customer contracts are not standard, certain negotiated terms may require significant judgment in order to determine the appropriate revenue recognition in accordance with ASC 606.</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estimates and assumptions requiring significant judgment under our revenue policy in accordance with ASC 606 are as follows: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Identification of the contract, or contracts, with the customer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9" w:name="page40"/>
    <w:bookmarkEnd w:id="39"/>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Contracts may be modified to account for changes in contract scope or price. We consider contract modifications to exist when the modification either creates new rights or obligations or changes the existing enforceable rights and obligations of either party. Contract modifications for services and products that are distinct from the existing contract and are priced commensurate with their standalone selling price are treated as separate contracts, and are accounted for prospectively. Contract modifications for services and products that are distinct but are not priced commensurate with their standalone selling price or are not distinct from the existing contract may affect the initial transaction price or the allocation of the transaction price to the performance obligations in the contract. In such cases, previously recognized revenue may be adjusted.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Identification of the performance obligation in the contract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services or products that will be transferred to the customer that are both:</w:t>
      </w:r>
    </w:p>
    <w:p>
      <w:pPr>
        <w:spacing w:after="0" w:line="171" w:lineRule="exact"/>
        <w:rPr>
          <w:sz w:val="20"/>
          <w:szCs w:val="20"/>
          <w:color w:val="auto"/>
        </w:rPr>
      </w:pPr>
    </w:p>
    <w:p>
      <w:pPr>
        <w:ind w:left="660" w:right="140" w:hanging="328"/>
        <w:spacing w:after="0" w:line="282" w:lineRule="auto"/>
        <w:tabs>
          <w:tab w:leader="none" w:pos="6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capable of being distinct, whereby the customer can benefit from the service or product either on its own or together with other resources that are readily available from the Company or third parties,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distinct in the context of the contract, whereby the transfer of the service or product is separately identifiable from other promises in the contract.</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accounted for as a combined performance obligation.</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expect to be entitled in exchange for transferring services and products to our customer. Variable consideration is estimated and included in the transaction price if, in our judgment, it is probable that there will not be a significant future reversal of cumulative revenue under the contract.</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Self-managed software licenses and subscription services may be subject to either fixed or variable installments. Variable installments are generally subject to changes in a customer’s DWP or a customer’s Gross Written Premium (“GWP”). When consideration is subject to variable installments, we estimate variable consideration using the expected value method based on historical DWP or GWP usage to the extent that a significant revenue reversal is not probable to occur. When consideration is subject to a customer termination right, we estimate the total transaction price using the most likely method, and defer consideration associated with the customer’s termination right until it expires.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 whether a significant financing component exists when the timing of revenue recognition occurs in advance of invoicing. This timing difference occurs when control of the software license is transferred at a point in time, usually at the contract onset, but the customer payments occur over time. A significant financing component generally does not exist under our standard contracting and billing practices. For example, our typical time-based licenses have a two-year initial term with the final payment due at the end of the first year.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the performance obligations in the contract</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its standalone selling price (“SSP”) in relation to the total fair value of all performance obligations in the arrangement. The majority of our contracts contain multiple performance obligations, such as when licenses are sold with support, implementation services, or training services. Additionally, as customers transition to subscription services, our customers may be under contract for both self-managed licenses and subscription services for a period of time, which may require an allocation of the transaction price to each performance obligation. Some of our performance obligations, such as support, implementation services, and training services, have observable inputs that are used to determine the SSP of those distinct performance obligations. Where SSP is not directly observable, we determine the SSP using information that may include market conditions and other observable inputs. In the circumstances when available information to determine SSP is highly variable or uncertain, such as for our term licenses, we use the residual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1 “The Company and Summary of Significant Accounting Policies and Estimates” in the notes to the condensed consolidated financial statements in Item 1 of Part I of this Quarterly Report on Form 10-Q, for a full description of recent accounting pronouncements adopted, including the dates of adoption, which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12" w:lineRule="exact"/>
        <w:rPr>
          <w:sz w:val="20"/>
          <w:szCs w:val="20"/>
          <w:color w:val="auto"/>
        </w:rPr>
      </w:pPr>
    </w:p>
    <w:p>
      <w:pPr>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Debt—Debt with Conversion and Other Options (Subtopic 470-20) and Derivatives and Hedging—Contracts in Entity’s Own Equity (Subtopic 815-40): Accounting for Convertible Instruments and Contracts in an Entity’s Own Equity</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 August 2020, the FASB issued ASU No. 2020-06, “Debt - Debt with Conversion and Other Options (Subtopic 470-20) and Derivatives and Hedging</w:t>
      </w:r>
    </w:p>
    <w:p>
      <w:pPr>
        <w:spacing w:after="0" w:line="39" w:lineRule="exact"/>
        <w:rPr>
          <w:sz w:val="20"/>
          <w:szCs w:val="20"/>
          <w:color w:val="auto"/>
        </w:rPr>
      </w:pPr>
    </w:p>
    <w:p>
      <w:pPr>
        <w:jc w:val="both"/>
        <w:ind w:firstLine="8"/>
        <w:spacing w:after="0" w:line="251" w:lineRule="auto"/>
        <w:tabs>
          <w:tab w:leader="none" w:pos="1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 Entity’s Own Equity (Subtopic 815-40): Accounting for Convertible Instruments and Contracts in an Entity’s Own Equity”, which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simplifies the diluted earnings per share calculations by requiring that an entity use the if-converted method and that the effect of potential share settlement be included in diluted earnings per share calculations. This new standard will be effective for fiscal years beginning after December 15, 2021, including interim periods within those fiscal years. Early adoption is permitted, but no earlier than fiscal years beginning after December 15, 2020. We are currently assessing the impact of adopting this standard on the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Accounting Pronouncements</w:t>
      </w:r>
    </w:p>
    <w:p>
      <w:pPr>
        <w:spacing w:after="0" w:line="17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that will be applicable to us are not expected to have a material impact on our present or future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results of operations for any period should not be considered indicative of results for any future period. This information should be read in conjunction with the consolidated financial statements and notes thereto included in our Annual Report on Form 10-K for the fiscal year ended July 31, 2020.</w:t>
      </w:r>
    </w:p>
    <w:p>
      <w:pPr>
        <w:spacing w:after="0" w:line="85"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7"/>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4"/>
                <w:szCs w:val="14"/>
                <w:color w:val="auto"/>
              </w:rPr>
            </w:pPr>
          </w:p>
        </w:tc>
        <w:tc>
          <w:tcPr>
            <w:tcW w:w="132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 of total</w:t>
            </w:r>
          </w:p>
        </w:tc>
        <w:tc>
          <w:tcPr>
            <w:tcW w:w="220" w:type="dxa"/>
            <w:vAlign w:val="bottom"/>
          </w:tcPr>
          <w:p>
            <w:pPr>
              <w:spacing w:after="0"/>
              <w:rPr>
                <w:sz w:val="14"/>
                <w:szCs w:val="14"/>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 a % of total</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40" w:type="dxa"/>
            <w:vAlign w:val="bottom"/>
            <w:gridSpan w:val="7"/>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65,283</w:t>
            </w:r>
          </w:p>
        </w:tc>
        <w:tc>
          <w:tcPr>
            <w:tcW w:w="1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46,553</w:t>
            </w: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53,616</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169,802</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157,010</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37,006</w:t>
            </w:r>
          </w:p>
        </w:tc>
        <w:tc>
          <w:tcPr>
            <w:tcW w:w="1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cost of revenue</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90,967</w:t>
            </w:r>
          </w:p>
        </w:tc>
        <w:tc>
          <w:tcPr>
            <w:tcW w:w="14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80,856</w:t>
            </w:r>
          </w:p>
        </w:tc>
        <w:tc>
          <w:tcPr>
            <w:tcW w:w="1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62,346</w:t>
            </w:r>
          </w:p>
        </w:tc>
        <w:tc>
          <w:tcPr>
            <w:tcW w:w="1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78,835</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76,154</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52,615</w:t>
            </w:r>
          </w:p>
        </w:tc>
        <w:tc>
          <w:tcPr>
            <w:tcW w:w="1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36,644</w:t>
            </w: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33,016</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1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110,439</w:t>
            </w:r>
          </w:p>
        </w:tc>
        <w:tc>
          <w:tcPr>
            <w:tcW w:w="14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100,751</w:t>
            </w:r>
          </w:p>
        </w:tc>
        <w:tc>
          <w:tcPr>
            <w:tcW w:w="14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1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5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94" w:lineRule="exact"/>
        <w:rPr>
          <w:sz w:val="20"/>
          <w:szCs w:val="20"/>
          <w:color w:val="auto"/>
        </w:rPr>
      </w:pPr>
    </w:p>
    <w:p>
      <w:pPr>
        <w:ind w:right="760" w:firstLine="324"/>
        <w:spacing w:after="0" w:line="266" w:lineRule="auto"/>
        <w:rPr>
          <w:sz w:val="20"/>
          <w:szCs w:val="20"/>
          <w:color w:val="auto"/>
        </w:rPr>
      </w:pPr>
      <w:r>
        <w:rPr>
          <w:rFonts w:ascii="Times New Roman" w:cs="Times New Roman" w:eastAsia="Times New Roman" w:hAnsi="Times New Roman"/>
          <w:sz w:val="18"/>
          <w:szCs w:val="18"/>
          <w:color w:val="auto"/>
        </w:rPr>
        <w:t>We derive our revenue primarily from delivering cloud-based services, licensing our software applications, providing support, and delivering professional services.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2" w:name="page43"/>
    <w:bookmarkEnd w:id="42"/>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Support</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w:t>
      </w:r>
    </w:p>
    <w:p>
      <w:pPr>
        <w:spacing w:after="0" w:line="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support revenue is generally recognized ratably over the committed support term of the licensed software. Our support fees are typically priced as a fixed percentage of the associated term license fees. We generally invoice support annually in advance.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spacing w:after="0" w:line="6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 limited number of cases, we license our software on a perpetual basis. Perpetual license revenue is generally recognized upon delivery. We invoice our perpetual license customers either in full at contract signing or on an installment basis.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services revenue is primarily derived from implementation services performed for our customers, reimbursable travel expenses, and training fees.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substantial majority of our services engagements generate revenue on a time and materials basis and revenue is recognized upon providing our services.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8"/>
          </w:tcPr>
          <w:p>
            <w:pPr>
              <w:ind w:left="154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a % of total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a % of total</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4"/>
                <w:szCs w:val="14"/>
                <w:color w:val="auto"/>
              </w:rPr>
            </w:pPr>
          </w:p>
        </w:tc>
        <w:tc>
          <w:tcPr>
            <w:tcW w:w="8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gridSpan w:val="8"/>
          </w:tcPr>
          <w:p>
            <w:pPr>
              <w:ind w:left="15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0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28,060</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Support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20,736</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4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65,225</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54,314</w:t>
            </w:r>
          </w:p>
        </w:tc>
        <w:tc>
          <w:tcPr>
            <w:tcW w:w="14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10,911</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3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Perpetual</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46,553</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53,616</w:t>
            </w:r>
          </w:p>
        </w:tc>
        <w:tc>
          <w:tcPr>
            <w:tcW w:w="14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169,802</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157,010</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Subscription and Support</w:t>
      </w:r>
    </w:p>
    <w:p>
      <w:pPr>
        <w:spacing w:after="0" w:line="3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anticipate subscriptions will continue to represent a majority of new deals in future periods. Due to the ratable recognition of subscription revenue, growth in subscription revenue will lag behind the growth of subscription orders and will impact the comparative growth of our reported revenue. If we complete a higher percentage of subscription deals in a given period, our short-term growth rates will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Subscription revenue increased by $9.2 million during the three months ended October 31, 2020, compared to the same period a year ago, primarily due to the impact of new orders entered into since October 31, 2019 for InsuranceSuite via Guidewire Cloud.</w:t>
      </w:r>
    </w:p>
    <w:p>
      <w:pPr>
        <w:spacing w:after="0" w:line="3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Support revenue slightly decreased during the three months ended October 31, 2020, compared to the same period a year ago. Support related to subscription arrangements is included in subscription revenue, as support is not quoted or priced separately from the subscription services. As a result, we expect the increase in subscription orders as a percentage of total new sales and customers transitioning from term licenses to subscription services will continue to reduce the growth in or result in lower support revenue in the future.</w:t>
      </w:r>
    </w:p>
    <w:p>
      <w:pPr>
        <w:spacing w:after="0" w:line="2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4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Term license revenue increased by $10.9 million during the three months ended October 31, 2020 compared to the prior year period, primarily due to a large multi-year term license renewal, which resulted in an increase of approximately $11.6 million during the three months ended October 31, 2020. Revenue related to new term licenses and multi-year term license renewals is generally recognized upfront and have no license revenue in subsequent periods until after the committed term expires. As customers transition from term license to subscription agreements, the timing of revenue recognition will be impacted by allocations of revenue between the license, subscription, and support performance obligations. License revenue growth could be negatively impacted as subscription sales increase as a percentage of total new sales and as customers transition from term licenses to subscription services.</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Perpetual license revenue accounted for less than 1% of total revenue during the three months ended October 31, 2020. We expect perpetual license revenue to continue to represent a small percentage of our total license revenue. We also expect perpetual license revenue to potentially be volatile across quarters due to the large amount of perpetual revenue that may be generated from a single customer order.</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Services revenue decreased by $7.1 million during the three months ended October 31, 2020 compared to the same period a year ago. The decrease is primarily driven by increased investments in InsuranceSuite via Guidewire Cloud migrations and implementations and reduced travel expenses due to travel restrictions associated with the COVID-19 pandemic, as reimbursable travel expenses are billed at actual amounts incurred.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modestly higher levels of variability in our services revenue in future periods. As the number of implementations led by our SI partners increase, our services revenue could decrease further. We expect challenges related to COVID-19 will also continue to negatively impact services revenue. As we continue to expand into new markets and develop new services and products, we have, and may continue to, enter into contracts with reduced billing rates, make investments in customer implementation and migration engagements, and enter into fixed price contracts, which may impact services revenue and services margins.</w:t>
      </w:r>
    </w:p>
    <w:p>
      <w:pPr>
        <w:spacing w:after="0" w:line="200" w:lineRule="exact"/>
        <w:rPr>
          <w:sz w:val="20"/>
          <w:szCs w:val="20"/>
          <w:color w:val="auto"/>
        </w:rPr>
      </w:pPr>
    </w:p>
    <w:p>
      <w:pPr>
        <w:spacing w:after="0" w:line="2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cost of subscription and support revenue consists of personnel costs for our cloud operations and technical support teams, cloud infrastructure costs, development of online training curriculum, amortization of our intangible assets, and royalty fees paid to third parties. Our cost of license revenue primarily consists of development of online training curriculum, royalty fees paid to third parties, and amortization of our intangible assets. Our cost of services revenue primarily consists of personnel costs for our professional service employees, third-party consultants, and travel costs. In instances where we have primary responsibility for the delivery of services, subcontractor fees are expensed as cost of services revenue. In each case, personnel costs include salaries, bonuses, benefits, and stock-based compensation.</w:t>
      </w:r>
    </w:p>
    <w:p>
      <w:pPr>
        <w:spacing w:after="0" w:line="6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allocate overhead such as information technology support, information security, facilities, and other administrative costs to all functional departments based on headcount. As such, these general overhead expenses are reflected in cost of revenue and each functional operating expense.</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1080" w:type="dxa"/>
            <w:vAlign w:val="bottom"/>
            <w:tcBorders>
              <w:bottom w:val="single" w:sz="8" w:color="auto"/>
            </w:tcBorders>
          </w:tcPr>
          <w:p>
            <w:pPr>
              <w:spacing w:after="0"/>
              <w:rPr>
                <w:sz w:val="20"/>
                <w:szCs w:val="20"/>
                <w:color w:val="auto"/>
              </w:rPr>
            </w:pPr>
          </w:p>
        </w:tc>
      </w:tr>
      <w:tr>
        <w:trPr>
          <w:trHeight w:val="223"/>
        </w:trPr>
        <w:tc>
          <w:tcPr>
            <w:tcW w:w="4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Borders>
              <w:bottom w:val="single" w:sz="8" w:color="auto"/>
            </w:tcBorders>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5"/>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80" w:type="dxa"/>
            <w:vAlign w:val="bottom"/>
          </w:tcPr>
          <w:p>
            <w:pPr>
              <w:spacing w:after="0"/>
              <w:rPr>
                <w:sz w:val="19"/>
                <w:szCs w:val="19"/>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24,933</w:t>
            </w:r>
          </w:p>
        </w:tc>
        <w:tc>
          <w:tcPr>
            <w:tcW w:w="12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600" w:type="dxa"/>
            <w:vAlign w:val="bottom"/>
          </w:tcPr>
          <w:p>
            <w:pPr>
              <w:spacing w:after="0"/>
              <w:rPr>
                <w:sz w:val="19"/>
                <w:szCs w:val="19"/>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53,366</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6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55"/>
        </w:trPr>
        <w:tc>
          <w:tcPr>
            <w:tcW w:w="4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20" w:type="dxa"/>
            <w:vAlign w:val="bottom"/>
          </w:tcPr>
          <w:p>
            <w:pPr>
              <w:spacing w:after="0"/>
              <w:rPr>
                <w:sz w:val="19"/>
                <w:szCs w:val="19"/>
                <w:color w:val="auto"/>
              </w:rPr>
            </w:pP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46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license revenue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Cost of services revenue</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r>
      <w:tr>
        <w:trPr>
          <w:trHeight w:val="248"/>
        </w:trPr>
        <w:tc>
          <w:tcPr>
            <w:tcW w:w="4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subscription and support revenue increased by $12.1 million primarily due to increases of $9.3 million in personnel expenses and $2.6 million in cloud infrastructure costs due to our growth in cloud-based customers, which has resulted in continued investment in our cloud operations to increase operational efficiency and scale.</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our cost of subscription revenue to increase as we continue to invest in our cloud operations to support our growing cloud customer base, to improve efficiencies, and to continuously improve and maintain secure environments. Cost of support revenue is expected to remain flat or slightly decrease over time as term license customers transition to the cloud.</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$0.4 million increase in cost of license revenue during the three months ended October 31, 2020, compared to the same period a year ago, was primarily attributable to increased costs associated with the development of online training curriculum included with the latest releases of InsuranceSuite and royalties to solution partners for technologies integrated with our self-managed offerings. We anticipate lower cost of license revenue over time as our term license customers transition to cloud subscription agreements.</w:t>
      </w:r>
    </w:p>
    <w:p>
      <w:pPr>
        <w:spacing w:after="0" w:line="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$2.3 million decrease in cost of services revenue during the three months ended October 31, 2020, compared to the same period a year ago, was primarily attributable to a $2.3 million decrease in billable travel costs resulting from COVID-19 travel restrictions and $0.9 million in lower subcontractor fees that are billable to customers, partially offset by a $1.5 million increase in personnel costs.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had 475 cloud operations and technical support employees and 699 professional services employees at October 31, 2020, compared to 251 cloud operations and technical support employees and 760 professional services employees at October 31, 2019. Approximately 47 employees have been transferred from professional services to cloud operations since October 31, 2019 to support the growth in our cloud customers.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2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Margin %</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Margin %</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20,960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36 %</w:t>
            </w: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15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62,346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51,806</w:t>
            </w:r>
          </w:p>
        </w:tc>
        <w:tc>
          <w:tcPr>
            <w:tcW w:w="15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r>
      <w:tr>
        <w:trPr>
          <w:trHeight w:val="229"/>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19"/>
                <w:szCs w:val="19"/>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(4,471)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560" w:type="dxa"/>
            <w:vAlign w:val="bottom"/>
          </w:tcPr>
          <w:p>
            <w:pPr>
              <w:spacing w:after="0"/>
              <w:rPr>
                <w:sz w:val="19"/>
                <w:szCs w:val="19"/>
                <w:color w:val="auto"/>
              </w:rPr>
            </w:pPr>
          </w:p>
        </w:tc>
        <w:tc>
          <w:tcPr>
            <w:tcW w:w="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48"/>
        </w:trPr>
        <w:tc>
          <w:tcPr>
            <w:tcW w:w="2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78,835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76,154</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1"/>
        </w:trPr>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meaningful</w:t>
      </w:r>
    </w:p>
    <w:p>
      <w:pPr>
        <w:spacing w:after="0" w:line="10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gross profit increased $2.7 million compared to the same period last year primarily due to an increase in license revenue resulting from a large multi-year term license renewal deal, partially offset by investments in cloud operations and decreases in professional services revenue driven by increased investments in cloud migration and implementation engagements and contracts with reduced billing rates.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gross margin decreased to 46% during the three months ended October 31, 2020, as compared to 48% during the same period a year ago. Gross margin was impacted by lower subscription and support gross margins resulting from increasing investments in cloud operations and negative services gross margins resulting from investments in cloud migration and implementation engagements and contracts with reduced billing rates.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subscription and support gross margins will fluctuate as our subscription revenue increases and we continue to invest in our cloud operations. In addition to the impact of our investment in customer migrations and implementations, we expect challenges related to COVID-19 will negatively impact services gross margin through fiscal year 2021 and potentially longer. We expect license gross margin will fluctuate based on changes in revenue due to multi-year term license and multi-year term license renewal deals as cost of license revenue is expected to be relatively flat compared to prior periods.</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allocate overhead such as information technology support, information security, facilities, and other administrative costs to all functional departments based on headcount. As a result, general overhead expenses are reflected in cost of revenue and each functional operating expense.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8"/>
          </w:tcPr>
          <w:p>
            <w:pPr>
              <w:ind w:left="118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a % of total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As a % of total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4"/>
                <w:szCs w:val="14"/>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52,615</w:t>
            </w:r>
          </w:p>
        </w:tc>
        <w:tc>
          <w:tcPr>
            <w:tcW w:w="142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46,496</w:t>
            </w:r>
          </w:p>
        </w:tc>
        <w:tc>
          <w:tcPr>
            <w:tcW w:w="14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36,644</w:t>
            </w:r>
          </w:p>
        </w:tc>
        <w:tc>
          <w:tcPr>
            <w:tcW w:w="142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33,016</w:t>
            </w:r>
          </w:p>
        </w:tc>
        <w:tc>
          <w:tcPr>
            <w:tcW w:w="14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500" w:type="dxa"/>
            <w:vAlign w:val="bottom"/>
          </w:tcPr>
          <w:p>
            <w:pPr>
              <w:spacing w:after="0"/>
              <w:rPr>
                <w:sz w:val="19"/>
                <w:szCs w:val="19"/>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142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21,239</w:t>
            </w:r>
          </w:p>
        </w:tc>
        <w:tc>
          <w:tcPr>
            <w:tcW w:w="144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100,751</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500" w:type="dxa"/>
            <w:vAlign w:val="bottom"/>
          </w:tcPr>
          <w:p>
            <w:pPr>
              <w:spacing w:after="0"/>
              <w:rPr>
                <w:sz w:val="19"/>
                <w:szCs w:val="19"/>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research and development expenses primarily consist of personnel costs for our technical staff and consultants providing professional services.</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$6.1 million increase in research and development expenses during the three months ended October 31, 2020 compared to the same period a year ago, was primarily due to a $5.6 million increase in personnel costs associated with higher headcount in fiscal year 2020, additional web hosting costs of $0.5 million, and professional services costs of $0.6 million for consultants to support the development of our subscription offerings, information security requirements, and cloud strategy. These increases were partially offset by a decrease in travel costs of $0.6 million due to COVID-19 travel restrictions.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research and development headcount was 810 at October 31, 2020 compared with 724 at October 31,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6" w:name="page47"/>
    <w:bookmarkEnd w:id="46"/>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absolute dollars as we continue to hire and dedicate internal resources to developing, improving, and expanding the functionality of our solutions and migrating our solutions to the cloud. Research and development expenses may also increase if we pursue additional acquisitions.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primarily consist of personnel costs for our sales and marketing employees. It also includes travel expenses, professional services for marketing activities, and amortization of certain acquired intangibles.</w:t>
      </w:r>
    </w:p>
    <w:p>
      <w:pPr>
        <w:spacing w:after="0" w:line="4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$3.6 million increase in sales and marketing expenses during the three months ended October 31, 2020 compared to the same period a year ago, was primarily attributable to an increase of $5.4 million in personnel costs due to higher headcount to sell and market our services and products, including an increase of $1.0 million due to the amortization of contract acquisition costs (primarily commissions), and $0.4 million in marketing and advertising expenses primarily related to services received during the three months ended October 31, 2020 for our annual Connections User Conference in November 2020. Contract acquisition costs are capitalized when earned and expensed over the anticipated period of time that goods and services are expected to be provided to a customer, which we estimate to be approximately five years. These increases were partially offset by decreases of $2.1 million in travel costs due to COVID-19 travel restrictions and $0.4 million from lower amortization of intangible assets.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sales and marketing headcount was 416 at October 31, 2020 compared with 364 at October 31, 2019.</w:t>
      </w:r>
    </w:p>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our sales and marketing expenses to continue to increase in absolute dollars as we continue to invest in sales and marketing activities to support our business growth and objectives.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include executive, finance, human resources, legal, and corporate development and strategy functions, and primarily consist of personnel costs, as well as professional services.</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$0.1 million decrease during the three months ended October 31, 2020 compared to the same period a year ago, was primarily attributable to decreases in professional services and travel costs of $1.0 million, partially offset by increases in software and personnel costs of $0.9 million to support our growth.</w:t>
      </w:r>
    </w:p>
    <w:p>
      <w:pPr>
        <w:spacing w:after="0" w:line="5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general and administrative headcount was 359 at October 31, 2020 compared with 290 at October 31, 2019. General and administrative headcount includes personnel in information technology support, information security, facilities, and recruiting whose expenses are allocated across all functional departments.</w:t>
      </w:r>
    </w:p>
    <w:p>
      <w:pPr>
        <w:spacing w:after="0" w:line="5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absolute dollars as we continue to invest in personnel, corporate infrastructure, and systems required to support our strategic initiatives, the growth of our business, and our compliance and reporting obligations.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46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1060" w:type="dxa"/>
            <w:vAlign w:val="bottom"/>
            <w:tcBorders>
              <w:bottom w:val="single" w:sz="8" w:color="auto"/>
            </w:tcBorders>
          </w:tcPr>
          <w:p>
            <w:pPr>
              <w:spacing w:after="0"/>
              <w:rPr>
                <w:sz w:val="22"/>
                <w:szCs w:val="22"/>
                <w:color w:val="auto"/>
              </w:rPr>
            </w:pPr>
          </w:p>
        </w:tc>
      </w:tr>
      <w:tr>
        <w:trPr>
          <w:trHeight w:val="223"/>
        </w:trPr>
        <w:tc>
          <w:tcPr>
            <w:tcW w:w="4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Borders>
              <w:bottom w:val="single" w:sz="8" w:color="auto"/>
            </w:tcBorders>
          </w:tcPr>
          <w:p>
            <w:pPr>
              <w:spacing w:after="0"/>
              <w:rPr>
                <w:sz w:val="19"/>
                <w:szCs w:val="19"/>
                <w:color w:val="auto"/>
              </w:rPr>
            </w:pPr>
          </w:p>
        </w:tc>
      </w:tr>
      <w:tr>
        <w:trPr>
          <w:trHeight w:val="223"/>
        </w:trPr>
        <w:tc>
          <w:tcPr>
            <w:tcW w:w="4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8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6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2,789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98"/>
              </w:rPr>
              <w:t>(4,847)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3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(4,620)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(191)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2,819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3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represents interest earned on our cash, cash equivalents, and investments.</w:t>
      </w:r>
    </w:p>
    <w:p>
      <w:pPr>
        <w:spacing w:after="0" w:line="10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decreased $4.8 million during the three months ended October 31, 2020, compared to the same period a year ago, primarily due to lower yields on invested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includes both stated interest and the amortization of debt discount and issuance costs associated with the $400.0 million aggregate principal amount of our Convertible Senior Notes that were issued in March 2018. The amortization of debt discount and issuance costs are recognized on an effective interest basis. Stated interest expense is consistent in the comparative periods as the outstanding principal and stated interest rate have not changed.</w:t>
      </w:r>
    </w:p>
    <w:p>
      <w:pPr>
        <w:spacing w:after="0" w:line="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October 31, 2020 and 2019 consists of non-cash interest expense related to the amortization of debt discount and issuance costs of $3.3 million and $3.2 million respectively, and stated interest of $1.3 million in both periods.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We currently have entities with a functional currency of the Argentine Peso, Australian Dollar, Brazilian Real, British Pound, Canadian Dollar, Danish Kroner, Euro, Indian Rupee, Japanese Yen, Malaysian Ringgit, New Zealand Dollar, Polish Zloty, Russian Ruble, and Swiss Franc.</w:t>
      </w:r>
    </w:p>
    <w:p>
      <w:pPr>
        <w:spacing w:after="0" w:line="3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income (expense), net during the three months ended October 31, 2020 was income of $2.6 million, as compared to expense of $0.3 million during the same period a year ago, due to fluctuations in foreign currency exchange rates in those periods.</w:t>
      </w: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subject to taxes in the United States as well as other tax jurisdictions and countries in which we conduct business. Earnings from our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are subject to local country income tax and may also be subject to U.S. income tax.</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1020" w:type="dxa"/>
            <w:vAlign w:val="bottom"/>
            <w:tcBorders>
              <w:bottom w:val="single" w:sz="8" w:color="auto"/>
            </w:tcBorders>
          </w:tcPr>
          <w:p>
            <w:pPr>
              <w:spacing w:after="0"/>
              <w:rPr>
                <w:sz w:val="20"/>
                <w:szCs w:val="20"/>
                <w:color w:val="auto"/>
              </w:rPr>
            </w:pPr>
          </w:p>
        </w:tc>
      </w:tr>
      <w:tr>
        <w:trPr>
          <w:trHeight w:val="223"/>
        </w:trPr>
        <w:tc>
          <w:tcPr>
            <w:tcW w:w="3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r>
      <w:tr>
        <w:trPr>
          <w:trHeight w:val="223"/>
        </w:trPr>
        <w:tc>
          <w:tcPr>
            <w:tcW w:w="3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020" w:type="dxa"/>
            <w:vAlign w:val="bottom"/>
          </w:tcPr>
          <w:p>
            <w:pPr>
              <w:spacing w:after="0"/>
              <w:rPr>
                <w:sz w:val="19"/>
                <w:szCs w:val="19"/>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(10,677)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(4,027)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00" w:lineRule="exact"/>
        <w:rPr>
          <w:sz w:val="20"/>
          <w:szCs w:val="20"/>
          <w:color w:val="auto"/>
        </w:rPr>
      </w:pPr>
    </w:p>
    <w:p>
      <w:pPr>
        <w:spacing w:after="0" w:line="2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recognized an income tax benefit of $10.7 million and $6.7 million for the three months ended October 31, 2020 and 2019, respectively. The change in the amount of income taxes recorded for the three months ended October 31, 2020 compared to the same period a year ago was primarily due to the increase in the loss before tax and a tax status change of a foreign subsidiary for U.S. tax purposes. The effective tax rate of 35% for the three months ended October 31, 2020 differs from the statutory U.S. federal income tax rate of 21% due to permanent differences for stock-based compensation including excess tax benefits, GILTI inclusion, research and development credits, certain non-deductible expenses including executive compensation, and the tax status change of a foreign subsidiary.</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2020, unrecognized tax benefits increased by $0.3 million. As of October 31, 2020, we had unrecognized tax benefits of $18.2 million that, if recognized, would affect our effective tax rate.</w:t>
      </w: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8" w:name="page49"/>
    <w:bookmarkEnd w:id="48"/>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23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non-GAAP financial information is presented for supplemental informational purposes only, should not be considered a substitute for financial information presented in accordance with GAAP, and may be different from similarly-titled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243" w:lineRule="exact"/>
        <w:rPr>
          <w:sz w:val="20"/>
          <w:szCs w:val="20"/>
          <w:color w:val="auto"/>
        </w:rPr>
      </w:pPr>
    </w:p>
    <w:p>
      <w:pPr>
        <w:jc w:val="both"/>
        <w:ind w:right="20" w:firstLine="324"/>
        <w:spacing w:after="0" w:line="271" w:lineRule="auto"/>
        <w:rPr>
          <w:sz w:val="20"/>
          <w:szCs w:val="20"/>
          <w:color w:val="auto"/>
        </w:rPr>
      </w:pPr>
      <w:r>
        <w:rPr>
          <w:rFonts w:ascii="Times New Roman" w:cs="Times New Roman" w:eastAsia="Times New Roman" w:hAnsi="Times New Roman"/>
          <w:sz w:val="18"/>
          <w:szCs w:val="18"/>
          <w:color w:val="auto"/>
        </w:rPr>
        <w:t>The following table reconciles the specific items excluded from GAAP in the calculation of non-GAAP financial measures for the periods indicated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gross profit</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76,154</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88,244</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 reconciliation:</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income (loss) from operations</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120" w:type="dxa"/>
            <w:vAlign w:val="bottom"/>
          </w:tcPr>
          <w:p>
            <w:pPr>
              <w:spacing w:after="0"/>
              <w:rPr>
                <w:sz w:val="19"/>
                <w:szCs w:val="19"/>
                <w:color w:val="auto"/>
              </w:rPr>
            </w:pP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28,084</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income (loss) from operations</w:t>
            </w: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reconciliation:</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 (loss)</w:t>
            </w: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Tax impact of non-GAAP adjustments </w:t>
            </w:r>
            <w:r>
              <w:rPr>
                <w:rFonts w:ascii="Times New Roman" w:cs="Times New Roman" w:eastAsia="Times New Roman" w:hAnsi="Times New Roman"/>
                <w:sz w:val="23"/>
                <w:szCs w:val="23"/>
                <w:color w:val="auto"/>
                <w:vertAlign w:val="superscript"/>
              </w:rPr>
              <w:t>(1)</w:t>
            </w: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Tax provision (benefit) reconciliation:</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tax provision (benefit)</w:t>
            </w: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120" w:type="dxa"/>
            <w:vAlign w:val="bottom"/>
          </w:tcPr>
          <w:p>
            <w:pPr>
              <w:spacing w:after="0"/>
              <w:rPr>
                <w:sz w:val="19"/>
                <w:szCs w:val="19"/>
                <w:color w:val="auto"/>
              </w:rPr>
            </w:pPr>
          </w:p>
        </w:tc>
        <w:tc>
          <w:tcPr>
            <w:tcW w:w="140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(22,291)</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30"/>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Tax impact of non-GAAP adjustments </w:t>
            </w:r>
            <w:r>
              <w:rPr>
                <w:rFonts w:ascii="Times New Roman" w:cs="Times New Roman" w:eastAsia="Times New Roman" w:hAnsi="Times New Roman"/>
                <w:sz w:val="23"/>
                <w:szCs w:val="23"/>
                <w:color w:val="auto"/>
                <w:vertAlign w:val="superscript"/>
              </w:rPr>
              <w:t>(1)</w:t>
            </w: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33,100</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tax provision (benefit)</w:t>
            </w: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reconciliation: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420" w:type="dxa"/>
            <w:vAlign w:val="bottom"/>
            <w:gridSpan w:val="2"/>
          </w:tcPr>
          <w:p>
            <w:pPr>
              <w:spacing w:after="0"/>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Table of Contents</w:t>
              </w:r>
            </w:hyperlink>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 (loss) per share — diluted</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29"/>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29"/>
        </w:trPr>
        <w:tc>
          <w:tcPr>
            <w:tcW w:w="6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7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29"/>
        </w:trPr>
        <w:tc>
          <w:tcPr>
            <w:tcW w:w="6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7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0"/>
        </w:trPr>
        <w:tc>
          <w:tcPr>
            <w:tcW w:w="6760" w:type="dxa"/>
            <w:vAlign w:val="bottom"/>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Tax impact of non-GAAP adjustments </w:t>
            </w:r>
            <w:r>
              <w:rPr>
                <w:rFonts w:ascii="Times New Roman" w:cs="Times New Roman" w:eastAsia="Times New Roman" w:hAnsi="Times New Roman"/>
                <w:sz w:val="23"/>
                <w:szCs w:val="23"/>
                <w:color w:val="auto"/>
                <w:vertAlign w:val="superscript"/>
              </w:rPr>
              <w:t>(1)</w:t>
            </w:r>
          </w:p>
        </w:tc>
        <w:tc>
          <w:tcPr>
            <w:tcW w:w="7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75"/>
        </w:trPr>
        <w:tc>
          <w:tcPr>
            <w:tcW w:w="6760" w:type="dxa"/>
            <w:vAlign w:val="bottom"/>
            <w:gridSpan w:val="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Non-GAAP dilutive shares excluded from GAAP net income (loss) per share calculation</w:t>
            </w:r>
          </w:p>
        </w:tc>
        <w:tc>
          <w:tcPr>
            <w:tcW w:w="7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62"/>
        </w:trPr>
        <w:tc>
          <w:tcPr>
            <w:tcW w:w="1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(2)</w:t>
            </w:r>
          </w:p>
        </w:tc>
        <w:tc>
          <w:tcPr>
            <w:tcW w:w="516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Non-GAAP net income (loss) per share — diluted</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in computing Non-GAAP income (loss) per share amounts:</w:t>
            </w: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weighted average shares — diluted</w:t>
            </w:r>
          </w:p>
        </w:tc>
        <w:tc>
          <w:tcPr>
            <w:tcW w:w="7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83,613,287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82,360,891</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gridSpan w:val="3"/>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Non-GAAP dilutive shares excluded from GAAP income (loss) per share calculation </w:t>
            </w:r>
            <w:r>
              <w:rPr>
                <w:rFonts w:ascii="Times New Roman" w:cs="Times New Roman" w:eastAsia="Times New Roman" w:hAnsi="Times New Roman"/>
                <w:sz w:val="23"/>
                <w:szCs w:val="23"/>
                <w:color w:val="auto"/>
                <w:vertAlign w:val="superscript"/>
              </w:rPr>
              <w:t>(2)</w:t>
            </w: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586,287</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788,902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weighted average shares — diluted</w:t>
            </w:r>
          </w:p>
        </w:tc>
        <w:tc>
          <w:tcPr>
            <w:tcW w:w="7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84,199,574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83,149,793</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reflect the impact on the tax benefit (provision) from all non-GAAP adjustments.</w:t>
      </w:r>
    </w:p>
    <w:p>
      <w:pPr>
        <w:spacing w:after="0" w:line="17" w:lineRule="exact"/>
        <w:rPr>
          <w:rFonts w:ascii="Times New Roman" w:cs="Times New Roman" w:eastAsia="Times New Roman" w:hAnsi="Times New Roman"/>
          <w:sz w:val="14"/>
          <w:szCs w:val="14"/>
          <w:color w:val="auto"/>
        </w:rPr>
      </w:pPr>
    </w:p>
    <w:p>
      <w:pPr>
        <w:ind w:firstLine="8"/>
        <w:spacing w:after="0" w:line="258" w:lineRule="auto"/>
        <w:tabs>
          <w:tab w:leader="none" w:pos="21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occurrence of a net loss on a GAAP basis, potentially dilutive securities were excluded from the calculation of GAAP net income (loss) per share, as they would have an anti-dilutive effect. However, these shares have a dilutive effect on non-GAAP net income (loss) per share and, therefore, are included in the non-GAAP net income (loss) per share calculation.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principal sources of liquidity are as follows (in thousands):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160" w:type="dxa"/>
            <w:vAlign w:val="bottom"/>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220" w:type="dxa"/>
            <w:vAlign w:val="bottom"/>
          </w:tcPr>
          <w:p>
            <w:pPr>
              <w:spacing w:after="0"/>
              <w:rPr>
                <w:sz w:val="24"/>
                <w:szCs w:val="24"/>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July 31, 2020</w:t>
            </w:r>
          </w:p>
        </w:tc>
        <w:tc>
          <w:tcPr>
            <w:tcW w:w="0" w:type="dxa"/>
            <w:vAlign w:val="bottom"/>
          </w:tcPr>
          <w:p>
            <w:pPr>
              <w:spacing w:after="0"/>
              <w:rPr>
                <w:sz w:val="1"/>
                <w:szCs w:val="1"/>
                <w:color w:val="auto"/>
              </w:rPr>
            </w:pPr>
          </w:p>
        </w:tc>
      </w:tr>
      <w:tr>
        <w:trPr>
          <w:trHeight w:val="223"/>
        </w:trPr>
        <w:tc>
          <w:tcPr>
            <w:tcW w:w="7580" w:type="dxa"/>
            <w:vAlign w:val="bottom"/>
            <w:vMerge w:val="continue"/>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1,405,166</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1,434,267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1,163,472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1,118,020</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comprised of cash and liquid investments with remaining maturities of 90 days or less from the date of purchase, primarily commercial paper and money market funds. Substantially all of our investments are comprised of corporate debt securities, U.S. government and agency debt securities, commercial paper, asset-backed securities, and non-U.S. government securities, which include state, municipal and foreign government securities.</w:t>
      </w:r>
    </w:p>
    <w:p>
      <w:pPr>
        <w:spacing w:after="0" w:line="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October 31, 2020, approximately $42.1 million of our cash and cash equivalents were domiciled in foreign jurisdictions. While we have no current plans to repatriate these funds to the United States, we may repatriate foreign earnings in the future to the extent that the repatriation is not restricted by local laws or there are no substantial incremental costs associated with such repatriation.</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cash flows from operations are significantly impacted by timing of invoicing and collections of accounts receivable, annual bonus payments, as well as payments of payroll, commissions, payroll taxes and other taxes. We expect that we will continue to generate positive cash flows from operations on an annual basis, although this may fluctuate significantly on a quarterly basis. In particular, we typically use more cash during the first fiscal quarter ended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sources of liquidity will be sufficient to fund our operations for at least the next 12 months. Our future cash requirements will depend on many factors, including our rate of revenue growth,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0" w:name="page51"/>
    <w:bookmarkEnd w:id="50"/>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expansion of our sales and marketing activities, the timing and extent of our spending to support our research and development efforts, investments in cloud infrastructure and operating costs, and expansion into other markets. We also may invest in or acquire complementary businesses, applications or technologies, or may expand our Board authorized stock repurchase program approved in October 2020, which may require the use of significant cash resources and/or additional financing.</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2020, our board of directors authorized and approved a stock repurchase program of up to $200.0 million of our outstanding common stock. During the three months ended October 31, 2020, the Company repurchased 48,997 shares of common stock at an average price of $102.05 per share, for an aggregate purchase price of $5.0 million. As of October 31, 2020, $195.0 million remained available for future share repurchases.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summary of cash flows for the periods indicated has been derived from our condensed consolidated financial statements included elsewhere in this Quarterly Report on Form 10-Q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r>
      <w:tr>
        <w:trPr>
          <w:trHeight w:val="223"/>
        </w:trPr>
        <w:tc>
          <w:tcPr>
            <w:tcW w:w="7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(57,496)</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$15.7 million for the three months ended October 31, 2020 compared to cash used in operating activities of $18.1 million during the three months ended October 31, 2019. This $2.4 million decrease in operating cash used was primarily attributable to a $6.4 million increase in cash provided by working capital activities, partially offset by a $4.0 million decrease in net income after excluding the impact of non-cash charges such as deferred taxes, stock-based compensation expense, depreciation and amortization expense, and other non-cash items during the three months ended October 31, 2020.</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$53.4 million for the three months ended October 31, 2020 compared to net cash used in investing activities of $57.5 million for the three months ended October 31, 2019. The $4.1 million improvement was primarily due to a $7.9 million decrease in capital expenditures mainly resulting from the completion of our new headquarters in San Mateo, California in fiscal year 2019, partially offset by $2 million in new strategic equity investments and a $1.2 million increase in capitalized software development costs related to our cloud-based services.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October 31, 2020 was $3.3 million compared to $0.4 million provided by financing activities for the three months ended October 31, 2019. This $3.7 million increase in cash used was primarily because we repurchased our common stock with an aggregate value of $5 million, partially offset by an increase in proceeds from option exercises of $1.3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contractual obligations consist of our Convertible Senior Notes due in 2025, obligations under leases for our office facilities, and letters of credit we have issued to vendors to guarantee our performance under those arrangements.</w:t>
      </w:r>
    </w:p>
    <w:p>
      <w:pPr>
        <w:spacing w:after="0" w:line="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See Notes 6, 7 and 8 to our condensed consolidated financial statements included in this Quarterly Report on Form 10-Q for discussions of our Convertible Senior Notes, lease commitments, and letters of credit. There has been no material change in our contractual obligations and commitments other than in the ordinary course of business since our fiscal year ended July 31, 2020. See the Annual Report on Form 10-K for the fiscal year ended July 31, 2020 for additional information regarding the Company’s contractual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October 31, 2020,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1" w:name="page52"/>
    <w:bookmarkEnd w:id="51"/>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cash equivalents, and investments. Our cash, cash equivalents, and investments as of October 31, 2020 and July 31, 2020 were $1,405.2 million and $1,434.3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U.S. interest rates affect the interest earned on our cash, cash equivalents, and marketable securities, and the market value of those securities. A hypothetical 100 basis point increase in interest rates would have resulted in a decrease of $6.1 million and $5.6 million in the market value of our available-for-sale securities as of October 31, 2020 and July 31, 2020, respectively. Any realized gains or losses resulting from such interest rate changes would only occur if we sold the investments prior to maturity.</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 the currency of the locations within which we currently operate.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For the three months ended October 31, 2020 and 2019, we recorded foreign currency gains of $2.6 million and foreign currency losses of $0.3 million, respectively, in other income (expense) in our condensed consolidated statement of operations primarily due to currency exchange rate fluctuations. We will continue to experience fluctuations in foreign currency exchange rates. If a hypothetical ten percent change in foreign exchange rates were to occur in the future, the resulting transaction gain or loss would be approximately $16.9 million. As our international operations grow, we will continue to assess our approach to managing our risk relating to fluctuations in currency rates.</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in financial instruments, as our investments primarily consist of highly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strategic investments in privately held securities are in various classes of equity and convertible debt that may have different rights and preferences. The particular securities we hold, and their rights and preferences relative to those of other securities within the capital structure, may impact the magnitude by which our investment value moves in relation to movement of the total enterprise value of the company. As a result, our investment in a specific company may move by more or less than any change in value of that overall company. In addition, the financial success of our investment in any company is typically dependent on a liquidity event, such as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pacing w:after="0" w:line="200" w:lineRule="exact"/>
        <w:rPr>
          <w:sz w:val="20"/>
          <w:szCs w:val="20"/>
          <w:color w:val="auto"/>
        </w:rPr>
      </w:pPr>
    </w:p>
    <w:p>
      <w:pPr>
        <w:spacing w:after="0" w:line="34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2" w:name="page53"/>
    <w:bookmarkEnd w:id="52"/>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2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33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October 31, 2020 identified in management’s evaluation pursuant to Rules 13a-15(d) or 15d-15(d) of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3" w:name="page54"/>
    <w:bookmarkEnd w:id="53"/>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 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5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Other than the matters described in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notes to our condensed consolidated financial statements included elsewhere in this Quarterly Report on Form 10-Q, which are incorporated by reference herein, we are not party to any material pending legal proceedings.</w:t>
      </w:r>
    </w:p>
    <w:p>
      <w:pPr>
        <w:spacing w:after="0" w:line="200" w:lineRule="exact"/>
        <w:rPr>
          <w:sz w:val="20"/>
          <w:szCs w:val="20"/>
          <w:color w:val="auto"/>
        </w:rPr>
      </w:pPr>
    </w:p>
    <w:p>
      <w:pPr>
        <w:spacing w:after="0" w:line="3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such risks and uncertainties, together with the other information contained in this report,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0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and uncertainties, including those highlighted in this section of our Quarterly Report on Form 10-Q and summarized below. We have various categories of risks, including risks related to our business and industry; risks related to data security and privacy, intellectual property, and information technology; risks related to legal, regulatory, accounting, and tax matters; risks related to ownership of our common stock; and risks related to our indebtedness and outstanding convertible senior notes, which are discussed more fully below. As a result, this risk factor summary does not contain all of the information that may be important to you, and you should read this risk factor summary together with the more detailed discussion of risks and uncertainties set forth following this section as well as elsewhere in this Quarterly Report on Form 10-Q. Additional risks, beyond those summarized below or discussed elsewhere in this Quarterly Report on Form 10-Q, may apply to our business, activities, or operations as currently conducted or as we may conduct them in the future or in the markets in which we operate or may in the future operate. These risks include, but not limited to, the following:</w:t>
      </w:r>
    </w:p>
    <w:p>
      <w:pPr>
        <w:spacing w:after="0" w:line="217"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COVID-19 pandemic, as well as periods of increases or spikes in the number of COVID-19 cases, or future mutations or related strains of the virus in areas in which we operate, could harm our business, results of operations, and financial condition.</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quarterly and annual fluctuations in our results of operations due to a number of factors.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sales patterns may cause significant fluctuations in our results of operations and cash flows and may prevent us from achieving our quarterly or annual forecasts, which may cause our stock price to decline.</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or cloud-based services experience data security breaches, and there is unauthorized access to our customers’ data, we may lose current or future customers and our reputation and business may be harmed.</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established products or services to satisfy customer demands or to maintain market acceptance could harm our business, results of operations, financial condition, and growth prospects.</w:t>
      </w: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in our market, which could negatively impact our business, results of operations, and financial condition and cause our market share to decline.</w:t>
      </w:r>
    </w:p>
    <w:p>
      <w:pPr>
        <w:ind w:left="660" w:hanging="328"/>
        <w:spacing w:after="0" w:line="26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implementation cycles are lengthy and variable, depend upon factors outside our control, and could cause us to expend significant time and resources prior to generating revenue.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mix, as well as declines in our subscription and support gross margin or our services gross margin, could adversely affect our overall gross margin and profitability.</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customers renewing and expanding their license, support, and subscription contracts for our services and products. A decline in our customer renewals and expansions could harm our future results of operations.</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concerns could result in regulatory changes and impose additional costs and liabilities on us, limit our use of information, and adversely affect our business.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which could result in securities class action litigation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introduce and market new and enhanced versions of our products, we may be put at a competitive disadvantage.</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requires the application of accounting guidance that requires management to make estimates and assumptions. Reported results under GAAP may vary from key metrics used to measure our business. Additionally, changes in accounting guidance may cause us to experience greater volatility in our quarterly and annual results. If we are unsuccessful in adapting to and interpreting the requirements of new guidance, or in clearly explaining to stockholders how new guidance affects reporting of our results of operations, our stock price may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global COVID-19 pandemic, as well as periods of increases or spikes in the number of COVID-19 cases, or future mutations or related strains of the virus in areas in which we operate, could harm our business, results of operations, and financial condition.</w:t>
      </w:r>
    </w:p>
    <w:p>
      <w:pPr>
        <w:spacing w:after="0" w:line="18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global pandemic. This pandemic, and the related adverse public health developments, including orders to shelter-in-place, have adversely affected workforces, organizations, economies, and financial markets globally, leading to an economic downturn and increased market volatility. It has also disrupted the normal operations of many businesses, including our business, our customers' businesses, and our SI partners' businesses. This pandemic, as well as intensified measures undertaken to contain the spread of COVID-19 has affected and could further affect the ability to travel to customers and prospects, resulting in delays in services delivery, delays in implementations, and interruptions or modifications in our sales and marketing activities, including Connections, our annual user conference, and harm our business, results of operations, and financial condition. The related impact on the global economy could also decrease technology spending and adversely affect demand for our products. Further, our sales and implementation cycles have increased and could continue to increase, which has resulted in and could result in providing contract terms more favorable to customers and a potentially longer delay between incurring operating expenses and the generation of corresponding revenue, if any, or in difficulty accurately forecasting our financial results. Additionally, our customers may be unable to pay or request amended payment terms for their outstanding invoices due to the economic impacts from COVID-19. As a result of these containment measures and the related economic impact to our business, we may be required to record impairment related to our operating lease assets, investments, long-lived assets, or goodwill. The pandemic also presents operational challenges as our entire workforce is currently working remotely and shifting to assisting customers who are also generally working remotely. It is not possible for us to predict the duration or magnitude of the adverse results of the pandemic and its effects on our business, results of operations, or financial condition at this time. Further, to the extent the COVID-19 pandemic adversely affects our business, results of operations, or financial condition, it may also have the effect of heightening many of the other risks described in this “Risk Factors” section.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and annual fluctuations in our results of operations due to a number of factors.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may affect our results of operations include:</w:t>
      </w:r>
    </w:p>
    <w:p>
      <w:pPr>
        <w:spacing w:after="0" w:line="234"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downturns and related market volatility caused by the COVID-19 pandemic or the recent U.S. presidential election on our business and the businesses of our customers, partners, and vendors;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domestic and international customers and renew existing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potential customers and our ability to sell additional software and services to existing customers;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and timing of subscription sales as opposed to term or perpetual software licenses, and the variations in revenue recognition between these contract types;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5" w:name="page56"/>
    <w:bookmarkEnd w:id="55"/>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contract durations of term software licenses and renewals;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related to cloud operations, product development, and services;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achieve market adoption of cloud-based services, including the impact of our customers transitioning from term software licenses to subscription services;</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erosion in services margins or significant fluctuations in services revenue caused by changing customer demand, negotiated professional services billing rates, or fixed fee contracts;</w:t>
      </w: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penalties for failing to meet certain contractual obligations, including service levels, product development cycles and functionality, and implementation times and objectives;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rules and our related accounting policies and interpretations;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benefits from our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customers’ budgets for information technology purchases and delays in their purchasing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hiring personnel and employee related expenses;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or any other adverse global economic condition on our business, including pandemics, trade tariffs, trade agreements, and other uncertainties that may cause a delay in entering into or a failure to enter into significant customer agreements or the fulfillment of professional service arrangements;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dispute-related settlement payments, or litigation-related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or deflation in the economies in which we operate and its impact on our revenues given the multi-year term of most customer agreements.</w:t>
      </w:r>
    </w:p>
    <w:p>
      <w:pPr>
        <w:spacing w:after="0" w:line="20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and other ongoing changes to our business, it is challenging to forecast our quarterly and annual results.</w:t>
      </w:r>
    </w:p>
    <w:p>
      <w:pPr>
        <w:spacing w:after="0" w:line="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generally see increased new orders in our fourth fiscal quarter, which is the quarter ended July 31, due to efforts by our sales team to achieve annual incentives. As a result, a significantly higher percentage of our annual license revenue has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for revenue recognition has and may continue to heighten or change the seasonal impact on our new term licenses and multi-year term license renewals due to license revenue for the entire committed term being recognized at the beginning of the agreement. Because of the upfront nature of revenue recognition for new multi-year term licenses and multi-year term license renewals, any quarter in which a significant deal of this nature is signed, renewed, cancelled, or not renewed when scheduled to do so may be impacted.</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 over quarter and year-over-year revenue growth comparisons and cash flow because of the ramped nature of the annual installments of these multi-year arrangements. Additionally, Annual Recurring Revenue, or ARR, which reflects the annualized recurring value of active customer contracts at the end of a reporting period, will be impacted by the seasonality of new sales orders, even if the revenue is recognized ratably.</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quarterly growth in revenue or ARR also may not coincide with new orders or cash flows in a given quarter, which could mask the impact of seasonal variations. This mismatch is primarily due to the following reasons: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6" w:name="page57"/>
    <w:bookmarkEnd w:id="56"/>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subscription arrangements are recognized ratably and only a portion of the revenue from an order is recognized in the same fiscal period of the order;</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arrangements generally have ramped invoicing schedules over the initial term, which affects ARR, but revenue is recognized ratably over the initial term;</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 license agreements and multi-year term license renewals generally have annual billing arrangements even though revenue is recognized upfront for the entire committed term;</w:t>
      </w: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customers transition from term license to subscription agreements or as we invest in certain cloud implementations to assist our customers with their migration to our cloud services, the timing of revenue recognition may be impacted by the allocation of revenue between different performance obligations;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license agreements with future product delivery requirements, specified terms for product upgrades or functionality, acceptance terms, or unconditional return rights, which may require us to delay revenue recognition for a period of time; and</w:t>
      </w: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may not occur in the period when the order is placed due to certain revenue recognition criteria not being met, such as delivery of the software or providing access to the subscription services.</w:t>
      </w:r>
    </w:p>
    <w:p>
      <w:pPr>
        <w:spacing w:after="0" w:line="208"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Additionally, seasonal patterns may be affected by the timing of particularly large transactions and the large number of renewals that occur in the first fiscal quarter. For example, in the first quarter of fiscal year 2021, we achieved higher revenue growth due to a five year renewal of a single license agreement, which resulted in the first quarter of fiscal year 2021 lacking comparability to the prior year period and creating a challenging comparable for the first quarter of fiscal year 2022.</w:t>
      </w:r>
    </w:p>
    <w:p>
      <w:pPr>
        <w:spacing w:after="0" w:line="2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Seasonal and other variations may cause significant fluctuations in our revenues,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18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 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public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related services related to subscription services due to our operating and maintaining the cloud environment for our customers. As a result, we may face risks associated with new and complex implementations,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products or services or upon renewal of existing agreements, and a customer’s refusal to pay its contractually-obligated subscription or service fees.</w:t>
      </w:r>
    </w:p>
    <w:p>
      <w:pPr>
        <w:spacing w:after="0" w:line="1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Revenue under our cloud-based subscription model will generally be recognized ratably over the term of the contract. The transition to ratable revenue recognition will result in lower revenue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revenues in any period.</w:t>
      </w:r>
    </w:p>
    <w:p>
      <w:pPr>
        <w:spacing w:after="0" w:line="2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market acceptance of our cloud-based offerings may be affected by a variety of factors, including, but not limited to, price, security, reliability, performance, customer preference, public concerns regarding privacy, and the enactment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7" w:name="page58"/>
    <w:bookmarkEnd w:id="57"/>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restrictive laws or regulations. We are in the early stages of re-architecting our existing products and developing new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tax and accounting implications, and our costs.</w:t>
      </w:r>
    </w:p>
    <w:p>
      <w:pPr>
        <w:spacing w:after="0" w:line="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While the composition of our individual top customers has and will vary from year to year, in each of fiscal years 2020, 2019, and 2018, our ten largest customers accounted for 31% of our revenue. Additionally, our ten largest customers based on ARR accounted for 29% of total ARR in fiscal year 2020. Customers for these metrics are calculated at the parent corporation level, while our total customer count is based on entities that have placed orders for our products and services. While we expect this reliance to decrease over time as our revenue, customer base and subscription services as a percentage of revenue grows, we expect that we will continue to depend upon a relatively small number of customers for a significant portion of our revenue for the foreseeable future. As a result, if we fail to successfully sell our products and services to one or more of these anticipated customers in any particular period or fail to identify additional potential customers or such customers purchase fewer of our products or services,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these relatively small number of customers, our quarterly and annual results of operations may fluctuate significantly.</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any of our established products or services to satisfy customer demands or to maintain market acceptance could harm our business, results of operations, financial condition, and growth prospects.</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derive a significant majority of our revenue and cash flows from our established product offerings, including Guidewire InsuranceSuite via Guidewire Cloud, Guidewire InsuranceSuite for self-managed, Guidewire InsuranceNow, and our digital and data products. We expect to continue to derive a substantial portion of our revenue from these sources. As such, continued market acceptance of these products is critical to our growth and success. Demand for our products is affected by a number of factors, some of which are beyond our control, including the successful implementation of our products, the timing of development and release of new products by us and our competitors, the cost and effort to migrate from self-managed products to subscription services, the ease of integrating our software to third-party software and services, technological advances that reduce the appeal of our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products, our business, results of operations, financial condition and growth prospects may be adversely affected.</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for our software and services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of re-engineering and technology implementation, may cause customers to prefer maintaining legacy systems. Also, maintaining these legacy systems may be so time consuming and costly for our potential customers that they do not have adequate resources to devote to the purchase and implementation of our products. We also compete against technology consulting firms that either helped create such legacy systems or may own, in full or in part, subsidiaries that develop software and systems for the P&amp;C insurance industry.</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21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lower the cost of delivery of our cloud-based solutions. This may increase our costs more than we anticipate and may adversely impact our results of operations.</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products and services,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18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typical sales cycle for our products and services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products, including the technical capabilities of our products and the potential cost savings achievable by organizations deploying our products. Customers typically undertake a significant evaluation process, which frequently involves not only our products, but also those of our competitors. We spend substantial time, effort, and money in our sales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In addition, we sometimes commit to include specific functions in our base product offering at the request of a customer or group of customers and are unable to recognize revenue until the specific functions have been added to our products. Providing this additional functionality may be time consuming and may involve factors that are outside of our control. Customers may also insist that we commit to certain time frames in which systems built around our products will be operational or that once implemented our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The implementation and testing of our products by our customers typically lasts 6 to 24 months or longer and unexpected implementation delays and difficulties can occur. Implementing our products typically involves integration with our customers’ and third parties’ systems, as well as adding customer and third-party data to our platform. This process can be complex, time consuming, and expensive for our customers and can result in delays in the implementation and deployment of our products. Failing to meet the expectations of our customers during the implementation of our products could result in a loss of customers and negative publicity about us and our products and services. Such failure could result from deficiencies in our product capabilities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services or products or upon renewals of existing licenses and services, potential reversals of previously recognized revenue, and a customer’s refusal to pay their contractually-obligated license, support, or service fees. In addition, time-consuming and delayed implementations may also increase the amount of services personnel we must allocate to each customer, thereby increasing our costs and adversely affecting our business, results of operations, and financial condition.</w:t>
      </w:r>
    </w:p>
    <w:p>
      <w:pPr>
        <w:spacing w:after="0" w:line="218"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Furthermore, our sales and implementation cycles could be interrupted or affected by other factors outside of our control. For example, the COVID-19 pandemic has caused sales and implementation cycles to lengthen and has other impacts on our business. We currently have formal restrictions on travel in place, which are in accordance with recommendations by the U.S. government and The Centers for Disease Control and Prevention, and our customers, SI partners, and prospects are likewise enacting their own preventative policies and travel restrictions. Widespread restrictions on travel and in-person meetings could affect services delivery, delay implementations, and interrupt sales activity. We cannot predict whether, for how long, or the extent to which the COVID-19 outbreak may adversely affect our business, results of operations, and financial condition.</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Revenue mix, as well as declines in our subscription and support gross margin or our services gross margin, could adversely affect our overall gross margin and profitability.</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subscription and support revenue was 27% and 21% of total revenue for fiscal years 2020 and 2019, respectively. Our subscription and support revenue produces lower gross margins than our license revenue. The gross margin of our subscription and support revenue was 42% and 51% for fiscal years 2020 and 2019, respectively, while the gross margin for license revenue was 97% and 98% for fiscal years 2020 and 2019,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result in erosion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the COVID-19 pandemic or other disasters.</w:t>
      </w:r>
    </w:p>
    <w:p>
      <w:pPr>
        <w:spacing w:after="0" w:line="2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our services revenue was 28% and 35% of total revenue for fiscal years 2020 and 2019, respectively. Our services revenue produces lower gross margin than either our license revenue or our subscription and support revenue. The gross margin of our services revenue was less than 3% for both fiscal years 2020 and 2019. If we experience an increase in the percentage of total revenue represented by services revenue, like we did in fiscal year 2018 due to acquisitions and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 demand for our services team’s involvement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0" w:name="page61"/>
    <w:bookmarkEnd w:id="60"/>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implementation of new products and services, the rates we charge for our services, our ability to bill our customers for all time incurred to complete a project, the extent and quality of implementations and migrations provided by our SI partners, and the impact on the global economy as a result of the COVID-19 pandemic or other disasters. Additionally, the failure to improve, or the erosion of, our services margin, particularly in combination with any increase in services revenue, could adversely affect our overall gross and operating margins.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commensurate compensation.</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Some of our customers include the world’s largest P&amp;C insurers.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that may require us to develop additional features in the products we sell to them or add complexity to our customer agreements. We have been required to, and may continue to be required to, reduce the average selling price of our products in response to these pressures. If we are unable to avoid reducing our average selling prices, our results of operations could be harmed.</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customers renewing and expanding their license, support, and subscription contracts for our products. A decline in our customer renewals and expansions could harm our future results of operations.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products and services, the prices of our products and services, the prices of products and services offered by our competitors, reductions in our customers’ spending levels due to the macroeconomic environment or other factors, or the sale of their operations to a buyer that is not a current customer.</w:t>
      </w:r>
    </w:p>
    <w:p>
      <w:pPr>
        <w:spacing w:after="0" w:line="21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develop, introduce and market new and enhanced versions of our products, we may be put at a competitive disadvantage.</w:t>
      </w:r>
    </w:p>
    <w:p>
      <w:pPr>
        <w:spacing w:after="0" w:line="24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on our continued ability to develop, introduce, and market new and enhanced versions of our products to meet evolving customer requirements. Because some of our products are complex and require rigorous testing, new features, new functionality, and updates to our existing products and services can take us multiple years to develop and bring to market. As we expand internationally, our products and services must be modified and adapted to comply with regulations and other requirements of the countries in which our customers do business. Additionally, market conditions may dictate that we change the delivery method of our products or the technology platform underlying our existing products or that new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fail to develop new products, enhance our existing products, or migrate our products to the cloud, our business could be adversely affected, especially if our competitors are able to introduce products with enhanced functionality in the cloud. It is critical to our success for us to anticipate changes in technology, industry standards, and customer requirements and to successfully introduce new, enhanced, and competitive products to meet our customers’ and prospective customers’ needs on a timely basis. We have invested and intend to increase investments in research and development and cloud operations to meet these challenges. Revenue may not be sufficient to support the future product development that is required for us to remain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competitive. If we fail to develop products in a timely manner that are competitive in technology and price or develop products that fail to meet customer demands, our market share will decline and our business and results of operations could be harmed. If our research and development efforts do not develop products or features that our customers find valuable, then we might incur impairment charges related to our capitalized software development costs.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products and services to new customers and renew agreements with our existing customers.</w:t>
      </w:r>
    </w:p>
    <w:p>
      <w:pPr>
        <w:spacing w:after="0" w:line="20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we or our SI partners do not effectively assist our customers in deploying our products, successfully help our customers quickly resolve post-deployment issues, assist our customers in migrating from self-managed licenses to subscription services, and provide effective ongoing support, our ability to renew existing agreements and sell additional products and services to existing customers would be adversely affected and our reputation with potential customers could be damaged. Once our products are deployed and integrated with our customers’ existing information technology environment, our customers may depend on our technical support services and/or the support of SI partners or internal resources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languages other than English. Many enterprise customers require higher levels of support than smaller customers. If we fail to meet the requirements of our larger customers, it may be more difficult to sell additional products and services to these customers or to transition existing license customers to subscription services, a key strategy for the growth of our revenue and profitability. In addition, as we further expand our cloud-based products, our professional services and support organization will face new challenges, including hiring, training, and integrating a large number of new professional services personnel with experience in delivering high-quality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products and services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200" w:lineRule="exact"/>
        <w:rPr>
          <w:sz w:val="20"/>
          <w:szCs w:val="20"/>
          <w:color w:val="auto"/>
        </w:rPr>
      </w:pPr>
    </w:p>
    <w:p>
      <w:pPr>
        <w:spacing w:after="0" w:line="2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18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Cyence, a Software-as-a-Service company that applies data science and risk analytics to enable P&amp;C insurers to underwrite “21st century risks” such as terrorism, cybersecurity, and reputational risk, in November 2017. Each of our prior acquisitions was initially dilutive to earnings. Acquisitions and alliances may result in unforeseen operating difficulties and expenditures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 Following an acquisition or the establishment of an alliance offering new products, the timing of revenue from the sale of products that we acquired or that result from the alliance, or from the sale of a bundle of products that includes such new products, may be different than the timing of revenue from existing products. In addition, our ability to maintain favorable pricing of new products may be challenging if we bundle such products with existing products. A delay in the recognition of revenue from sales of acquired or alliance products, or reduced pricing due to bundled sales, may cause fluctuations in our quarterly financial results, may adversely affect our operating margins, and may reduce the benefits of such acquisitions or alliances.</w:t>
      </w: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2" w:name="page63"/>
    <w:bookmarkEnd w:id="62"/>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the successful development of our global direct sales force and the expansion of our relationships with our strategic partners, sales of our products and services will suffer and our growth could be slower than we project.</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products and services will suffer and our growth will be impeded.</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SI partners help us reach additional customers. We believe our future growth also will depend on the retention and expansion of successful relationships with SI partners, including with SI partners that will focus on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products and services may compete directly against products and services that such leading SI partners support or market. Additionally, we are unable to control the quantity or quality of resources that our SI partners commit to implementing our products, or the quality or timeliness of such implementations, or the effects of the COVID-19 pandemic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products, would have an adverse effect on our business and our results of operations could fail to grow in line with our projections.</w:t>
      </w:r>
    </w:p>
    <w:p>
      <w:pPr>
        <w:spacing w:after="0" w:line="2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international sales and operations subject us to additional risks that can adversely affect our business, results of operations, and financial condition.</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sell our products and services to customers located outside the United States, and we are continuing to expand our international operations as part of our growth strategy. In fiscal years 2020, 2019, and 2018, $279.8 million, $272.9 million, and $243.1 million of our revenue, respectively, was from customers outside of the United States. Our current international operations and our plans to expand our international operations subject us to a variety of risks, including:</w:t>
      </w:r>
    </w:p>
    <w:p>
      <w:pPr>
        <w:spacing w:after="0" w:line="20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travel, infrastructure, and legal compliance costs associated with having multiple international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terms and conditions in contract negotiations imposed by customers in foreign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contracts and collecting accounts receivable;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our contracts and our products and services for international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with and unexpected changes in foreign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fluctuations in 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inflationary international economies, such as Argentina;</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complying with a wide variety of foreign laws and legal standards, including the General Data Protection Regulation in the European Union;</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of 1977, as amended, the U.K. Bribery Act and other anti-corruption regulations, particularly in emerging market countries;</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international staff with accounting practices generally accepted in the United States, including adherence to our accounting policies and internal controls;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tariffs, taxes and other trade barriers;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tax, and reporting burdens and complexities;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of intellectual property rights in some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regimes;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sanctions that may interfere with our ability to sell into particular countries, such as Russia;</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 caused by epidemics or pandemics, such as COVID-19; and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and security concerns in general.</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3" w:name="page64"/>
    <w:bookmarkEnd w:id="63"/>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expanding operations effectively could harm our business.</w:t>
      </w:r>
    </w:p>
    <w:p>
      <w:pPr>
        <w:spacing w:after="0" w:line="2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consistent growth and expect to continue to expand our operations, including the number of employees and the locations and scope of our international operations. Additionally, the COVID-19 pandemic and related shelter in-place orders have resulted in our employees and contractors working from home, bringing new challenges to managing our business and work 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products or investments in cloud operations. If we increase the size of our organization without experiencing an increase in sales of our products and services, we will experience reductions in our gross and operating margins and net income. If we are unable to effectively manage our expanding operations or manage the increase in remote employees, our expenses may increase more than expected, our revenue could decline or grow more slowly than expected, and we may be unable to implement our business strategy.</w:t>
      </w:r>
    </w:p>
    <w:p>
      <w:pPr>
        <w:spacing w:after="0" w:line="21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use of our products and services or our failure to properly train customers on how to utilize our products and services could result in customer dissatisfaction and negatively affect our business, results of operations, financial condition, and growth prospects.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products and services are complex and are deployed in a wide variety of network environments. The proper use of our products and services requires training of the customer. If our products are not used correctly or as intended, inadequate performance may result. Our products and services may also be intentionally misused or abused by customers or their employees or third parties who are able to access or use our products and services. Because our customers rely on our products, services, and support to manage a wide range of operations, the incorrect or improper use of our products, our failure to properly train customers on how to efficiently and effectively use our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products and services.</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if there is substantial turnover of customer personnel responsible for the use of our products and services, or if customer personnel are not well trained in the use of our products and services, customers may defer the deployment of our products, may deploy them in a more limited manner than originally anticipated, or may not deploy them at all. Further, if there is substantial turnover of the customer personnel responsible for use of our products and services, our ability to make additional sales may be substantially limited.</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need additional financing to execute on our current or future business strategies, including to develop new or enhance existing products and services, acquire businesses and technologies, or otherwise to respond to competitive pressures.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percentage ownership of our existing stockholders could be significantly diluted, and newly-issued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 opportunities, develop or enhance our products and services, or otherwise respond to competitive pressures would be significantly limited. Any of these factors could harm our results of operations.</w:t>
      </w:r>
    </w:p>
    <w:p>
      <w:pPr>
        <w:spacing w:after="0" w:line="21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Risks Related to Data Security and Privacy, Intellectual Property, and Information Technology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or cloud-based services experience data security breaches, and there is unauthorized access to our customers’ data, we may lose current or future customers and our reputation and business may be harmed.</w:t>
      </w:r>
    </w:p>
    <w:p>
      <w:pPr>
        <w:spacing w:after="0" w:line="18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If our security measures are breached or unauthorized access to customer data is otherwise obtained, our cloud services may be perceived as not being secure, customers may reduce the use of or stop using our services, and we may incur significant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4" w:name="page65"/>
    <w:bookmarkEnd w:id="64"/>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liabilities and our reputation could be harmed.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and other liabilities for our company. While we have taken, and are continually updating, our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Although we have developed systems and processes that are designed to protect customer data and prevent data loss and other 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by existing customers, could cause existing customers to elect not to renew their term licenses or subscription agreements, or could subject us to third-party lawsuits, regulatory fines or other action or liability, thereby adversely affecting our results of operations and reputation.</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could result in regulatory changes and impose additional costs and liabilities on us, limit our use of information, and adversely affect our business.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adoption of our cloud-based services occurs, the amount of customer data, including customer personal information, that we manage, hold, and/or collect continues to increase. In addition, a limited number of our products and services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personal privacy has become a significant issue in the United States, Europe, and many other jurisdictions where we operate. Many federal, state, and foreign legislatures and government agencies have imposed or are considering imposing restrictions and requirements about the collection, use, and disclosure of personal information.</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to laws or regulations affecting privacy could impose additional costs and liabilities, including fines, on us and could limit our use of such information to add value for customers, including for example, the California Consumer Privacy Act, the California Privacy Rights Act, which appeared on the ballot for the November 3, 2020 election and as of the date of this report seems likely to pass, and the Court of Justice of the European Union's invalidation of the Privacy Shield framework in July 2020. If we were required to change our business activities or revise or eliminate services, or to implement burdensome compliance measures, our business and results of operations could be harmed. In addition,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products and services and reduce overall demand.</w:t>
      </w:r>
    </w:p>
    <w:p>
      <w:pPr>
        <w:spacing w:after="0" w:line="2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concerns regarding data privacy and/or security may cause our customers’ customers to resist providing the data and information necessary to allow our customers to use our products and services effectively. Even the perception that the privacy and/or security of personal information is not satisfactorily managed, or does not meet applicable legal, regulatory, and other requirements, could inhibit sales of our products or services, and could limit adoption of our solutions, resulting in a negative impact on our sales, reputation, and results from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in the European Union are evolving and we may face fines and other penalties if we fail to comply with these evolving standards, and compliance with these standards may increase our expenses and adversely affect our business and results of operations.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27, 2016 the European Union (EU) adopted the General Data Protection Regulation 2016/679 (“GDPR”), that took effect on May 25, 2018. The GDPR applies to any company established in the European Economic Area (“EEA”) and the U.K. as well as to those outside the EEA and the U.K. if they carry out processing of personal data of individuals in the EEA or the U.K.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5" w:name="page66"/>
    <w:bookmarkEnd w:id="65"/>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into the near future as we respond to new interpretations and enforcement actions and as we continue to negotiate data processing agreements with our customers and business partners.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the GDPR restricts transfers of personal data outside of the EEA and the U.K.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We are currently certified to the EU-U.S. Privacy Shield. On July 16, 2020, the European Court of Justice (“ECJ”) invalidated the EU-U.S. Privacy Shield, but it deemed that the SCCs are valid, provided additional safeguards are in place. However, the ECJ ruled that transfers made pursuant to SCCs and other alternative transfer mechanisms need to be analyzed on a case-by-case basis to ensure EU standards of data protection are met in the jurisdiction where the data importer is based, and there continue to be concerns about whether the SCCs and other mechanisms will face additional challenges.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We are currently certified to the Swiss-U.S. Privacy Shield. On November 10, 2020, the European Data Protection Board ("EDPB"), issued recommendations on the additional safeguards required for SCCs to be valid. We are in the process of reviewing the decision and the recent EDPB guidance, which remains subject to public comment, and assessing any impacts on our data transfer mechanisms. It is possible that the ability to transfer personal data from the EU to the United States will be restricted. We (and many other companies) may be required to adopt additional measures to accomplish and maintain legitimate means for the transfer and receipt of personal data from the EU to the United States and other third-party countries. Until the remaining legal uncertainties regarding how to legally continue transfers pursuant to the SCCs and other mechanisms are settled, we will continue to face uncertainty as to whether our efforts to comply with our obligations under European and Swiss privacy laws will be sufficient.</w:t>
      </w:r>
    </w:p>
    <w:p>
      <w:pPr>
        <w:spacing w:after="0" w:line="2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experience hesitancy, reluctance, or refusal by European or multi-national customers to continue to use our services due to the potential risk exposure to such customers as a result of such developments and the current data protection obligations imposed on them by certain data protection authorities. Such customers may also view any alternative approaches to the transfer of any personal data as being too costly, too burdensome, or otherwise objectionable, and therefore may decide not to do business with us.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Given our current transition to more cloud-based services and the current data protection landscape in the EU, we may be subject to greater risk of potential inquiries and/or enforcement actions.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further to Brexit, the GDPR will continue to apply in the U.K. until the end of the transition period on December 31, 2020. Unless the transitional period is extended, as of January 1, 2021 the GDPR will be brought into U.K. law as the ‘U.K. GDPR’, but there may be further developments about the regulation of particular issues such as U.K.-EU data transfers. We may be required to take steps to ensure the lawfulness of our data transfers, particularly if by the end of the transition period there will not be an European Commission’s adequacy decision regarding the U.K.</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Anticipated further evolution of European Union regulations on this topic, including the impact of Brexit on these regulations in the U.K. and any related changes to the regulatory framework in the U.K., may increase substantially the penalties to which we could be subject in the event of any non-compliance. We may incur substantial expense in complying with the new obligations to be imposed by new regulations and we may be required to make significant changes to our software applications and expanding business operations, all of which may adversely affect our results of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6" w:name="page67"/>
    <w:bookmarkEnd w:id="66"/>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believe that our products and services do not infringe upon the intellectual property rights of third parties, we cannot assure that third parties will not assert infringement or misappropriation claims against us with respect to current or future products or services, or that any such assertions will not require us to enter into royalty arrangements, result in costly litigation, or result in us being unable to use certain intellectual property. We cannot assure that we are not infringing or otherwise violating any third-party intellectual property rights.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products or services that are alleged to infringe or misappropriate the intellectual property of others; expend additional development resources to redesign our products or services;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or failures in our products or implementation services may affect our reputation, cause us to lose customers and reduce sales and renewal rates which may harm our business and results of operations and subject us to liability for breach of warranty claims.</w:t>
      </w:r>
    </w:p>
    <w:p>
      <w:pPr>
        <w:spacing w:after="0" w:line="186"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Because we offer complex products, undetected errors or failures may exist or occur, especially when products are first introduced or when new versions are released. Our products are often installed and used in large-scale computing environments with different operating systems, system management software, and equipment and networking configurations, which may cause errors or failures in our products or may expose undetected errors, failures, or bugs in our products. Despite testing by us, we may not identify all errors, failures, or bugs in new products or releases until after commencement of commercial sales or installation. In the past, we have discovered software errors, failures, and bugs in some of our offerings after their introduction. Additionally, our Guidewire Cloud offerings rely on third-party hosting services. Any material disruption or slowdown in these services or the systems of third parties who we depend upon could cause outages or delays in our services, which could harm our reputation and adversely affect our results of operations.</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provide our customers with upfront estimates regarding the duration, resources, and costs associated with the implementation of our products. Failure to meet these upfront estimates and the expectations of our customers could result from our product capabilities or service engagements performed by us, our SI partners, or our customers’ employees, the latter two of which are beyond our direct control. The consequences could include, and have included, monetary credits for current or future service engagements, reduced fees for additional services or product sales or upon renewals of existing licenses or services, potential reversals of previously recognized revenue, or a customer’s refusal to pay its contractually-obligated fees. In addition, time-consuming implementations may also increase the amount of services personnel we must allocate to each customer, thereby increasing our costs and adversely affecting our business, results of operations, and financial condition.</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license, subscription, and support of our services and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results of operations.</w:t>
      </w:r>
    </w:p>
    <w:p>
      <w:pPr>
        <w:spacing w:after="0" w:line="2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7" w:name="page68"/>
    <w:bookmarkEnd w:id="67"/>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21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products or services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2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rely on technology and intellectual property of third parties, the loss of which could limit the functionality of our products and disrupt our business.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 The loss of the right to license and distribute this third-party technology could limit the functionality of our products and might require us to redesign our products.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software license agreements typically contain provisions permitting the customer to become a party to, or a beneficiary of, a source code escrow agreement under which we place the proprietary source code for our applicable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products by exercising this right, and others may do so in the future.</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Disclosing the content of our source code may limit the intellectual property protection we can obtain or maintain for that source code or the products containing that source code and may facilitate intellectual property infringement claims against us.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services and technologies may use “open source” software, which may restrict how we use or distribute our services or require that we release the source code of certain products subject to those licenses.</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of our services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w:t>
      </w:r>
    </w:p>
    <w:p>
      <w:pPr>
        <w:spacing w:after="0" w:line="2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2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Risks Related to Legal, Regulatory, Accounting, and Tax Matters</w:t>
      </w:r>
    </w:p>
    <w:p>
      <w:pPr>
        <w:spacing w:after="0" w:line="2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requires the application of accounting guidance that requires management to make estimates and assumptions. Reported results under GAAP may vary from key metrics used to measure our business. Additionally, changes in accounting guidance may cause us to experience greater volatility in our quarterly and annual results. If we are unsuccessful in adapting to and interpreting the requirements of new guidance, or in clearly explaining to stockholders how new guidance affects reporting of our results of operations, our stock price may decline.</w:t>
      </w:r>
    </w:p>
    <w:p>
      <w:pPr>
        <w:spacing w:after="0" w:line="2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United States Generally Accepted Accounting Principles ("GAAP"). These accounting principles are subject to interpretation by the SEC, FASB, and various bodies formed to interpret and create accounting rules and regulations. New accounting standards, such ASC 606 - Revenue from Contracts with Customers adopted in fiscal year 2019 or ASC 842 - Leases adopted in fiscal year 2020,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predict the impact of future changes to accounting principles or our accounting policies on our financial statements going forward. For example, the Emerging Issues Task Force of the FASB is considering changes that may impact the revenue guidance for the migration from term licenses to subscription services. In addition, were we to change our accounting estimates, including those related to the timing of revenue recognition and those used to allocate revenue between various performance obligations, our reported revenue and results of operations could be significantly impacted. For example, the adoption of ASC 606 introduced many risks, including the following:</w:t>
      </w:r>
    </w:p>
    <w:p>
      <w:pPr>
        <w:spacing w:after="0" w:line="21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misinterpretation of historic and future trends of our business and what they could mean for the underlying success of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divergence between revenue and ARR and cash flow 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explaining our historical results or new known trends.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unsuccessful in adapting to the requirements of the new revenue standard, or if changes to our go-to-market strategy create new risks, then we may experience greater volatility in our quarterly and annual results, which may cause our stock price to decline.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revenue recognition standards require significant judgment and estimates that impact our reported revenue and results of operations. Additionally, reported revenue has and will vary from the ARR and cash flow associated with each customer agreement. This potential difference and variability in the trends of reported amounts may cause volatility in our stock price.</w:t>
      </w:r>
    </w:p>
    <w:p>
      <w:pPr>
        <w:spacing w:after="0" w:line="19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financial statements may and any future restatement could lead to additional risks and uncertainties, including regulatory, stockholder or other actions, loss of investor and counterparty confidence and negative impacts on our stock price.</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2019 our audit committee, after consultation with management and discussion with our independent registered public accounting firm, concluded that our previously issued consolidated financial statements for the fiscal years ended July 31, 2018 and 2017 should be restated for the reasons described in the “Explanatory Note” preceding Part I, Item 1 and “Note 1 — The Company and Summary of Significant Accounting Policies — Restatement of Annual Consolidated Financial Statements” of the Consolidated Financial Statements under Item 8 of Part II of our 2018 Form 10-K/A for the fiscal year ended July 31, 2018, filed on June 3, 2019.</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restatement and associated non-reliance on our previously issued consolidated financial statements for the fiscal years ended July 31, 2018 and 2017, we incurred a number of additional costs and were subject to additional risks, including unanticipated costs for accounting and legal fees in connection with or related to the restatement. In addition, the attention of our management team was diverted by these efforts.</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another restatement were to occur in the future, we would experience similar unanticipated costs and the attention of management would be diverted. We could also be subject to regulatory, stockholder, or other actions in connection with the past or any future restatement, which would, regardless of the outcome, consume management’s time and attention and may result in additional legal, accounting, and other costs. If we do not prevail in any such proceedings, we could be required to pay damages or settlement costs. In addition, the past or any future restatement and related matters could impair our reputation or could cause our customers, stockholders, or other counterparties to lose confidence in us. Any of these occurrences could have a material adverse effect on our business, results of operations, financial condition, and stock price.</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in the future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publicly-traded company we disclose whether our internal control over financial reporting and disclosure controls and procedures are effective.</w:t>
      </w:r>
    </w:p>
    <w:p>
      <w:pPr>
        <w:spacing w:after="0" w:line="21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fiscal year 2018, management identified a material weakness in our internal control over financial reporting related to the ineffective design and operation of certain process level internal controls over the existence and accuracy of revenue transactions, which we believe has been remediated. While we continually undertake steps to improve our internal control over financial reporting as our business changes, we may not be successful in making the improvements and changes necessary to be able to identify and remediate control deficiencies or material weaknesses in the future. If we are unable to successfully remediate any future material weaknesses in our internal control over financial reporting, the accuracy and timing of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0" w:name="page71"/>
    <w:bookmarkEnd w:id="70"/>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another material misstatement occurs in the future, we may fail to meet our future reporting obligations. For example, we may fail to file periodic reports in a timely manner or may need to restate our financial results, either of which may cause the price of our stock to decline. Any failure of our internal controls could also adversely affect the results of the periodic management evaluations and annual independent registered public accounting firm attestation reports regarding the effectiveness of our internal control over financial reporting that are required under Section 404 of the Sarbanes-Oxley Act. Effective internal controls are necessary for us to produce reliable financial reports and are important to help prevent financial fraud.</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18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7"/>
          <w:szCs w:val="17"/>
          <w:color w:val="auto"/>
        </w:rPr>
        <w:t>We are subject to federal, state, and local income taxes in the United States and in foreign jurisdictions. Our future effective tax rates and the value of our deferred tax assets could be adversely affected by changes in tax laws, including impacts of the Jobs Act of 2017 ("the Tax Act") and the Coronavirus Aid, Relief, and Economic Security Act ("CARES Act"). The U.S. Treasury Department, the IRS, and other standard-setting bodies are expected to continue to interpret or issue guidance on how provisions of the Tax Act, including the base erosion and anti-abuse tax ("BEAT"), will be applied or otherwise administered. As guidance is issued, we may make adjustments to amounts that we have previously recorded that may materially impact our financial statements in the period in which the adjustments are made and the amount of taxes that we may be required to pay could significantly increase.</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we are currently under examination by the California Franchise Tax Board for the state income tax returns filed for fiscal years 2018 and 2017. While we do not believe the audit will have a material impact on our results of operations, financial condition, or cash flows, we can offer no guarantee. If any issues addressed in the tax audit are resolved in a manner not consistent with our expectations, we may be required to adjust our provision for income tax in the period in which such resolution occurs, and our results of operations, financial condition, or cash flows could be harmed.</w:t>
      </w:r>
    </w:p>
    <w:p>
      <w:pPr>
        <w:spacing w:after="0" w:line="20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could result in securities class action litigation against us.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have and may continue to affect the market price of our common stock.</w:t>
      </w:r>
    </w:p>
    <w:p>
      <w:pPr>
        <w:spacing w:after="0" w:line="207"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In the past, many companies, including us, that have experienced volatility in the market price of their stock have been subject to securities class action litigation. In July 2020, one of our stockholders filed a putative securities class action complaint in the federal court for the Northern District of California, against us and certain of our current or former officers and directors, alleging misstatements and omissions in violation of Sections 10(b) and 20(a) of the Securities Exchange Act of 1934, as amended (the “Exchange Act”) and SEC Rule 10b-5. In October 2020, the suit was voluntarily dismissed without prejudice by plaintiff's counsel. We may become the target of additional complaints of this type of litigation in the future. Securities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1" w:name="page72"/>
    <w:bookmarkEnd w:id="71"/>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litigation against us could result in substantial costs and divert our management’s attention from our business, which could seriously harm our business, results of operations, and financial condition.</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18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20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which limits the ability of minority stockholders to elect director candidates;</w:t>
      </w:r>
    </w:p>
    <w:p>
      <w:pPr>
        <w:spacing w:after="0" w:line="15"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 which could be used to significantly dilute the ownership of a hostile acquirer;</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forces stockholder action to be taken at an annual or special meeting of our stockholders;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 which could delay the ability of our stockholders to force consideration of a proposal or to take action, including the removal of directors; and</w:t>
      </w: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2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at least 66 2/3%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Further, while our board of directors has amended our amended and restated certificate of incorporation to gradually declassify our board of directors, our board of directors will be partially classified until the 2021 annual meeting of stockholders when the full board of directors will stand for reelection for a one-year term.</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18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 for:</w:t>
      </w:r>
    </w:p>
    <w:p>
      <w:pPr>
        <w:spacing w:after="0" w:line="18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or other employees to us or our stockholders;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2" w:name="page73"/>
    <w:bookmarkEnd w:id="72"/>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the Delaware General Corporation Law, our amended and restated certificate of incorporation or our amended and restated bylaws; or</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that is governed by the internal affairs doctrine (the “Delaware Forum Provision”).</w:t>
      </w:r>
    </w:p>
    <w:p>
      <w:pPr>
        <w:spacing w:after="0" w:line="2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Delaware Forum Provision will not apply to any causes of action arising under the Securities Act of 1933, as amended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it will enhance stockholder value, and share repurchases could affect the price of our common stock.</w:t>
      </w:r>
    </w:p>
    <w:p>
      <w:pPr>
        <w:spacing w:after="0" w:line="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October 2020, our board of directors authorized and approved a share repurchase program of up to $200 million of our outstanding common stock. Stock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 The timing, pricing, and sizes of these repurchases will depend on a number of factors, including the market price of our common stock and general market and economic conditions. The stock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October 31, 2020,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3" w:name="page74"/>
    <w:bookmarkEnd w:id="73"/>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22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Senior Notes, if triggered, may adversely affect our financial condition and results of operations.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Senior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relating to our Convertible Senior Notes may affect the value of our common stock.</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4" w:name="page75"/>
    <w:bookmarkEnd w:id="74"/>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FASB Accounting Standards Codification 470-20 (“ASC 470-20”), Debt with Conversion and Other Options, an entity must separately account for the liability and equity components of convertible debt instruments (such as the Convertible Senior Notes) that may be settled entirely or partially in cash upon conversion in a manner that reflects the issuer’s economic interest cost. ASC 470-20 requires the value of the conversion option of the Convertible Senior Notes, representing the equity component, to be recorded as additional paid-in capital within stockholders’ equity in our consolidated balance sheets as an original issue discount to the Convertible Senior Notes, which reduces their initial carrying value. The carrying value of the Convertible Senior Notes, net of the discount recorded, will be accreted up to the principal amount of the notes from the issuance date until maturity, which will result in non-cash charges to interest expense in our consolidated statement of operations. Accordingly, we will report lower net income or higher net loss in our financial results because ASC 470-20 requires interest to include both the current period’s accretion of the debt discount and the instrument’s coupon interest, which could adversely affect our reported or future financial results, the trading price of our common stock, and the trading price of the Convertible Senior Notes.</w:t>
      </w:r>
    </w:p>
    <w:p>
      <w:pPr>
        <w:spacing w:after="0" w:line="2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under certain circumstances, convertible debt instruments (such as the Convertible Senior Notes) that may be settled entirely or partly in cash are currently accounted for utilizing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 Under the treasury stock method, for diluted earnings per share purposes, the transaction is accounted for as if the number of shares of common stock that would be necessary to settle such excess, if we elected to settle such excess in shares, are issued.</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recently issued accounting guidance that will be effective for us on August 1, 2022 will no longer permit the use of the treasury stock</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method. In August 2020, the FASB issued ASU No. 2020-06, Debt-Debt with Conversion and Other Options (Subtopic 470-20) and Derivatives and Hedging - Contracts in Entity’s Own Equity (Subtopic 815-40), which simplifies the accounting for convertible instruments. Among other things, the guidance eliminates the treasury stock method to calculate diluted earnings per share for convertible instruments and requires the use of the if-converted method. We are currently evaluating the impact of the new guidance on our consolidated financial statements, however, we believe the requirement to use the if-converted method instead of the treasury stock method of accounting for the shares issuable upon conversion of the Convertible Senior Notes, could adversely affect our diluted earnings per share.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defer or forego purchases of our products or services in the event of weakened global economic conditions, political transitions, and industry consolidation.</w:t>
      </w:r>
    </w:p>
    <w:p>
      <w:pPr>
        <w:spacing w:after="0" w:line="186"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General worldwide economic conditions remain unstable and prolonged economic uncertainties or downturns could harm our business operations or financial results. In particular, pursuant to a decision by referendum in June 2016, the United Kingdom (U.K.) voted to withdraw from the European Union (“Brexit”). The U.K. subsequently withdrew from the European Union on January 31, 2020, subject to a transition period that is set to end on December 31, 2020. Brexit has caused significant volatility in global stock markets and fluctuations in currency exchange rates. Brexit has also caused, and may continue to cause, delays in purchasing decisions by our potential and current customers affected by this transition due to the considerable political and economic uncertainty created by Brexit and uncertainty as to the nature of the U.K.’s long-term relationship with the European Union. Brexit may further result in new regulatory and cost challenges to our U.K. and global operations, particularly with respect to data protection. Depending on the market and regulatory effects of Brexit, it is possible that there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5" w:name="page76"/>
    <w:bookmarkEnd w:id="75"/>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may be adverse practical or operational implications on our business, and prolonged economic uncertainties or downturns caused by Brexit could harm our business and results of operations. In addition, the recent U.S. presidential election could lead to changes in economic conditions or economic uncertainties in the United States and globally.</w:t>
      </w:r>
    </w:p>
    <w:p>
      <w:pPr>
        <w:spacing w:after="0" w:line="204"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Further, other global events such as the imposition of various trade tariffs by the United States and China and the COVID-19 pandemic, have created and may continue to create global economic uncertainty, including inflationary pressures, in regions in which we have significant operations. These conditions may make it difficult for our customers and us to forecast and plan future business activities accurately, and could cause our customers to reevaluate their decision to purchase our products, which could delay and lengthen our sales cycles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could cause a decrease in corporate spending on enterprise software in general, and in the insurance industry specifically, and negatively affect the rate of growth of our business.</w:t>
      </w:r>
    </w:p>
    <w:p>
      <w:pPr>
        <w:spacing w:after="0" w:line="21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increased pace of consolidation in the P&amp;C insurance industry may result in reduced overall spending on our products. Acquisitions of customers or potential customers can delay or cancel sales cycles and because we cannot predict the timing or duration of such acquisitions, our results of operations could be materially impacted.</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19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and inclusion.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 delay or prevent us from achieving our business and/or development objectives and 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We may be unable to attract and retain suitably qualified individuals who are capable of meeting our growing technical, operational, and managerial requirements, including managing employees and contractors remotely, or we may be required to pay increased compensation in order to do so.</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6" w:name="page77"/>
    <w:bookmarkEnd w:id="76"/>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18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Because of the technical nature of our products and services and the dynamic market in which we compete, any failure to attract, integrate, and retain qualified direct sales, professional services, operations, and product development personnel, as well as our contract workers, could harm our ability to generate sales, deliver consulting services, manage our customers’ cloud environments, or successfully develop new products and enhancements of existing products.</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including, but not limited to, natural catastrophes and terrorism may adversely impact the P&amp;C insurance industry, preventing us from expanding or maintaining our existing customer base and increasing our revenue.</w:t>
      </w:r>
    </w:p>
    <w:p>
      <w:pPr>
        <w:spacing w:after="0" w:line="186"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epidemics, pandemics, and fires. Global warming trends and other environmental factors are contributing to an increase in erratic weather patterns globally and intensifying the impact of certain types of catastrophes. Moreover, acts of terrorism or war could cause disruptions to our business or our customers’ businesses or the economy as a whole. The risks associated with natural catastrophes and terrorism are inherently unpredictable, and it is difficult to forecast the timing of such events or estimate the amount of losses they will generate. In recent years, for example, parts of the United States suffered extensive damage due to multiple hurricanes and fires and Australia experienced extensive damage due to fires.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revenue, results of operations and cash flows are subject to fluctuations due to changes in foreign currency exchange rates, particularly changes in the Argentine Peso, Australian Dollar, Brazilian Real, British Pound, Canadian Dollar, Danish Kroner, Euro, Indian Rupee, Japanese Yen, Malaysian Ringgit, New Zealand Dollar, Polish Zloty, Russian Ruble, and Swiss Franc.</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volatility of exchange rates depends on many factors that we cannot forecast with reliable accuracy. Although we believe our operating activities act as a natural hedge for a substantial portion of our foreign currency exposure at the cash flow or operating income level because we typically collect revenue and incur costs in the currency of the location in which we provide our applications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and operating income, which could have an adverse effect on our stock price. We will continue to experience fluctuations in foreign currency exchange rates, which, if material, may harm our revenue or results of operations.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and other natural catastrophic events, and to interruption by man-made problems such as computer viruses.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corporate headquarters and the majority of our operations are located in the San Francisco Bay Area, a region known for seismic activity. A significant natural disaster, such as an earthquake, tsunami, fire, flood, epidemic, or pandemic, such as the COVID-19 pandemic, could have a material adverse impact on our business, results of operations, and financial condition. In addition, our information technology systems are vulnerable to computer viruses, break-ins, and similar disruptions from unauthorized tampering. To the extent that such disruptions result in delays or cancellations of customer orders or collections, or the deployment or availability of our services and products, our business, results of operations, and financial condition would be adversely affected.</w:t>
      </w:r>
    </w:p>
    <w:p>
      <w:pPr>
        <w:spacing w:after="0" w:line="22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9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Repurchases of Equity Securities by the Company during the three months ended October 31, 2020 was as follows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7" w:name="page78"/>
    <w:bookmarkEnd w:id="77"/>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tcPr>
          <w:p>
            <w:pPr>
              <w:spacing w:after="0"/>
              <w:rPr>
                <w:sz w:val="16"/>
                <w:szCs w:val="16"/>
                <w:color w:val="auto"/>
              </w:rPr>
            </w:pPr>
          </w:p>
        </w:tc>
        <w:tc>
          <w:tcPr>
            <w:tcW w:w="1640" w:type="dxa"/>
            <w:vAlign w:val="bottom"/>
            <w:tcBorders>
              <w:top w:val="single" w:sz="8" w:color="auto"/>
              <w:right w:val="single" w:sz="8" w:color="auto"/>
            </w:tcBorders>
          </w:tcPr>
          <w:p>
            <w:pPr>
              <w:spacing w:after="0"/>
              <w:rPr>
                <w:sz w:val="16"/>
                <w:szCs w:val="16"/>
                <w:color w:val="auto"/>
              </w:rPr>
            </w:pPr>
          </w:p>
        </w:tc>
        <w:tc>
          <w:tcPr>
            <w:tcW w:w="1640" w:type="dxa"/>
            <w:vAlign w:val="bottom"/>
            <w:tcBorders>
              <w:top w:val="single" w:sz="8" w:color="auto"/>
              <w:right w:val="single" w:sz="8" w:color="auto"/>
            </w:tcBorders>
          </w:tcPr>
          <w:p>
            <w:pPr>
              <w:spacing w:after="0"/>
              <w:rPr>
                <w:sz w:val="16"/>
                <w:szCs w:val="16"/>
                <w:color w:val="auto"/>
              </w:rPr>
            </w:pPr>
          </w:p>
        </w:tc>
        <w:tc>
          <w:tcPr>
            <w:tcW w:w="212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0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21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1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of Shares That May Yet</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vMerge w:val="restart"/>
          </w:tcPr>
          <w:p>
            <w:pPr>
              <w:ind w:left="16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40" w:type="dxa"/>
            <w:vAlign w:val="bottom"/>
            <w:tcBorders>
              <w:right w:val="single" w:sz="8" w:color="auto"/>
            </w:tcBorders>
            <w:vMerge w:val="continue"/>
          </w:tcPr>
          <w:p>
            <w:pPr>
              <w:spacing w:after="0"/>
              <w:rPr>
                <w:sz w:val="15"/>
                <w:szCs w:val="15"/>
                <w:color w:val="auto"/>
              </w:rPr>
            </w:pPr>
          </w:p>
        </w:tc>
        <w:tc>
          <w:tcPr>
            <w:tcW w:w="1640" w:type="dxa"/>
            <w:vAlign w:val="bottom"/>
            <w:tcBorders>
              <w:right w:val="single" w:sz="8" w:color="auto"/>
            </w:tcBorders>
            <w:vMerge w:val="continue"/>
          </w:tcPr>
          <w:p>
            <w:pPr>
              <w:spacing w:after="0"/>
              <w:rPr>
                <w:sz w:val="15"/>
                <w:szCs w:val="15"/>
                <w:color w:val="auto"/>
              </w:rPr>
            </w:pPr>
          </w:p>
        </w:tc>
        <w:tc>
          <w:tcPr>
            <w:tcW w:w="21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1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Be Purchased Under The</w:t>
            </w: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212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(1)</w:t>
            </w:r>
          </w:p>
        </w:tc>
        <w:tc>
          <w:tcPr>
            <w:tcW w:w="2100" w:type="dxa"/>
            <w:vAlign w:val="bottom"/>
            <w:tcBorders>
              <w:bottom w:val="single" w:sz="8" w:color="auto"/>
              <w:right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6"/>
              </w:rPr>
              <w:t xml:space="preserve">Plans or Programs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August 1, 2020 - August 31, 2020</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September 1, 2020 - September 30, 2020</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2020 - October 31, 2020</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48,997</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$102.05</w:t>
            </w:r>
          </w:p>
        </w:tc>
        <w:tc>
          <w:tcPr>
            <w:tcW w:w="2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48,997</w:t>
            </w:r>
          </w:p>
        </w:tc>
        <w:tc>
          <w:tcPr>
            <w:tcW w:w="2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$195,000</w:t>
            </w:r>
          </w:p>
        </w:tc>
        <w:tc>
          <w:tcPr>
            <w:tcW w:w="0" w:type="dxa"/>
            <w:vAlign w:val="bottom"/>
          </w:tcPr>
          <w:p>
            <w:pPr>
              <w:spacing w:after="0"/>
              <w:rPr>
                <w:sz w:val="1"/>
                <w:szCs w:val="1"/>
                <w:color w:val="auto"/>
              </w:rPr>
            </w:pP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48,997</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$102.05</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48,997</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$195,000</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right="120" w:firstLine="8"/>
        <w:spacing w:after="0" w:line="254" w:lineRule="auto"/>
        <w:tabs>
          <w:tab w:leader="none" w:pos="181"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October 7, 2020, we announced that our board of directors authorized and approved a share repurchase program of up to $200.0 million of our outstanding stock. We began repurchasing shares under this program during the first quarter of fiscal year 2021. As of October 31, 2020, we had approximately $195.0 million remaining for future share repurchases under the share repurchase program. The stock repurchase program does not obligate us to repurchase any dollar amount or number of shares, and the program may be suspended or discontinued at any time. There is no stated expiration for the program.</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83" w:right="319" w:bottom="1440" w:gutter="0" w:footer="0" w:header="0"/>
        </w:sectPr>
      </w:pPr>
    </w:p>
    <w:bookmarkStart w:id="78" w:name="page79"/>
    <w:bookmarkEnd w:id="78"/>
    <w:p>
      <w:pPr>
        <w:ind w:left="413"/>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73"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760" w:type="dxa"/>
            <w:vAlign w:val="bottom"/>
            <w:gridSpan w:val="3"/>
          </w:tcPr>
          <w:p>
            <w:pPr>
              <w:jc w:val="center"/>
              <w:ind w:right="628"/>
              <w:spacing w:after="0"/>
              <w:rPr>
                <w:sz w:val="20"/>
                <w:szCs w:val="20"/>
                <w:color w:val="auto"/>
              </w:rPr>
            </w:pPr>
            <w:r>
              <w:rPr>
                <w:rFonts w:ascii="Times New Roman" w:cs="Times New Roman" w:eastAsia="Times New Roman" w:hAnsi="Times New Roman"/>
                <w:sz w:val="18"/>
                <w:szCs w:val="18"/>
                <w:color w:val="auto"/>
                <w:w w:val="99"/>
              </w:rPr>
              <w:t>The exhibits listed below are filed or incorporated by reference as part of this Report.</w:t>
            </w: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40" w:type="dxa"/>
            <w:vAlign w:val="bottom"/>
            <w:vMerge w:val="restart"/>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vMerge w:val="restart"/>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60" w:type="dxa"/>
            <w:vAlign w:val="bottom"/>
          </w:tcPr>
          <w:p>
            <w:pPr>
              <w:spacing w:after="0"/>
              <w:rPr>
                <w:sz w:val="11"/>
                <w:szCs w:val="11"/>
                <w:color w:val="auto"/>
              </w:rPr>
            </w:pPr>
          </w:p>
        </w:tc>
        <w:tc>
          <w:tcPr>
            <w:tcW w:w="2640" w:type="dxa"/>
            <w:vAlign w:val="bottom"/>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From</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vMerge w:val="continue"/>
          </w:tcPr>
          <w:p>
            <w:pPr>
              <w:spacing w:after="0"/>
              <w:rPr>
                <w:sz w:val="11"/>
                <w:szCs w:val="11"/>
                <w:color w:val="auto"/>
              </w:rPr>
            </w:pPr>
          </w:p>
        </w:tc>
        <w:tc>
          <w:tcPr>
            <w:tcW w:w="4260" w:type="dxa"/>
            <w:vAlign w:val="bottom"/>
            <w:vMerge w:val="restart"/>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40" w:type="dxa"/>
            <w:vAlign w:val="bottom"/>
          </w:tcPr>
          <w:p>
            <w:pPr>
              <w:jc w:val="center"/>
              <w:ind w:left="788"/>
              <w:spacing w:after="0" w:line="135" w:lineRule="exact"/>
              <w:rPr>
                <w:sz w:val="20"/>
                <w:szCs w:val="20"/>
                <w:color w:val="auto"/>
              </w:rPr>
            </w:pPr>
            <w:r>
              <w:rPr>
                <w:rFonts w:ascii="Times New Roman" w:cs="Times New Roman" w:eastAsia="Times New Roman" w:hAnsi="Times New Roman"/>
                <w:sz w:val="14"/>
                <w:szCs w:val="14"/>
                <w:b w:val="1"/>
                <w:bCs w:val="1"/>
                <w:color w:val="auto"/>
              </w:rPr>
              <w:t>Reference From</w:t>
            </w: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0"/>
        </w:trPr>
        <w:tc>
          <w:tcPr>
            <w:tcW w:w="86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60" w:type="dxa"/>
            <w:vAlign w:val="bottom"/>
            <w:vMerge w:val="continue"/>
          </w:tcPr>
          <w:p>
            <w:pPr>
              <w:spacing w:after="0"/>
              <w:rPr>
                <w:sz w:val="16"/>
                <w:szCs w:val="16"/>
                <w:color w:val="auto"/>
              </w:rPr>
            </w:pPr>
          </w:p>
        </w:tc>
        <w:tc>
          <w:tcPr>
            <w:tcW w:w="264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13"/>
          </w:cols>
          <w:pgMar w:left="247" w:top="283" w:right="339" w:bottom="1440" w:gutter="0" w:footer="0" w:header="0"/>
        </w:sectPr>
      </w:pPr>
    </w:p>
    <w:tbl>
      <w:tblPr>
        <w:tblLayout w:type="fixed"/>
        <w:tblInd w:w="553" w:type="dxa"/>
        <w:tblCellMar>
          <w:top w:w="0" w:type="dxa"/>
          <w:left w:w="0" w:type="dxa"/>
          <w:bottom w:w="0" w:type="dxa"/>
          <w:right w:w="0" w:type="dxa"/>
        </w:tblCellMar>
      </w:tblPr>
      <w:tr>
        <w:trPr>
          <w:trHeight w:val="223"/>
        </w:trPr>
        <w:tc>
          <w:tcPr>
            <w:tcW w:w="520" w:type="dxa"/>
            <w:vAlign w:val="bottom"/>
          </w:tcPr>
          <w:p>
            <w:pPr>
              <w:jc w:val="right"/>
              <w:ind w:right="210"/>
              <w:spacing w:after="0"/>
              <w:rPr>
                <w:rFonts w:ascii="Times New Roman" w:cs="Times New Roman" w:eastAsia="Times New Roman" w:hAnsi="Times New Roman"/>
                <w:sz w:val="18"/>
                <w:szCs w:val="18"/>
                <w:u w:val="single" w:color="auto"/>
                <w:color w:val="0000FF"/>
                <w:w w:val="88"/>
              </w:rPr>
            </w:pPr>
            <w:hyperlink r:id="rId93">
              <w:r>
                <w:rPr>
                  <w:rFonts w:ascii="Times New Roman" w:cs="Times New Roman" w:eastAsia="Times New Roman" w:hAnsi="Times New Roman"/>
                  <w:sz w:val="18"/>
                  <w:szCs w:val="18"/>
                  <w:u w:val="single" w:color="auto"/>
                  <w:color w:val="0000FF"/>
                  <w:w w:val="88"/>
                </w:rPr>
                <w:t>3.1</w:t>
              </w:r>
            </w:hyperlink>
          </w:p>
        </w:tc>
        <w:tc>
          <w:tcPr>
            <w:tcW w:w="4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r>
      <w:tr>
        <w:trPr>
          <w:trHeight w:val="230"/>
        </w:trPr>
        <w:tc>
          <w:tcPr>
            <w:tcW w:w="520" w:type="dxa"/>
            <w:vAlign w:val="bottom"/>
          </w:tcPr>
          <w:p>
            <w:pPr>
              <w:jc w:val="right"/>
              <w:ind w:right="210"/>
              <w:spacing w:after="0"/>
              <w:rPr>
                <w:rFonts w:ascii="Times New Roman" w:cs="Times New Roman" w:eastAsia="Times New Roman" w:hAnsi="Times New Roman"/>
                <w:sz w:val="18"/>
                <w:szCs w:val="18"/>
                <w:u w:val="single" w:color="auto"/>
                <w:color w:val="0000FF"/>
                <w:w w:val="88"/>
              </w:rPr>
            </w:pPr>
            <w:hyperlink r:id="rId94">
              <w:r>
                <w:rPr>
                  <w:rFonts w:ascii="Times New Roman" w:cs="Times New Roman" w:eastAsia="Times New Roman" w:hAnsi="Times New Roman"/>
                  <w:sz w:val="18"/>
                  <w:szCs w:val="18"/>
                  <w:u w:val="single" w:color="auto"/>
                  <w:color w:val="0000FF"/>
                  <w:w w:val="88"/>
                </w:rPr>
                <w:t>3.2</w:t>
              </w:r>
            </w:hyperlink>
          </w:p>
        </w:tc>
        <w:tc>
          <w:tcPr>
            <w:tcW w:w="4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Amended and Restated Bylaws</w:t>
            </w:r>
          </w:p>
        </w:tc>
      </w:tr>
      <w:tr>
        <w:trPr>
          <w:trHeight w:val="229"/>
        </w:trPr>
        <w:tc>
          <w:tcPr>
            <w:tcW w:w="520" w:type="dxa"/>
            <w:vAlign w:val="bottom"/>
          </w:tcPr>
          <w:p>
            <w:pPr>
              <w:jc w:val="right"/>
              <w:ind w:right="210"/>
              <w:spacing w:after="0"/>
              <w:rPr>
                <w:rFonts w:ascii="Times New Roman" w:cs="Times New Roman" w:eastAsia="Times New Roman" w:hAnsi="Times New Roman"/>
                <w:sz w:val="18"/>
                <w:szCs w:val="18"/>
                <w:u w:val="single" w:color="auto"/>
                <w:color w:val="0000FF"/>
                <w:w w:val="88"/>
              </w:rPr>
            </w:pPr>
            <w:hyperlink r:id="rId95">
              <w:r>
                <w:rPr>
                  <w:rFonts w:ascii="Times New Roman" w:cs="Times New Roman" w:eastAsia="Times New Roman" w:hAnsi="Times New Roman"/>
                  <w:sz w:val="18"/>
                  <w:szCs w:val="18"/>
                  <w:u w:val="single" w:color="auto"/>
                  <w:color w:val="0000FF"/>
                  <w:w w:val="88"/>
                </w:rPr>
                <w:t>4.1</w:t>
              </w:r>
            </w:hyperlink>
          </w:p>
        </w:tc>
        <w:tc>
          <w:tcPr>
            <w:tcW w:w="4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Common Stock certificate of the Registrant</w:t>
            </w:r>
          </w:p>
        </w:tc>
      </w:tr>
      <w:tr>
        <w:trPr>
          <w:trHeight w:val="196"/>
        </w:trPr>
        <w:tc>
          <w:tcPr>
            <w:tcW w:w="520" w:type="dxa"/>
            <w:vAlign w:val="bottom"/>
          </w:tcPr>
          <w:p>
            <w:pPr>
              <w:spacing w:after="0"/>
              <w:rPr>
                <w:sz w:val="17"/>
                <w:szCs w:val="17"/>
                <w:color w:val="auto"/>
              </w:rPr>
            </w:pPr>
          </w:p>
        </w:tc>
        <w:tc>
          <w:tcPr>
            <w:tcW w:w="4620" w:type="dxa"/>
            <w:vAlign w:val="bottom"/>
          </w:tcPr>
          <w:p>
            <w:pPr>
              <w:ind w:left="300"/>
              <w:spacing w:after="0" w:line="195" w:lineRule="exact"/>
              <w:rPr>
                <w:sz w:val="20"/>
                <w:szCs w:val="20"/>
                <w:color w:val="auto"/>
              </w:rPr>
            </w:pPr>
            <w:r>
              <w:rPr>
                <w:rFonts w:ascii="Times New Roman" w:cs="Times New Roman" w:eastAsia="Times New Roman" w:hAnsi="Times New Roman"/>
                <w:sz w:val="18"/>
                <w:szCs w:val="18"/>
                <w:color w:val="auto"/>
                <w:w w:val="99"/>
              </w:rPr>
              <w:t>Executive Agreement, by and between Guidewire Software,</w:t>
            </w:r>
          </w:p>
        </w:tc>
      </w:tr>
    </w:tbl>
    <w:p>
      <w:pPr>
        <w:spacing w:after="0" w:line="1" w:lineRule="exact"/>
        <w:rPr>
          <w:sz w:val="20"/>
          <w:szCs w:val="20"/>
          <w:color w:val="auto"/>
        </w:rPr>
      </w:pPr>
    </w:p>
    <w:tbl>
      <w:tblPr>
        <w:tblLayout w:type="fixed"/>
        <w:tblInd w:w="513" w:type="dxa"/>
        <w:tblCellMar>
          <w:top w:w="0" w:type="dxa"/>
          <w:left w:w="0" w:type="dxa"/>
          <w:bottom w:w="0" w:type="dxa"/>
          <w:right w:w="0" w:type="dxa"/>
        </w:tblCellMar>
      </w:tblPr>
      <w:tr>
        <w:trPr>
          <w:trHeight w:val="160"/>
        </w:trPr>
        <w:tc>
          <w:tcPr>
            <w:tcW w:w="580" w:type="dxa"/>
            <w:vAlign w:val="bottom"/>
            <w:vMerge w:val="restart"/>
          </w:tcPr>
          <w:p>
            <w:pPr>
              <w:jc w:val="right"/>
              <w:ind w:right="190"/>
              <w:spacing w:after="0"/>
              <w:rPr>
                <w:rFonts w:ascii="Times New Roman" w:cs="Times New Roman" w:eastAsia="Times New Roman" w:hAnsi="Times New Roman"/>
                <w:sz w:val="18"/>
                <w:szCs w:val="18"/>
                <w:u w:val="single" w:color="auto"/>
                <w:color w:val="0000FF"/>
                <w:w w:val="88"/>
              </w:rPr>
            </w:pPr>
            <w:hyperlink w:anchor="page81">
              <w:r>
                <w:rPr>
                  <w:rFonts w:ascii="Times New Roman" w:cs="Times New Roman" w:eastAsia="Times New Roman" w:hAnsi="Times New Roman"/>
                  <w:sz w:val="18"/>
                  <w:szCs w:val="18"/>
                  <w:u w:val="single" w:color="auto"/>
                  <w:color w:val="0000FF"/>
                  <w:w w:val="88"/>
                </w:rPr>
                <w:t>10.1</w:t>
              </w:r>
            </w:hyperlink>
          </w:p>
        </w:tc>
        <w:tc>
          <w:tcPr>
            <w:tcW w:w="4300" w:type="dxa"/>
            <w:vAlign w:val="bottom"/>
          </w:tcPr>
          <w:p>
            <w:pPr>
              <w:ind w:left="280"/>
              <w:spacing w:after="0" w:line="160" w:lineRule="exact"/>
              <w:rPr>
                <w:sz w:val="20"/>
                <w:szCs w:val="20"/>
                <w:color w:val="auto"/>
              </w:rPr>
            </w:pPr>
            <w:r>
              <w:rPr>
                <w:rFonts w:ascii="Times New Roman" w:cs="Times New Roman" w:eastAsia="Times New Roman" w:hAnsi="Times New Roman"/>
                <w:sz w:val="18"/>
                <w:szCs w:val="18"/>
                <w:color w:val="auto"/>
              </w:rPr>
              <w:t>Inc. and Michael Rosenbaum, dated August 3, 2019, as</w:t>
            </w:r>
          </w:p>
        </w:tc>
        <w:tc>
          <w:tcPr>
            <w:tcW w:w="0" w:type="dxa"/>
            <w:vAlign w:val="bottom"/>
          </w:tcPr>
          <w:p>
            <w:pPr>
              <w:spacing w:after="0"/>
              <w:rPr>
                <w:sz w:val="1"/>
                <w:szCs w:val="1"/>
                <w:color w:val="auto"/>
              </w:rPr>
            </w:pPr>
          </w:p>
        </w:tc>
      </w:tr>
      <w:tr>
        <w:trPr>
          <w:trHeight w:val="135"/>
        </w:trPr>
        <w:tc>
          <w:tcPr>
            <w:tcW w:w="580" w:type="dxa"/>
            <w:vAlign w:val="bottom"/>
            <w:vMerge w:val="continue"/>
          </w:tcPr>
          <w:p>
            <w:pPr>
              <w:spacing w:after="0"/>
              <w:rPr>
                <w:sz w:val="11"/>
                <w:szCs w:val="11"/>
                <w:color w:val="auto"/>
              </w:rPr>
            </w:pPr>
          </w:p>
        </w:tc>
        <w:tc>
          <w:tcPr>
            <w:tcW w:w="4300" w:type="dxa"/>
            <w:vAlign w:val="bottom"/>
            <w:vMerge w:val="restart"/>
          </w:tcPr>
          <w:p>
            <w:pPr>
              <w:ind w:left="280"/>
              <w:spacing w:after="0" w:line="176" w:lineRule="exact"/>
              <w:rPr>
                <w:sz w:val="20"/>
                <w:szCs w:val="20"/>
                <w:color w:val="auto"/>
              </w:rPr>
            </w:pPr>
            <w:r>
              <w:rPr>
                <w:rFonts w:ascii="Times New Roman" w:cs="Times New Roman" w:eastAsia="Times New Roman" w:hAnsi="Times New Roman"/>
                <w:sz w:val="18"/>
                <w:szCs w:val="18"/>
                <w:color w:val="auto"/>
                <w:w w:val="99"/>
              </w:rPr>
              <w:t>amended by First Amendment to Executive Agreement,</w:t>
            </w:r>
          </w:p>
        </w:tc>
        <w:tc>
          <w:tcPr>
            <w:tcW w:w="0" w:type="dxa"/>
            <w:vAlign w:val="bottom"/>
          </w:tcPr>
          <w:p>
            <w:pPr>
              <w:spacing w:after="0"/>
              <w:rPr>
                <w:sz w:val="1"/>
                <w:szCs w:val="1"/>
                <w:color w:val="auto"/>
              </w:rPr>
            </w:pPr>
          </w:p>
        </w:tc>
      </w:tr>
      <w:tr>
        <w:trPr>
          <w:trHeight w:val="41"/>
        </w:trPr>
        <w:tc>
          <w:tcPr>
            <w:tcW w:w="580" w:type="dxa"/>
            <w:vAlign w:val="bottom"/>
          </w:tcPr>
          <w:p>
            <w:pPr>
              <w:spacing w:after="0"/>
              <w:rPr>
                <w:sz w:val="3"/>
                <w:szCs w:val="3"/>
                <w:color w:val="auto"/>
              </w:rPr>
            </w:pPr>
          </w:p>
        </w:tc>
        <w:tc>
          <w:tcPr>
            <w:tcW w:w="4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dated November 4, 2020</w:t>
            </w:r>
          </w:p>
        </w:tc>
        <w:tc>
          <w:tcPr>
            <w:tcW w:w="0" w:type="dxa"/>
            <w:vAlign w:val="bottom"/>
          </w:tcPr>
          <w:p>
            <w:pPr>
              <w:spacing w:after="0"/>
              <w:rPr>
                <w:sz w:val="1"/>
                <w:szCs w:val="1"/>
                <w:color w:val="auto"/>
              </w:rPr>
            </w:pPr>
          </w:p>
        </w:tc>
      </w:tr>
      <w:tr>
        <w:trPr>
          <w:trHeight w:val="180"/>
        </w:trPr>
        <w:tc>
          <w:tcPr>
            <w:tcW w:w="580" w:type="dxa"/>
            <w:vAlign w:val="bottom"/>
            <w:vMerge w:val="restart"/>
          </w:tcPr>
          <w:p>
            <w:pPr>
              <w:jc w:val="right"/>
              <w:ind w:right="190"/>
              <w:spacing w:after="0"/>
              <w:rPr>
                <w:rFonts w:ascii="Times New Roman" w:cs="Times New Roman" w:eastAsia="Times New Roman" w:hAnsi="Times New Roman"/>
                <w:sz w:val="18"/>
                <w:szCs w:val="18"/>
                <w:u w:val="single" w:color="auto"/>
                <w:color w:val="0000FF"/>
                <w:w w:val="88"/>
              </w:rPr>
            </w:pPr>
            <w:hyperlink w:anchor="page95">
              <w:r>
                <w:rPr>
                  <w:rFonts w:ascii="Times New Roman" w:cs="Times New Roman" w:eastAsia="Times New Roman" w:hAnsi="Times New Roman"/>
                  <w:sz w:val="18"/>
                  <w:szCs w:val="18"/>
                  <w:u w:val="single" w:color="auto"/>
                  <w:color w:val="0000FF"/>
                  <w:w w:val="88"/>
                </w:rPr>
                <w:t>31.1</w:t>
              </w:r>
            </w:hyperlink>
          </w:p>
        </w:tc>
        <w:tc>
          <w:tcPr>
            <w:tcW w:w="430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Certification of the Chief Executive Officer pursuant to</w:t>
            </w:r>
          </w:p>
        </w:tc>
        <w:tc>
          <w:tcPr>
            <w:tcW w:w="0" w:type="dxa"/>
            <w:vAlign w:val="bottom"/>
          </w:tcPr>
          <w:p>
            <w:pPr>
              <w:spacing w:after="0"/>
              <w:rPr>
                <w:sz w:val="1"/>
                <w:szCs w:val="1"/>
                <w:color w:val="auto"/>
              </w:rPr>
            </w:pPr>
          </w:p>
        </w:tc>
      </w:tr>
      <w:tr>
        <w:trPr>
          <w:trHeight w:val="135"/>
        </w:trPr>
        <w:tc>
          <w:tcPr>
            <w:tcW w:w="580" w:type="dxa"/>
            <w:vAlign w:val="bottom"/>
            <w:vMerge w:val="continue"/>
          </w:tcPr>
          <w:p>
            <w:pPr>
              <w:spacing w:after="0"/>
              <w:rPr>
                <w:sz w:val="11"/>
                <w:szCs w:val="11"/>
                <w:color w:val="auto"/>
              </w:rPr>
            </w:pPr>
          </w:p>
        </w:tc>
        <w:tc>
          <w:tcPr>
            <w:tcW w:w="4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Section 302 of the Sarbanes-Oxley Act</w:t>
            </w:r>
          </w:p>
        </w:tc>
        <w:tc>
          <w:tcPr>
            <w:tcW w:w="0" w:type="dxa"/>
            <w:vAlign w:val="bottom"/>
          </w:tcPr>
          <w:p>
            <w:pPr>
              <w:spacing w:after="0"/>
              <w:rPr>
                <w:sz w:val="1"/>
                <w:szCs w:val="1"/>
                <w:color w:val="auto"/>
              </w:rPr>
            </w:pPr>
          </w:p>
        </w:tc>
      </w:tr>
      <w:tr>
        <w:trPr>
          <w:trHeight w:val="90"/>
        </w:trPr>
        <w:tc>
          <w:tcPr>
            <w:tcW w:w="580" w:type="dxa"/>
            <w:vAlign w:val="bottom"/>
          </w:tcPr>
          <w:p>
            <w:pPr>
              <w:spacing w:after="0"/>
              <w:rPr>
                <w:sz w:val="7"/>
                <w:szCs w:val="7"/>
                <w:color w:val="auto"/>
              </w:rPr>
            </w:pPr>
          </w:p>
        </w:tc>
        <w:tc>
          <w:tcPr>
            <w:tcW w:w="4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80" w:type="dxa"/>
            <w:vAlign w:val="bottom"/>
            <w:vMerge w:val="restart"/>
          </w:tcPr>
          <w:p>
            <w:pPr>
              <w:jc w:val="right"/>
              <w:ind w:right="190"/>
              <w:spacing w:after="0"/>
              <w:rPr>
                <w:rFonts w:ascii="Times New Roman" w:cs="Times New Roman" w:eastAsia="Times New Roman" w:hAnsi="Times New Roman"/>
                <w:sz w:val="18"/>
                <w:szCs w:val="18"/>
                <w:u w:val="single" w:color="auto"/>
                <w:color w:val="0000FF"/>
                <w:w w:val="88"/>
              </w:rPr>
            </w:pPr>
            <w:hyperlink w:anchor="page96">
              <w:r>
                <w:rPr>
                  <w:rFonts w:ascii="Times New Roman" w:cs="Times New Roman" w:eastAsia="Times New Roman" w:hAnsi="Times New Roman"/>
                  <w:sz w:val="18"/>
                  <w:szCs w:val="18"/>
                  <w:u w:val="single" w:color="auto"/>
                  <w:color w:val="0000FF"/>
                  <w:w w:val="88"/>
                </w:rPr>
                <w:t>31.2</w:t>
              </w:r>
            </w:hyperlink>
          </w:p>
        </w:tc>
        <w:tc>
          <w:tcPr>
            <w:tcW w:w="430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Certification of the Chief Financial Officer pursuant to</w:t>
            </w:r>
          </w:p>
        </w:tc>
        <w:tc>
          <w:tcPr>
            <w:tcW w:w="0" w:type="dxa"/>
            <w:vAlign w:val="bottom"/>
          </w:tcPr>
          <w:p>
            <w:pPr>
              <w:spacing w:after="0"/>
              <w:rPr>
                <w:sz w:val="1"/>
                <w:szCs w:val="1"/>
                <w:color w:val="auto"/>
              </w:rPr>
            </w:pPr>
          </w:p>
        </w:tc>
      </w:tr>
      <w:tr>
        <w:trPr>
          <w:trHeight w:val="135"/>
        </w:trPr>
        <w:tc>
          <w:tcPr>
            <w:tcW w:w="580" w:type="dxa"/>
            <w:vAlign w:val="bottom"/>
            <w:vMerge w:val="continue"/>
          </w:tcPr>
          <w:p>
            <w:pPr>
              <w:spacing w:after="0"/>
              <w:rPr>
                <w:sz w:val="11"/>
                <w:szCs w:val="11"/>
                <w:color w:val="auto"/>
              </w:rPr>
            </w:pPr>
          </w:p>
        </w:tc>
        <w:tc>
          <w:tcPr>
            <w:tcW w:w="43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Section 302 of the Sarbanes-Oxley Act</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4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20" w:type="dxa"/>
        <w:tblCellMar>
          <w:top w:w="0" w:type="dxa"/>
          <w:left w:w="0" w:type="dxa"/>
          <w:bottom w:w="0" w:type="dxa"/>
          <w:right w:w="0" w:type="dxa"/>
        </w:tblCellMar>
      </w:tblPr>
      <w:tr>
        <w:trPr>
          <w:trHeight w:val="223"/>
        </w:trPr>
        <w:tc>
          <w:tcPr>
            <w:tcW w:w="11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10-Q</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March 5, 2020</w:t>
            </w:r>
          </w:p>
        </w:tc>
      </w:tr>
      <w:tr>
        <w:trPr>
          <w:trHeight w:val="230"/>
        </w:trPr>
        <w:tc>
          <w:tcPr>
            <w:tcW w:w="11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34"/>
        </w:trPr>
        <w:tc>
          <w:tcPr>
            <w:tcW w:w="11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9,</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2012</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27" w:lineRule="exact"/>
        <w:rPr>
          <w:sz w:val="20"/>
          <w:szCs w:val="20"/>
          <w:color w:val="auto"/>
        </w:rPr>
      </w:pPr>
    </w:p>
    <w:p>
      <w:pPr>
        <w:sectPr>
          <w:pgSz w:w="11900" w:h="16838" w:orient="portrait"/>
          <w:cols w:equalWidth="0" w:num="2">
            <w:col w:w="5693" w:space="720"/>
            <w:col w:w="4900"/>
          </w:cols>
          <w:pgMar w:left="247" w:top="283" w:right="339" w:bottom="1440" w:gutter="0" w:footer="0" w:header="0"/>
          <w:type w:val="continuous"/>
        </w:sectPr>
      </w:pPr>
    </w:p>
    <w:tbl>
      <w:tblPr>
        <w:tblLayout w:type="fixed"/>
        <w:tblInd w:w="333" w:type="dxa"/>
        <w:tblCellMar>
          <w:top w:w="0" w:type="dxa"/>
          <w:left w:w="0" w:type="dxa"/>
          <w:bottom w:w="0" w:type="dxa"/>
          <w:right w:w="0" w:type="dxa"/>
        </w:tblCellMar>
      </w:tblPr>
      <w:tr>
        <w:trPr>
          <w:trHeight w:val="171"/>
        </w:trPr>
        <w:tc>
          <w:tcPr>
            <w:tcW w:w="860" w:type="dxa"/>
            <w:vAlign w:val="bottom"/>
            <w:vMerge w:val="restart"/>
          </w:tcPr>
          <w:p>
            <w:pPr>
              <w:jc w:val="center"/>
              <w:ind w:right="210"/>
              <w:spacing w:after="0"/>
              <w:rPr>
                <w:rFonts w:ascii="Times New Roman" w:cs="Times New Roman" w:eastAsia="Times New Roman" w:hAnsi="Times New Roman"/>
                <w:sz w:val="18"/>
                <w:szCs w:val="18"/>
                <w:u w:val="single" w:color="auto"/>
                <w:color w:val="0000FF"/>
              </w:rPr>
            </w:pPr>
            <w:hyperlink w:anchor="page97">
              <w:r>
                <w:rPr>
                  <w:rFonts w:ascii="Times New Roman" w:cs="Times New Roman" w:eastAsia="Times New Roman" w:hAnsi="Times New Roman"/>
                  <w:sz w:val="18"/>
                  <w:szCs w:val="18"/>
                  <w:u w:val="single" w:color="auto"/>
                  <w:color w:val="0000FF"/>
                </w:rPr>
                <w:t>32.1*</w:t>
              </w:r>
            </w:hyperlink>
          </w:p>
        </w:tc>
        <w:tc>
          <w:tcPr>
            <w:tcW w:w="482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Certification of the Chief Executive Officer and the Chief</w:t>
            </w:r>
          </w:p>
        </w:tc>
        <w:tc>
          <w:tcPr>
            <w:tcW w:w="162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48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Financial Officer pursuant to Section 906 of the Sarbanes-</w:t>
            </w: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Oxley Act</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101.INS</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6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29"/>
        </w:trPr>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101.SCH</w:t>
            </w: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6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0"/>
        </w:trPr>
        <w:tc>
          <w:tcPr>
            <w:tcW w:w="8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7"/>
              </w:rPr>
              <w:t>101.CAL</w:t>
            </w:r>
          </w:p>
        </w:tc>
        <w:tc>
          <w:tcPr>
            <w:tcW w:w="4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62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101.DEF</w:t>
            </w:r>
          </w:p>
        </w:tc>
        <w:tc>
          <w:tcPr>
            <w:tcW w:w="4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62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7"/>
              </w:rPr>
              <w:t>101.LAB</w:t>
            </w:r>
          </w:p>
        </w:tc>
        <w:tc>
          <w:tcPr>
            <w:tcW w:w="4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62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4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62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60" w:type="dxa"/>
            <w:vAlign w:val="bottom"/>
          </w:tcPr>
          <w:p>
            <w:pPr>
              <w:jc w:val="right"/>
              <w:ind w:right="31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4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48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with applicable taxonomy extension information contained in</w:t>
            </w:r>
          </w:p>
        </w:tc>
        <w:tc>
          <w:tcPr>
            <w:tcW w:w="162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Exhibits 101)</w:t>
            </w: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93" w:hanging="493"/>
        <w:spacing w:after="0" w:line="261" w:lineRule="auto"/>
        <w:tabs>
          <w:tab w:leader="none" w:pos="3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283" w:right="339" w:bottom="1440" w:gutter="0" w:footer="0" w:header="0"/>
          <w:type w:val="continuous"/>
        </w:sectPr>
      </w:pPr>
    </w:p>
    <w:bookmarkStart w:id="79" w:name="page80"/>
    <w:bookmarkEnd w:id="79"/>
    <w:p>
      <w:pPr>
        <w:ind w:left="34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600" w:val="left"/>
          <w:tab w:leader="none" w:pos="5580" w:val="left"/>
        </w:tabs>
        <w:rPr>
          <w:sz w:val="20"/>
          <w:szCs w:val="20"/>
          <w:color w:val="auto"/>
        </w:rPr>
      </w:pPr>
      <w:r>
        <w:rPr>
          <w:rFonts w:ascii="Times New Roman" w:cs="Times New Roman" w:eastAsia="Times New Roman" w:hAnsi="Times New Roman"/>
          <w:sz w:val="18"/>
          <w:szCs w:val="18"/>
          <w:color w:val="auto"/>
        </w:rPr>
        <w:t>Date:</w:t>
        <w:tab/>
        <w:t>December 9, 2020</w:t>
      </w:r>
      <w:r>
        <w:rPr>
          <w:sz w:val="20"/>
          <w:szCs w:val="20"/>
          <w:color w:val="auto"/>
        </w:rPr>
        <w:tab/>
      </w:r>
      <w:r>
        <w:rPr>
          <w:rFonts w:ascii="Times New Roman" w:cs="Times New Roman" w:eastAsia="Times New Roman" w:hAnsi="Times New Roman"/>
          <w:sz w:val="17"/>
          <w:szCs w:val="17"/>
          <w:b w:val="1"/>
          <w:bCs w:val="1"/>
          <w:color w:val="auto"/>
        </w:rPr>
        <w:t>GUIDEWIRE SOFTWARE, INC.</w:t>
      </w:r>
    </w:p>
    <w:p>
      <w:pPr>
        <w:spacing w:after="0" w:line="297" w:lineRule="exact"/>
        <w:rPr>
          <w:sz w:val="20"/>
          <w:szCs w:val="20"/>
          <w:color w:val="auto"/>
        </w:rPr>
      </w:pPr>
    </w:p>
    <w:p>
      <w:pPr>
        <w:ind w:left="560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2829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Jeff Cooper</w:t>
      </w:r>
    </w:p>
    <w:p>
      <w:pPr>
        <w:spacing w:after="0" w:line="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ind w:left="606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720"/>
          </w:cols>
          <w:pgMar w:left="320" w:top="283" w:right="859" w:bottom="1440" w:gutter="0" w:footer="0" w:header="0"/>
        </w:sectPr>
      </w:pPr>
    </w:p>
    <w:bookmarkStart w:id="80" w:name="page81"/>
    <w:bookmarkEnd w:id="80"/>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AGREEMENT</w:t>
      </w:r>
    </w:p>
    <w:p>
      <w:pPr>
        <w:spacing w:after="0" w:line="224" w:lineRule="exact"/>
        <w:rPr>
          <w:sz w:val="20"/>
          <w:szCs w:val="20"/>
          <w:color w:val="auto"/>
        </w:rPr>
      </w:pPr>
    </w:p>
    <w:p>
      <w:pPr>
        <w:ind w:right="520" w:firstLine="648"/>
        <w:spacing w:after="0" w:line="271" w:lineRule="auto"/>
        <w:rPr>
          <w:sz w:val="20"/>
          <w:szCs w:val="20"/>
          <w:color w:val="auto"/>
        </w:rPr>
      </w:pPr>
      <w:r>
        <w:rPr>
          <w:rFonts w:ascii="Times New Roman" w:cs="Times New Roman" w:eastAsia="Times New Roman" w:hAnsi="Times New Roman"/>
          <w:sz w:val="22"/>
          <w:szCs w:val="22"/>
          <w:color w:val="auto"/>
        </w:rPr>
        <w:t>This Executive Agreement (“Agreement”) is made as of the 3rd day of August 2019 (the “Effective Date”), between Guidewire Software, Inc., a Delaware corporation (the “Company”), and Mike Rosenbaum (the “Executive”).</w:t>
      </w:r>
    </w:p>
    <w:p>
      <w:pPr>
        <w:spacing w:after="0" w:line="158" w:lineRule="exact"/>
        <w:rPr>
          <w:sz w:val="20"/>
          <w:szCs w:val="20"/>
          <w:color w:val="auto"/>
        </w:rPr>
      </w:pPr>
    </w:p>
    <w:p>
      <w:pPr>
        <w:ind w:right="80" w:firstLine="648"/>
        <w:spacing w:after="0" w:line="271" w:lineRule="auto"/>
        <w:rPr>
          <w:sz w:val="20"/>
          <w:szCs w:val="20"/>
          <w:color w:val="auto"/>
        </w:rPr>
      </w:pPr>
      <w:r>
        <w:rPr>
          <w:rFonts w:ascii="Times New Roman" w:cs="Times New Roman" w:eastAsia="Times New Roman" w:hAnsi="Times New Roman"/>
          <w:sz w:val="22"/>
          <w:szCs w:val="22"/>
          <w:color w:val="auto"/>
        </w:rPr>
        <w:t>In consideration of the mutual covenants and agreements herein contained and other good and valuable consideration, the receipt and sufficiency of which is hereby acknowledged, the parties agree as follows:</w:t>
      </w:r>
    </w:p>
    <w:p>
      <w:pPr>
        <w:spacing w:after="0" w:line="154" w:lineRule="exact"/>
        <w:rPr>
          <w:sz w:val="20"/>
          <w:szCs w:val="20"/>
          <w:color w:val="auto"/>
        </w:rPr>
      </w:pPr>
    </w:p>
    <w:p>
      <w:pPr>
        <w:ind w:left="220" w:hanging="212"/>
        <w:spacing w:after="0"/>
        <w:tabs>
          <w:tab w:leader="none" w:pos="2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00" w:firstLine="656"/>
        <w:spacing w:after="0" w:line="253" w:lineRule="auto"/>
        <w:tabs>
          <w:tab w:leader="none" w:pos="94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 </w:t>
      </w:r>
      <w:r>
        <w:rPr>
          <w:rFonts w:ascii="Times New Roman" w:cs="Times New Roman" w:eastAsia="Times New Roman" w:hAnsi="Times New Roman"/>
          <w:sz w:val="22"/>
          <w:szCs w:val="22"/>
          <w:color w:val="auto"/>
        </w:rPr>
        <w:t>The Company desires to employ the Executive, and the Executive desires to be employed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terms of this Agreement, until this Agreement is terminated by either party in accordance with the terms hereof. The Executive’s employment with the Company will be “at will,” meaning that the Executive’s employment may be terminated by the Company or the Executive at any time and for any reason.</w:t>
      </w:r>
    </w:p>
    <w:p>
      <w:pPr>
        <w:spacing w:after="0" w:line="175" w:lineRule="exact"/>
        <w:rPr>
          <w:rFonts w:ascii="Times New Roman" w:cs="Times New Roman" w:eastAsia="Times New Roman" w:hAnsi="Times New Roman"/>
          <w:sz w:val="22"/>
          <w:szCs w:val="22"/>
          <w:color w:val="auto"/>
        </w:rPr>
      </w:pPr>
    </w:p>
    <w:p>
      <w:pPr>
        <w:ind w:right="40" w:firstLine="656"/>
        <w:spacing w:after="0" w:line="248" w:lineRule="auto"/>
        <w:tabs>
          <w:tab w:leader="none" w:pos="95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Position</w:t>
      </w:r>
      <w:r>
        <w:rPr>
          <w:rFonts w:ascii="Times New Roman" w:cs="Times New Roman" w:eastAsia="Times New Roman" w:hAnsi="Times New Roman"/>
          <w:sz w:val="22"/>
          <w:szCs w:val="22"/>
          <w:color w:val="auto"/>
        </w:rPr>
        <w:t>. The Executive will serve as the Chief Executive Officer of the Company and will have such powers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duties as may from time to time be prescribed by the Board of Directors of the Company (the “Board of Directors”), provided that such duties are consistent with the Executive’s position. Subject to approval by the Company’s Board of Directors, following the Effective Date, Executive will also be appointed to the Board of Directors as a director, subject to the terms and conditions of the Company’s certificate of incorporation, bylaws and any shareholder approval requirements. While the Executive renders services to the Company, the Executive will not engage in any other employment, consulting or business activity that would create a conflict of interest with the Company.</w:t>
      </w:r>
    </w:p>
    <w:p>
      <w:pPr>
        <w:spacing w:after="0" w:line="181"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Compensation and Related Matters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right="220" w:firstLine="656"/>
        <w:spacing w:after="0" w:line="253" w:lineRule="auto"/>
        <w:tabs>
          <w:tab w:leader="none" w:pos="94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The Executive’s initial annual base salary will be $750,000, subject to redetermination by the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or its Compensation Committee. The annual base salary in effect at any given time is referred to herein as “Base Salary.” The Base Salary will be payable in a manner that is consistent with the Company’s usual payroll practices for senior executives.</w:t>
      </w:r>
    </w:p>
    <w:p>
      <w:pPr>
        <w:spacing w:after="0" w:line="175" w:lineRule="exact"/>
        <w:rPr>
          <w:rFonts w:ascii="Times New Roman" w:cs="Times New Roman" w:eastAsia="Times New Roman" w:hAnsi="Times New Roman"/>
          <w:sz w:val="22"/>
          <w:szCs w:val="22"/>
          <w:color w:val="auto"/>
        </w:rPr>
      </w:pPr>
    </w:p>
    <w:p>
      <w:pPr>
        <w:ind w:firstLine="656"/>
        <w:spacing w:after="0" w:line="266" w:lineRule="auto"/>
        <w:tabs>
          <w:tab w:leader="none" w:pos="954"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Incentive Compensation</w:t>
      </w:r>
      <w:r>
        <w:rPr>
          <w:rFonts w:ascii="Times New Roman" w:cs="Times New Roman" w:eastAsia="Times New Roman" w:hAnsi="Times New Roman"/>
          <w:sz w:val="21"/>
          <w:szCs w:val="21"/>
          <w:color w:val="auto"/>
        </w:rPr>
        <w:t>. The Executive will be eligible to be considered for annual cash incentive compensation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(“Annual Bonus”) as determined by the Board of Directors or its Compensation Committee from time to time (the “Bonus Plan”). The Executive’s initial Annual Bonus target will be 100% of Base Salary. To earn the Annual Bonus, the Executive must be employed by the Company on the day such Annual Bonus is paid. The Bonus Plan may be revised at the discretion of the Board of Directors or its Compensation Committee at any time, and the Executive will be provided written notice of any such revisions.</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94" w:lineRule="exact"/>
        <w:rPr>
          <w:sz w:val="20"/>
          <w:szCs w:val="20"/>
          <w:color w:val="auto"/>
        </w:rPr>
      </w:pPr>
    </w:p>
    <w:p>
      <w:pPr>
        <w:ind w:right="200" w:firstLine="656"/>
        <w:spacing w:after="0" w:line="259" w:lineRule="auto"/>
        <w:tabs>
          <w:tab w:leader="none" w:pos="94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Grant</w:t>
      </w:r>
      <w:r>
        <w:rPr>
          <w:rFonts w:ascii="Times New Roman" w:cs="Times New Roman" w:eastAsia="Times New Roman" w:hAnsi="Times New Roman"/>
          <w:sz w:val="22"/>
          <w:szCs w:val="22"/>
          <w:color w:val="auto"/>
        </w:rPr>
        <w:t>. Subject to approval by the Company’s Board of Directors, the Executive will be granted an award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Stock Units (the “RSUs”) with a value equivalent to $17,000,000 under the Company’s 2011 Stock Plan (the “2011 Plan”).</w:t>
      </w:r>
    </w:p>
    <w:p>
      <w:pPr>
        <w:spacing w:after="0" w:line="197"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The grant of RSUs will be subject to the terms and conditions of the 2011 Plan and the applicable RSU award agreement as executed by the Executive and the Company (the “RSU Award Agreement”), the terms and conditions of which shall be controlling. The precise number of RSUs granted will be outlined in the RSU Award Agreement and will be calculated applying the Company’s grant conversion policy in effect on the grant date – currently the 90-day average closing share price of the Company’s stock for the quarter ended prior to the grant date, as determined in the Company’s sole discretion according to its standard practice.</w:t>
      </w:r>
    </w:p>
    <w:p>
      <w:pPr>
        <w:spacing w:after="0" w:line="187"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The grant of RSUs shall consist of time-based vesting RSUs with a value equivalent to $7,500,000 (“Time-vesting RSUs”), Company financial-performance-based vesting RSUs with a value equivalent to $5,700,000 (“PSUs”), and total-shareholder-return-based vesting RSUs with a value equivalent to $3,800,000 (“TSRs”). Each type of RSU will be subject to the terms of the RSU Award Agreement, and the related vesting terms outlined therein. The Time-vesting RSUs are anticipated to vest over time, with 25% vesting on September 15, 2020, and 6.25% of the Time-vesting RSUs vesting on each subsequent 15th of March, June, September, and December thereafter, until the Time-vesting RSUs are fully vested after 4 years. The PSUs are anticipated to vest based on the Company’s financial performance for FY20 (applying the metrics agreed by the Compensation Committee for executive PSU grants), with 25% vesting on September 15, 2020, and 6.25% of the PSUs vesting on each subsequent 15th of March, June, September, and December thereafter, until the PSUs are fully vested after 4 years. The TSRs are anticipated to vest at the end of the three-year performance period, based on the relative shareholder return in comparison to a peer group or index selected by the Compensation Committee for executive TSR grants.</w:t>
      </w:r>
    </w:p>
    <w:p>
      <w:pPr>
        <w:spacing w:after="0" w:line="181" w:lineRule="exact"/>
        <w:rPr>
          <w:sz w:val="20"/>
          <w:szCs w:val="20"/>
          <w:color w:val="auto"/>
        </w:rPr>
      </w:pPr>
    </w:p>
    <w:p>
      <w:pPr>
        <w:ind w:right="100" w:firstLine="656"/>
        <w:spacing w:after="0" w:line="259" w:lineRule="auto"/>
        <w:tabs>
          <w:tab w:leader="none" w:pos="95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Benefits</w:t>
      </w:r>
      <w:r>
        <w:rPr>
          <w:rFonts w:ascii="Times New Roman" w:cs="Times New Roman" w:eastAsia="Times New Roman" w:hAnsi="Times New Roman"/>
          <w:sz w:val="22"/>
          <w:szCs w:val="22"/>
          <w:color w:val="auto"/>
        </w:rPr>
        <w:t>. The Executive will be entitled to participate in the Company’s employee benefit plans,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the conditions of such plans and to the Company’s ability to amend and modify such plans. The Executive will be entitled to paid vacation in accordance with the terms of the Company’s vacation policy, as in effect from time to time.</w:t>
      </w:r>
    </w:p>
    <w:p>
      <w:pPr>
        <w:spacing w:after="0" w:line="166"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The Executive’s employment may be terminated under the following circumstances:</w:t>
      </w:r>
    </w:p>
    <w:p>
      <w:pPr>
        <w:spacing w:after="0" w:line="219"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Death</w:t>
      </w:r>
      <w:r>
        <w:rPr>
          <w:rFonts w:ascii="Times New Roman" w:cs="Times New Roman" w:eastAsia="Times New Roman" w:hAnsi="Times New Roman"/>
          <w:sz w:val="22"/>
          <w:szCs w:val="22"/>
          <w:color w:val="auto"/>
        </w:rPr>
        <w:t>. The Executive’s employment will terminate upon the Executive’s death.</w:t>
      </w:r>
    </w:p>
    <w:p>
      <w:pPr>
        <w:spacing w:after="0" w:line="219" w:lineRule="exact"/>
        <w:rPr>
          <w:rFonts w:ascii="Times New Roman" w:cs="Times New Roman" w:eastAsia="Times New Roman" w:hAnsi="Times New Roman"/>
          <w:sz w:val="22"/>
          <w:szCs w:val="22"/>
          <w:color w:val="auto"/>
        </w:rPr>
      </w:pPr>
    </w:p>
    <w:p>
      <w:pPr>
        <w:ind w:firstLine="656"/>
        <w:spacing w:after="0" w:line="266" w:lineRule="auto"/>
        <w:tabs>
          <w:tab w:leader="none" w:pos="954"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Disability. </w:t>
      </w:r>
      <w:r>
        <w:rPr>
          <w:rFonts w:ascii="Times New Roman" w:cs="Times New Roman" w:eastAsia="Times New Roman" w:hAnsi="Times New Roman"/>
          <w:sz w:val="21"/>
          <w:szCs w:val="21"/>
          <w:color w:val="auto"/>
        </w:rPr>
        <w:t>The Company may terminate the Executive’s employment if the Executive is disabled and unable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perform the essential functions of the Executive’s then existing position or positions under this Agreement with or without reasonable accommodation for a period of 180 days (which need not be consecutive) in any 12-month period. Nothing in this Section 3(b) will be construed to waive the Executive’s rights, if any, under existing law including, without limitation, the Family and Medical Leave Act of 1993, 29 U.S.C. §2601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the Americans with Disabilities Act, 42 U.S.C. §12101 </w:t>
      </w:r>
      <w:r>
        <w:rPr>
          <w:rFonts w:ascii="Times New Roman" w:cs="Times New Roman" w:eastAsia="Times New Roman" w:hAnsi="Times New Roman"/>
          <w:sz w:val="21"/>
          <w:szCs w:val="21"/>
          <w:i w:val="1"/>
          <w:iCs w:val="1"/>
          <w:color w:val="auto"/>
        </w:rPr>
        <w:t>et seq.</w:t>
      </w:r>
    </w:p>
    <w:p>
      <w:pPr>
        <w:sectPr>
          <w:pgSz w:w="11900" w:h="16838" w:orient="portrait"/>
          <w:cols w:equalWidth="0" w:num="1">
            <w:col w:w="11200"/>
          </w:cols>
          <w:pgMar w:left="320" w:top="1440" w:right="379" w:bottom="1440" w:gutter="0" w:footer="0" w:header="0"/>
        </w:sectPr>
      </w:pPr>
    </w:p>
    <w:bookmarkStart w:id="82" w:name="page83"/>
    <w:bookmarkEnd w:id="82"/>
    <w:p>
      <w:pPr>
        <w:spacing w:after="0" w:line="194" w:lineRule="exact"/>
        <w:rPr>
          <w:sz w:val="20"/>
          <w:szCs w:val="20"/>
          <w:color w:val="auto"/>
        </w:rPr>
      </w:pPr>
    </w:p>
    <w:p>
      <w:pPr>
        <w:ind w:left="-656" w:right="20" w:firstLine="656"/>
        <w:spacing w:after="0" w:line="245" w:lineRule="auto"/>
        <w:tabs>
          <w:tab w:leader="none" w:pos="28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by Company for Cause</w:t>
      </w:r>
      <w:r>
        <w:rPr>
          <w:rFonts w:ascii="Times New Roman" w:cs="Times New Roman" w:eastAsia="Times New Roman" w:hAnsi="Times New Roman"/>
          <w:sz w:val="22"/>
          <w:szCs w:val="22"/>
          <w:color w:val="auto"/>
        </w:rPr>
        <w:t>. The Company may terminate the Executive’s employment for Cause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determined by the Board of Directors. For purposes of this Agreement, “Cause” means: (i) the Executive’s unauthorized use or disclosure of the Company’s confidential information or trade secrets, which use or disclosure causes material harm to the Company; (ii) the Executive’s material breach of any written agreement between the Executive and the Company; (iii) the Executive’s material failure to comply with the Company’s written policies or rules after receiving written notification of the failure from the Board of Directors and eight days to cure such failure; (iv) the Executive’s conviction of, or plea of “guilty” or “no contest” to, a felony under the laws of the United States or any State; (v) the Executive’s gross misconduct in the performance of his duties; (vi) the Executive’s continuing failure to perform assigned duties after receiving written notification of the failure from the Board of Directors; or (vii) the Executive’s failure to cooperate in good faith with a governmental or internal investigation of the Company or its directors, officers or employees, if the Company has requested the Executive’s cooperation therewith. Before a termination for Cause under subparts 3(c)(ii), (v), (vi), or (vii), if the conduct constituting Cause is reasonably curable, then the Board shall provide the Executive with specific written notice of the category and nature of the conduct alleged to constitute Cause, and the Executive shall have a period not less than ten (10) business days following such notice (the “Cure Period”), to remedy the conduct alleged to constitute Cause. If the Executive cures the Cause condition during the Cure Period, then Cause will be deemed not to have occurred.</w:t>
      </w:r>
    </w:p>
    <w:p>
      <w:pPr>
        <w:spacing w:after="0" w:line="189" w:lineRule="exact"/>
        <w:rPr>
          <w:rFonts w:ascii="Times New Roman" w:cs="Times New Roman" w:eastAsia="Times New Roman" w:hAnsi="Times New Roman"/>
          <w:sz w:val="22"/>
          <w:szCs w:val="22"/>
          <w:color w:val="auto"/>
        </w:rPr>
      </w:pPr>
    </w:p>
    <w:p>
      <w:pPr>
        <w:jc w:val="both"/>
        <w:ind w:left="-656" w:right="180" w:firstLine="656"/>
        <w:spacing w:after="0" w:line="253" w:lineRule="auto"/>
        <w:tabs>
          <w:tab w:leader="none" w:pos="29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Without Cause</w:t>
      </w:r>
      <w:r>
        <w:rPr>
          <w:rFonts w:ascii="Times New Roman" w:cs="Times New Roman" w:eastAsia="Times New Roman" w:hAnsi="Times New Roman"/>
          <w:sz w:val="22"/>
          <w:szCs w:val="22"/>
          <w:color w:val="auto"/>
        </w:rPr>
        <w:t>. The Company may terminate the Executive’s employment at any time without 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termination by the Company of the Executive’s employment that does not constitute a termination for Cause under Section 3(c) and does not result from the death or disability of the Executive under Sections 3(a) or (b) will be deemed a termination without Cause.</w:t>
      </w:r>
    </w:p>
    <w:p>
      <w:pPr>
        <w:spacing w:after="0" w:line="175" w:lineRule="exact"/>
        <w:rPr>
          <w:rFonts w:ascii="Times New Roman" w:cs="Times New Roman" w:eastAsia="Times New Roman" w:hAnsi="Times New Roman"/>
          <w:sz w:val="22"/>
          <w:szCs w:val="22"/>
          <w:color w:val="auto"/>
        </w:rPr>
      </w:pPr>
    </w:p>
    <w:p>
      <w:pPr>
        <w:ind w:left="-656" w:firstLine="656"/>
        <w:spacing w:after="0" w:line="246" w:lineRule="auto"/>
        <w:tabs>
          <w:tab w:leader="none" w:pos="28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by the Executive</w:t>
      </w:r>
      <w:r>
        <w:rPr>
          <w:rFonts w:ascii="Times New Roman" w:cs="Times New Roman" w:eastAsia="Times New Roman" w:hAnsi="Times New Roman"/>
          <w:sz w:val="22"/>
          <w:szCs w:val="22"/>
          <w:color w:val="auto"/>
        </w:rPr>
        <w:t>. The Executive may terminate employment at any time for any reason, including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limited to Good Reason. For purposes of this Agreement, “Good Reason” means that the Executive has complied with the “Good Reason Process” (hereinafter defined) following the occurrence of any of the following events: (i) a material diminution in the Executive’s responsibilities, authority or duties; (ii) a material diminution in the Executive’s Base Salary; (iii) a material change in the geographic location at which the Executive provides services to the Company, which shall be deemed to be such a change that lengthens the Executive’s one-way commute distance by more than thirty (30) miles; or (iv) the material breach of this Agreement by the Company. “Good Reason Process” means that (1) the Executive reasonably determines in good faith that a “Good Reason” condition has occurred; (2) the Executive notifies the Company in writing of the first occurrence of the Good Reason condition within 60 days of the first occurrence of such condition; (3) the Executive cooperates in good faith with the Company’s efforts, within a Cure Period, to remedy the condition; (4) notwithstanding such efforts, the Good Reason condition continues to exist; and (5) the Executive terminates employment within 60 days after the end of the Cure Period. If the Company cures the Good Reason condition during the Cure Period, Good Reason will be deemed not to have occurred.</w:t>
      </w:r>
    </w:p>
    <w:p>
      <w:pPr>
        <w:sectPr>
          <w:pgSz w:w="11900" w:h="16838" w:orient="portrait"/>
          <w:cols w:equalWidth="0" w:num="1">
            <w:col w:w="10584"/>
          </w:cols>
          <w:pgMar w:left="976" w:top="1440" w:right="339" w:bottom="1440" w:gutter="0" w:footer="0" w:header="0"/>
        </w:sectPr>
      </w:pPr>
    </w:p>
    <w:bookmarkStart w:id="83" w:name="page84"/>
    <w:bookmarkEnd w:id="83"/>
    <w:p>
      <w:pPr>
        <w:spacing w:after="0" w:line="194" w:lineRule="exact"/>
        <w:rPr>
          <w:sz w:val="20"/>
          <w:szCs w:val="20"/>
          <w:color w:val="auto"/>
        </w:rPr>
      </w:pPr>
    </w:p>
    <w:p>
      <w:pPr>
        <w:ind w:left="-8" w:right="160" w:firstLine="656"/>
        <w:spacing w:after="0" w:line="253" w:lineRule="auto"/>
        <w:tabs>
          <w:tab w:leader="none" w:pos="91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Except for termination as specified in Section 3(a), any termination of the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by the Company or any such termination by the Executive will be communicated by written Notice of Termination to the other party hereto. For purposes of this Agreement, a “Notice of Termination” means a notice that indicates the specific termination provision in this Agreement relied upon.</w:t>
      </w:r>
    </w:p>
    <w:p>
      <w:pPr>
        <w:spacing w:after="0" w:line="202" w:lineRule="exact"/>
        <w:rPr>
          <w:rFonts w:ascii="Times New Roman" w:cs="Times New Roman" w:eastAsia="Times New Roman" w:hAnsi="Times New Roman"/>
          <w:sz w:val="22"/>
          <w:szCs w:val="22"/>
          <w:color w:val="auto"/>
        </w:rPr>
      </w:pPr>
    </w:p>
    <w:p>
      <w:pPr>
        <w:ind w:left="-8" w:firstLine="656"/>
        <w:spacing w:after="0" w:line="247" w:lineRule="auto"/>
        <w:tabs>
          <w:tab w:leader="none" w:pos="94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Date of Termination</w:t>
      </w:r>
      <w:r>
        <w:rPr>
          <w:rFonts w:ascii="Times New Roman" w:cs="Times New Roman" w:eastAsia="Times New Roman" w:hAnsi="Times New Roman"/>
          <w:sz w:val="22"/>
          <w:szCs w:val="22"/>
          <w:color w:val="auto"/>
        </w:rPr>
        <w:t>. “Date of Termination” means: (i) if the Executive’s employment is terminated by death,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of Executive’s death; (ii) if the Executive’s employment is terminated on account of disability under Section 3(b) or by the Company for Cause under Section 3(c), the date on which Notice of Termination is given; (iii) if the Executive’s employment is terminated by the Company under Section 3(d), 30 days after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either party gives a Notice of Termination, the Company may unilaterally accelerate the Date of Termination.</w:t>
      </w:r>
    </w:p>
    <w:p>
      <w:pPr>
        <w:spacing w:after="0" w:line="181" w:lineRule="exact"/>
        <w:rPr>
          <w:rFonts w:ascii="Times New Roman" w:cs="Times New Roman" w:eastAsia="Times New Roman" w:hAnsi="Times New Roman"/>
          <w:sz w:val="22"/>
          <w:szCs w:val="22"/>
          <w:color w:val="auto"/>
        </w:rPr>
      </w:pPr>
    </w:p>
    <w:p>
      <w:pPr>
        <w:ind w:left="212" w:hanging="212"/>
        <w:spacing w:after="0"/>
        <w:tabs>
          <w:tab w:leader="none" w:pos="21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Compensation Upon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8" w:right="20" w:firstLine="656"/>
        <w:spacing w:after="0" w:line="248" w:lineRule="auto"/>
        <w:tabs>
          <w:tab w:leader="none" w:pos="93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Generally</w:t>
      </w:r>
      <w:r>
        <w:rPr>
          <w:rFonts w:ascii="Times New Roman" w:cs="Times New Roman" w:eastAsia="Times New Roman" w:hAnsi="Times New Roman"/>
          <w:sz w:val="22"/>
          <w:szCs w:val="22"/>
          <w:color w:val="auto"/>
        </w:rPr>
        <w:t>. If the Executive’s employment with the Company is terminated for any reason,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pay or provide to the Executive (or to Executive’s authorized representative or estate), on or before the time required by law but in no event more than 30 days after the Executive’s Date of Termination, any Base Salary earned through the Date of Termination, unpaid expense reimbursements and unused vacation that accrued through the Date of Termination (collectively, the “Accrued Benefits”). Upon any termination of the Executive’s employment for any reason, the Executive will tender to the Company the Executive’s resignation from all positions with the Company and its subsidiaries, including without limitation, any positions as a member of the Board of Directors of the Company and/or any of its subsidiaries.</w:t>
      </w:r>
    </w:p>
    <w:p>
      <w:pPr>
        <w:spacing w:after="0" w:line="181" w:lineRule="exact"/>
        <w:rPr>
          <w:rFonts w:ascii="Times New Roman" w:cs="Times New Roman" w:eastAsia="Times New Roman" w:hAnsi="Times New Roman"/>
          <w:sz w:val="22"/>
          <w:szCs w:val="22"/>
          <w:color w:val="auto"/>
        </w:rPr>
      </w:pPr>
    </w:p>
    <w:p>
      <w:pPr>
        <w:ind w:left="-8" w:right="20" w:firstLine="656"/>
        <w:spacing w:after="0" w:line="253" w:lineRule="auto"/>
        <w:tabs>
          <w:tab w:leader="none" w:pos="94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by the Company Without Cause</w:t>
      </w:r>
      <w:r>
        <w:rPr>
          <w:rFonts w:ascii="Times New Roman" w:cs="Times New Roman" w:eastAsia="Times New Roman" w:hAnsi="Times New Roman"/>
          <w:sz w:val="22"/>
          <w:szCs w:val="22"/>
          <w:color w:val="auto"/>
        </w:rPr>
        <w:t>. If the Executive’s employment is terminated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Cause as provided in Section 3(d), then the Company will pay the Executive the Accrued Benefits. In addition, subject to the Executive signing a general release of claims in favor of the Company and related persons and entities in a form and manner satisfactory to the Company (the “Release”) and the expiration of the seven-day revocation period for the Release:</w:t>
      </w:r>
    </w:p>
    <w:p>
      <w:pPr>
        <w:spacing w:after="0" w:line="71" w:lineRule="exact"/>
        <w:rPr>
          <w:sz w:val="20"/>
          <w:szCs w:val="20"/>
          <w:color w:val="auto"/>
        </w:rPr>
      </w:pPr>
    </w:p>
    <w:p>
      <w:pPr>
        <w:ind w:left="-8" w:right="20" w:firstLine="656"/>
        <w:spacing w:after="0" w:line="248" w:lineRule="auto"/>
        <w:tabs>
          <w:tab w:leader="none" w:pos="89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the Executive an amount equal to the sum of the Executive’s Base Salary and then-current target Annual Bonus (the “Severance Amount”). The Severance Amount will be paid out in a lump sum, in accordance with the Company’s payroll practices, within 60 days after the Date of Termination; provided, however, that if the 60-day period begins in one calendar year and ends in a second calendar year, the Severance Amount will begin to be paid in the second calendar year. Solely for purposes of Section 409A of the Internal Revenue Code of 1986, as amended (the “Code”), each installment payment (if any) is considered a separate payment;</w:t>
      </w:r>
    </w:p>
    <w:p>
      <w:pPr>
        <w:sectPr>
          <w:pgSz w:w="11900" w:h="16838" w:orient="portrait"/>
          <w:cols w:equalWidth="0" w:num="1">
            <w:col w:w="11212"/>
          </w:cols>
          <w:pgMar w:left="328" w:top="1440" w:right="359" w:bottom="1440" w:gutter="0" w:footer="0" w:header="0"/>
        </w:sectPr>
      </w:pPr>
    </w:p>
    <w:bookmarkStart w:id="84" w:name="page85"/>
    <w:bookmarkEnd w:id="84"/>
    <w:p>
      <w:pPr>
        <w:spacing w:after="0" w:line="90" w:lineRule="exact"/>
        <w:rPr>
          <w:sz w:val="20"/>
          <w:szCs w:val="20"/>
          <w:color w:val="auto"/>
        </w:rPr>
      </w:pPr>
    </w:p>
    <w:p>
      <w:pPr>
        <w:ind w:right="100" w:firstLine="656"/>
        <w:spacing w:after="0" w:line="252" w:lineRule="auto"/>
        <w:tabs>
          <w:tab w:leader="none" w:pos="96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Company without Cause as provided in Section 3(d) prior to the first anniversary of the Effective Date, notwithstanding anything to the contrary in the applicable restricted stock unit agreement, 50% of the outstanding Time-vesting RSUs, as defined in Section 2(c) and held by the Executive, will be fully accelerated and vested as of the Date of Termination;</w:t>
      </w:r>
    </w:p>
    <w:p>
      <w:pPr>
        <w:spacing w:after="0" w:line="314" w:lineRule="exact"/>
        <w:rPr>
          <w:rFonts w:ascii="Times New Roman" w:cs="Times New Roman" w:eastAsia="Times New Roman" w:hAnsi="Times New Roman"/>
          <w:sz w:val="22"/>
          <w:szCs w:val="22"/>
          <w:color w:val="auto"/>
        </w:rPr>
      </w:pPr>
    </w:p>
    <w:p>
      <w:pPr>
        <w:ind w:right="40" w:firstLine="656"/>
        <w:spacing w:after="0" w:line="252" w:lineRule="auto"/>
        <w:tabs>
          <w:tab w:leader="none" w:pos="102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Company without Cause as provided in Section 3(d) at any point between the first and second anniversary of the Effective Date, notwithstanding anything to the contrary in the applicable restricted stock unit agreement, 25% of the outstanding Time-vesting RSUs, as defined in Section 2(c) and held by the Executive, will be fully accelerated and vested as of the Date of Termination; and</w:t>
      </w:r>
    </w:p>
    <w:p>
      <w:pPr>
        <w:spacing w:after="0" w:line="71" w:lineRule="exact"/>
        <w:rPr>
          <w:rFonts w:ascii="Times New Roman" w:cs="Times New Roman" w:eastAsia="Times New Roman" w:hAnsi="Times New Roman"/>
          <w:sz w:val="22"/>
          <w:szCs w:val="22"/>
          <w:color w:val="auto"/>
        </w:rPr>
      </w:pPr>
    </w:p>
    <w:p>
      <w:pPr>
        <w:ind w:firstLine="656"/>
        <w:spacing w:after="0" w:line="261" w:lineRule="auto"/>
        <w:tabs>
          <w:tab w:leader="none" w:pos="101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was participating in the Company’s group health plan immediately prior to the Date of Termination, then the Company will, in its sole discretion, either (x) continue to provide health coverage to the Executive or (y) pay to the Executive a lump sum cash payment (at the same time as the Severance Amount) equal to the amount of employer contributions that the Company would have made to provide health insurance to the Executive if the Executive had remained employed by the Company, in either case ((x) or (y)), for a period of 12 months. Notwithstanding the foregoing, in the event the Company elects to continue to provide health coverage to the Executive (in lieu of a cash payment), then the Company may discontinue such coverage in the event that the Executive obtains comparable health coverage prior to the end of the period specified above.</w:t>
      </w:r>
    </w:p>
    <w:p>
      <w:pPr>
        <w:spacing w:after="0" w:line="17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For the avoidance of doubt, the acceleration provided in Sections 4(b)(ii) and 4(b)(iii) shall apply solely with respect to the Time-vesting RSUs granted in connection with Executive’s initial hiring as defined in Section 2(c) above and not to any other or subsequent equity grants (if any).</w:t>
      </w:r>
    </w:p>
    <w:p>
      <w:pPr>
        <w:spacing w:after="0" w:line="169" w:lineRule="exact"/>
        <w:rPr>
          <w:sz w:val="20"/>
          <w:szCs w:val="20"/>
          <w:color w:val="auto"/>
        </w:rPr>
      </w:pPr>
    </w:p>
    <w:p>
      <w:pPr>
        <w:ind w:right="200" w:firstLine="8"/>
        <w:spacing w:after="0" w:line="269" w:lineRule="auto"/>
        <w:tabs>
          <w:tab w:leader="none" w:pos="21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The provisions of this Section 5 set forth certain terms of an agreement reached between the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Company regarding the Executive’s rights and obligations upon the occurrence of a Change in Control of the Company. These provisions are intended to assure and encourage in advance the Executive’s continued attention and dedication to Executive’s assigned duties and Executive’s objectivity during the pendency and after the occurrence of any such event.</w:t>
      </w:r>
    </w:p>
    <w:p>
      <w:pPr>
        <w:spacing w:after="0" w:line="159" w:lineRule="exact"/>
        <w:rPr>
          <w:rFonts w:ascii="Times New Roman" w:cs="Times New Roman" w:eastAsia="Times New Roman" w:hAnsi="Times New Roman"/>
          <w:sz w:val="21"/>
          <w:szCs w:val="21"/>
          <w:color w:val="auto"/>
        </w:rPr>
      </w:pPr>
    </w:p>
    <w:p>
      <w:pPr>
        <w:ind w:right="40" w:firstLine="656"/>
        <w:spacing w:after="0" w:line="248" w:lineRule="auto"/>
        <w:tabs>
          <w:tab w:leader="none" w:pos="942"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 Severance Benefits</w:t>
      </w:r>
      <w:r>
        <w:rPr>
          <w:rFonts w:ascii="Times New Roman" w:cs="Times New Roman" w:eastAsia="Times New Roman" w:hAnsi="Times New Roman"/>
          <w:sz w:val="22"/>
          <w:szCs w:val="22"/>
          <w:color w:val="auto"/>
        </w:rPr>
        <w:t>. These provisions will apply in lieu of, and expressly supersede,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Section 4(b) regarding severance pay and benefits upon a termination of employment, if such termination of employment occurs within 2 months before or 12 months after a Change in Control. These provisions will terminate and be of no further force or effect beginning 12 months after the occurrence of a Change in Control. If within 2 months before or within 12 months after a Change in Control, the Executive’s employment is terminated by the Company without Cause as provided in Section 3(d) or the Executive terminates employment for Good Reason as provided in Section 3(e), then, subject to the signing of the Release by the Executive and the expiration of the seven-day revocation period for the Release,</w:t>
      </w:r>
    </w:p>
    <w:p>
      <w:pPr>
        <w:sectPr>
          <w:pgSz w:w="11900" w:h="16838" w:orient="portrait"/>
          <w:cols w:equalWidth="0" w:num="1">
            <w:col w:w="11240"/>
          </w:cols>
          <w:pgMar w:left="320" w:top="1440" w:right="339" w:bottom="1440" w:gutter="0" w:footer="0" w:header="0"/>
        </w:sectPr>
      </w:pPr>
    </w:p>
    <w:bookmarkStart w:id="85" w:name="page86"/>
    <w:bookmarkEnd w:id="85"/>
    <w:p>
      <w:pPr>
        <w:spacing w:after="0" w:line="90" w:lineRule="exact"/>
        <w:rPr>
          <w:sz w:val="20"/>
          <w:szCs w:val="20"/>
          <w:color w:val="auto"/>
        </w:rPr>
      </w:pPr>
    </w:p>
    <w:p>
      <w:pPr>
        <w:jc w:val="both"/>
        <w:ind w:left="-8" w:right="40" w:firstLine="656"/>
        <w:spacing w:after="0" w:line="249" w:lineRule="auto"/>
        <w:tabs>
          <w:tab w:leader="none" w:pos="89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the Executive an amount equal to 150% of the sum of Executive’s then-current Base Salary and then-current target Annual Bonus (the “CIC Payment”). The CIC Payment will be paid in a single lump sum within 60 days after the Date of Termination; provided, however, that if the 60-day period begins in one calendar year and ends in a second calendar year, the CIC Payment will be paid in the second calendar year; and</w:t>
      </w:r>
    </w:p>
    <w:p>
      <w:pPr>
        <w:ind w:left="-8" w:right="140" w:firstLine="656"/>
        <w:spacing w:after="0" w:line="244" w:lineRule="auto"/>
        <w:tabs>
          <w:tab w:leader="none" w:pos="95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was participating in the Company’s group health plan immediately prior to the Date of Termination, then the Company will, in its sole discretion, either (x) continue to provide health coverage to the Executive or (y) pay to the Executive a lump sum cash payment (at the same time as the Severance Amount) equal to the amount of monthly employer contributions that the Company would have made to provide health insurance to the Executive if the Executive had remained employed by the Company, in either case ((x) or (y)), for a period of 18 months. Notwithstanding the foregoing, in the event the Company elects to continue to provide health coverage to the Executive (in lieu of a cash payment), then the Company may discontinue such coverage in the event that the Executive obtains comparable health coverage prior to the end of the period specified above; and</w:t>
      </w:r>
    </w:p>
    <w:p>
      <w:pPr>
        <w:spacing w:after="0" w:line="78" w:lineRule="exact"/>
        <w:rPr>
          <w:rFonts w:ascii="Times New Roman" w:cs="Times New Roman" w:eastAsia="Times New Roman" w:hAnsi="Times New Roman"/>
          <w:sz w:val="22"/>
          <w:szCs w:val="22"/>
          <w:color w:val="auto"/>
        </w:rPr>
      </w:pPr>
    </w:p>
    <w:p>
      <w:pPr>
        <w:ind w:left="-8" w:firstLine="656"/>
        <w:spacing w:after="0" w:line="257" w:lineRule="auto"/>
        <w:tabs>
          <w:tab w:leader="none" w:pos="101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any applicable option agreement, restricted stock unit agreement, or other stock-based award agreement, 100% of the then outstanding stock options, restricted stock units, and other stock-based awards held by the Executive will be fully accelerated and vested as of the Date of Termination.</w:t>
      </w:r>
    </w:p>
    <w:p>
      <w:pPr>
        <w:spacing w:after="0" w:line="168" w:lineRule="exact"/>
        <w:rPr>
          <w:rFonts w:ascii="Times New Roman" w:cs="Times New Roman" w:eastAsia="Times New Roman" w:hAnsi="Times New Roman"/>
          <w:sz w:val="22"/>
          <w:szCs w:val="22"/>
          <w:color w:val="auto"/>
        </w:rPr>
      </w:pPr>
    </w:p>
    <w:p>
      <w:pPr>
        <w:ind w:left="312" w:hanging="312"/>
        <w:spacing w:after="0"/>
        <w:tabs>
          <w:tab w:leader="none" w:pos="31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Limitation</w:t>
      </w:r>
      <w:r>
        <w:rPr>
          <w:rFonts w:ascii="Times New Roman" w:cs="Times New Roman" w:eastAsia="Times New Roman" w:hAnsi="Times New Roman"/>
          <w:sz w:val="22"/>
          <w:szCs w:val="22"/>
          <w:color w:val="auto"/>
        </w:rPr>
        <w:t>.</w:t>
      </w:r>
    </w:p>
    <w:p>
      <w:pPr>
        <w:spacing w:after="0" w:line="115" w:lineRule="exact"/>
        <w:rPr>
          <w:rFonts w:ascii="Times New Roman" w:cs="Times New Roman" w:eastAsia="Times New Roman" w:hAnsi="Times New Roman"/>
          <w:sz w:val="22"/>
          <w:szCs w:val="22"/>
          <w:color w:val="auto"/>
        </w:rPr>
      </w:pPr>
    </w:p>
    <w:p>
      <w:pPr>
        <w:ind w:left="-8" w:right="180" w:firstLine="656"/>
        <w:spacing w:after="0" w:line="250" w:lineRule="auto"/>
        <w:tabs>
          <w:tab w:leader="none" w:pos="89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in the event that the amount of any compensation, acceleration,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“Severance Payments”), would be subject to the excise tax imposed by Section 4999 of the Code, the following provisions will apply:</w:t>
      </w:r>
    </w:p>
    <w:p>
      <w:pPr>
        <w:spacing w:after="0" w:line="73" w:lineRule="exact"/>
        <w:rPr>
          <w:sz w:val="20"/>
          <w:szCs w:val="20"/>
          <w:color w:val="auto"/>
        </w:rPr>
      </w:pPr>
    </w:p>
    <w:p>
      <w:pPr>
        <w:ind w:left="-8" w:right="120" w:firstLine="656"/>
        <w:spacing w:after="0" w:line="252" w:lineRule="auto"/>
        <w:tabs>
          <w:tab w:leader="none" w:pos="99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Severance Payments, reduced by the sum of (1) the Excise Tax and (2) the total of the Federal, state, and local income and employment taxes payable by the Executive on the amount of the Severance Payments which are in excess of the Threshold Amount, are greater than or equal to the Threshold Amount, the Executive will be entitled to the full benefits payable under this Agreement.</w:t>
      </w:r>
    </w:p>
    <w:p>
      <w:pPr>
        <w:spacing w:after="0" w:line="71" w:lineRule="exact"/>
        <w:rPr>
          <w:rFonts w:ascii="Times New Roman" w:cs="Times New Roman" w:eastAsia="Times New Roman" w:hAnsi="Times New Roman"/>
          <w:sz w:val="22"/>
          <w:szCs w:val="22"/>
          <w:color w:val="auto"/>
        </w:rPr>
      </w:pPr>
    </w:p>
    <w:p>
      <w:pPr>
        <w:ind w:left="-8" w:right="40" w:firstLine="656"/>
        <w:spacing w:after="0" w:line="247" w:lineRule="auto"/>
        <w:tabs>
          <w:tab w:leader="none" w:pos="98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Threshold Amount is less than (x) the Severance Payments, but greater than (y) the Severance Payments reduced by the sum of (1) the Excise Tax and (2) the total of the Federal, state, and local income and employment taxes on the amount of the Severance Payments which are in excess of the Threshold Amount, then the Severance Payments will be reduced (but not below zero) to the extent necessary so that the sum of all Severance Payments will not exceed the Threshold Amount. In such event, the Severance Payments will be reduced in the following order: (1) cash payments not subject to Section 409A of the Code; (2) cash payments subject to Section 409A of the Code; (3) equity-based payments and acceleration; and (4) non-cash forms of benefits. To the extent any payment is to be made over time (e.g., in installments, etc.), then the payments will be reduced in reverse chronological order.</w:t>
      </w:r>
    </w:p>
    <w:p>
      <w:pPr>
        <w:sectPr>
          <w:pgSz w:w="11900" w:h="16838" w:orient="portrait"/>
          <w:cols w:equalWidth="0" w:num="1">
            <w:col w:w="11192"/>
          </w:cols>
          <w:pgMar w:left="328" w:top="1440" w:right="379" w:bottom="1440" w:gutter="0" w:footer="0" w:header="0"/>
        </w:sectPr>
      </w:pPr>
    </w:p>
    <w:bookmarkStart w:id="86" w:name="page87"/>
    <w:bookmarkEnd w:id="86"/>
    <w:p>
      <w:pPr>
        <w:jc w:val="both"/>
        <w:ind w:left="-656" w:right="180" w:firstLine="656"/>
        <w:spacing w:after="0" w:line="252" w:lineRule="auto"/>
        <w:tabs>
          <w:tab w:leader="none" w:pos="31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Section 5(b), “Threshold Amount” means three times the Executive’s “base amount” within the meaning of Section 280G(b)(3) of the Code and the regulations promulgated thereunder less one dollar ($1.00); and “Excise Tax” means the excise tax imposed by Section 4999 of the Code, and any interest or penalties incurred by the Executive with respect to such excise tax.</w:t>
      </w:r>
    </w:p>
    <w:p>
      <w:pPr>
        <w:spacing w:after="0" w:line="71" w:lineRule="exact"/>
        <w:rPr>
          <w:rFonts w:ascii="Times New Roman" w:cs="Times New Roman" w:eastAsia="Times New Roman" w:hAnsi="Times New Roman"/>
          <w:sz w:val="22"/>
          <w:szCs w:val="22"/>
          <w:color w:val="auto"/>
        </w:rPr>
      </w:pPr>
    </w:p>
    <w:p>
      <w:pPr>
        <w:ind w:left="-656" w:firstLine="656"/>
        <w:spacing w:after="0" w:line="260" w:lineRule="auto"/>
        <w:tabs>
          <w:tab w:leader="none" w:pos="37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determination as to which of the alternative provisions of Section 5(b)(i) will apply to the Executive will be made by an accounting firm selected by the Company (the “Accounting Firm”), which will provide detailed supporting calculations both to the Company and the Executive within 15 business days of the Date of Termination, if applicable, or at such earlier time as is reasonably requested by the Company or the Executive. For purposes of determining which of the alternative provisions of Section 5(b)(i) will apply, the Executive will be deemed to pay federal income taxes at the highest marginal rate of federal income taxation applicable to individuals for the calendar year in which the determination is to be made, and state and local income taxes at the highest marginal rates of individual taxation in the state and locality of the Executive’s residence on the Date of Termination, net of the maximum reduction in federal income taxes which could be obtained from deduction of such state and local taxes. Any determination by the Accounting Firm will be binding upon the Company and the Executive.</w:t>
      </w:r>
    </w:p>
    <w:p>
      <w:pPr>
        <w:spacing w:after="0" w:line="58" w:lineRule="exact"/>
        <w:rPr>
          <w:rFonts w:ascii="Times New Roman" w:cs="Times New Roman" w:eastAsia="Times New Roman" w:hAnsi="Times New Roman"/>
          <w:sz w:val="21"/>
          <w:szCs w:val="21"/>
          <w:color w:val="auto"/>
        </w:rPr>
      </w:pPr>
    </w:p>
    <w:p>
      <w:pPr>
        <w:ind w:left="364" w:hanging="364"/>
        <w:spacing w:after="0"/>
        <w:tabs>
          <w:tab w:leader="none" w:pos="3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 Definition</w:t>
      </w:r>
      <w:r>
        <w:rPr>
          <w:rFonts w:ascii="Times New Roman" w:cs="Times New Roman" w:eastAsia="Times New Roman" w:hAnsi="Times New Roman"/>
          <w:sz w:val="22"/>
          <w:szCs w:val="22"/>
          <w:color w:val="auto"/>
        </w:rPr>
        <w:t>. For purposes of this Section 5, “Change in Control” means any of the following:</w:t>
      </w:r>
    </w:p>
    <w:p>
      <w:pPr>
        <w:spacing w:after="0" w:line="115" w:lineRule="exact"/>
        <w:rPr>
          <w:rFonts w:ascii="Times New Roman" w:cs="Times New Roman" w:eastAsia="Times New Roman" w:hAnsi="Times New Roman"/>
          <w:sz w:val="22"/>
          <w:szCs w:val="22"/>
          <w:color w:val="auto"/>
        </w:rPr>
      </w:pPr>
    </w:p>
    <w:p>
      <w:pPr>
        <w:ind w:left="-656" w:right="20" w:firstLine="656"/>
        <w:spacing w:after="0" w:line="261" w:lineRule="auto"/>
        <w:tabs>
          <w:tab w:leader="none" w:pos="29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becomes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of Directors (“Voting Securities”) (in such case other than as a result of an acquisition of securities directly from the Company); or</w:t>
      </w:r>
    </w:p>
    <w:p>
      <w:pPr>
        <w:spacing w:after="0" w:line="65" w:lineRule="exact"/>
        <w:rPr>
          <w:rFonts w:ascii="Times New Roman" w:cs="Times New Roman" w:eastAsia="Times New Roman" w:hAnsi="Times New Roman"/>
          <w:sz w:val="21"/>
          <w:szCs w:val="21"/>
          <w:color w:val="auto"/>
        </w:rPr>
      </w:pPr>
    </w:p>
    <w:p>
      <w:pPr>
        <w:jc w:val="both"/>
        <w:ind w:left="-656" w:right="440" w:firstLine="656"/>
        <w:spacing w:after="0" w:line="257" w:lineRule="auto"/>
        <w:tabs>
          <w:tab w:leader="none" w:pos="35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majority of the members of the Board of Directors is replaced during any 12-month period by directors whose appointment or election is not endorsed by a majority of the members of the Board of Directors before the date of the appointment or election; or</w:t>
      </w:r>
    </w:p>
    <w:p>
      <w:pPr>
        <w:spacing w:after="0" w:line="64" w:lineRule="exact"/>
        <w:rPr>
          <w:rFonts w:ascii="Times New Roman" w:cs="Times New Roman" w:eastAsia="Times New Roman" w:hAnsi="Times New Roman"/>
          <w:sz w:val="22"/>
          <w:szCs w:val="22"/>
          <w:color w:val="auto"/>
        </w:rPr>
      </w:pPr>
    </w:p>
    <w:p>
      <w:pPr>
        <w:ind w:left="-656" w:firstLine="656"/>
        <w:spacing w:after="0" w:line="248" w:lineRule="auto"/>
        <w:tabs>
          <w:tab w:leader="none" w:pos="4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ectPr>
          <w:pgSz w:w="11900" w:h="16838" w:orient="portrait"/>
          <w:cols w:equalWidth="0" w:num="1">
            <w:col w:w="10584"/>
          </w:cols>
          <w:pgMar w:left="976" w:top="1422" w:right="339" w:bottom="1440" w:gutter="0" w:footer="0" w:header="0"/>
        </w:sectPr>
      </w:pPr>
    </w:p>
    <w:bookmarkStart w:id="87" w:name="page88"/>
    <w:bookmarkEnd w:id="87"/>
    <w:p>
      <w:pPr>
        <w:ind w:firstLine="648"/>
        <w:spacing w:after="0" w:line="246" w:lineRule="auto"/>
        <w:rPr>
          <w:sz w:val="20"/>
          <w:szCs w:val="20"/>
          <w:color w:val="auto"/>
        </w:rPr>
      </w:pPr>
      <w:r>
        <w:rPr>
          <w:rFonts w:ascii="Times New Roman" w:cs="Times New Roman" w:eastAsia="Times New Roman" w:hAnsi="Times New Roman"/>
          <w:sz w:val="22"/>
          <w:szCs w:val="22"/>
          <w:color w:val="auto"/>
        </w:rPr>
        <w:t>Notwithstanding the foregoing, a “Change in Control” will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will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will be deemed to have occurred for purposes of the foregoing clause (i).</w:t>
      </w:r>
    </w:p>
    <w:p>
      <w:pPr>
        <w:spacing w:after="0" w:line="187" w:lineRule="exact"/>
        <w:rPr>
          <w:sz w:val="20"/>
          <w:szCs w:val="20"/>
          <w:color w:val="auto"/>
        </w:rPr>
      </w:pPr>
    </w:p>
    <w:p>
      <w:pPr>
        <w:ind w:left="220" w:hanging="212"/>
        <w:spacing w:after="0"/>
        <w:tabs>
          <w:tab w:leader="none" w:pos="2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right="20" w:firstLine="656"/>
        <w:spacing w:after="0" w:line="246" w:lineRule="auto"/>
        <w:tabs>
          <w:tab w:leader="none" w:pos="94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subject to the 20 percent additional tax imposed pursuant to Section 409A(a) of the Code as a result of the application of Section 409A(a)(2)(B)(i) of the Code, such payment will not be payable and such benefit will not be provided until the date that is the earlier of (A) six months and one day after the Executive’s separation from service, or (B) the Executive’s death. If any such delayed cash payment is otherwise payable on an installment basis, the first payment will include a catch-up payment covering amounts that would otherwise have been paid during the six-month period but for the application of this provision, and the balance of the installments will be payable in accordance with their original schedule.</w:t>
      </w:r>
    </w:p>
    <w:p>
      <w:pPr>
        <w:spacing w:after="0" w:line="187" w:lineRule="exact"/>
        <w:rPr>
          <w:rFonts w:ascii="Times New Roman" w:cs="Times New Roman" w:eastAsia="Times New Roman" w:hAnsi="Times New Roman"/>
          <w:sz w:val="22"/>
          <w:szCs w:val="22"/>
          <w:color w:val="auto"/>
        </w:rPr>
      </w:pPr>
    </w:p>
    <w:p>
      <w:pPr>
        <w:ind w:right="40" w:firstLine="656"/>
        <w:spacing w:after="0" w:line="263" w:lineRule="auto"/>
        <w:tabs>
          <w:tab w:leader="none" w:pos="954"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in-kind benefits provided and expenses eligible for reimbursement under this Agreement will be provided by the Company or incurred by the Executive during the time periods set forth in this Agreement. All reimbursements will be paid as soon as administratively practicable, but in no event will any reimbursement be paid after the last day of the taxable year following the taxable year in which the expense was incurred. The amount of in-kind benefits provided or reimbursable expenses incurred in one taxable year will not affect the in-kind benefits to be provided or the expenses eligible for reimbursement in any other taxable year. Such right to reimbursement or in-kind benefits is not subject to liquidation or exchange for another benefit.</w:t>
      </w:r>
    </w:p>
    <w:p>
      <w:pPr>
        <w:spacing w:after="0" w:line="167" w:lineRule="exact"/>
        <w:rPr>
          <w:rFonts w:ascii="Times New Roman" w:cs="Times New Roman" w:eastAsia="Times New Roman" w:hAnsi="Times New Roman"/>
          <w:sz w:val="21"/>
          <w:szCs w:val="21"/>
          <w:color w:val="auto"/>
        </w:rPr>
      </w:pPr>
    </w:p>
    <w:p>
      <w:pPr>
        <w:ind w:left="940" w:hanging="284"/>
        <w:spacing w:after="0"/>
        <w:tabs>
          <w:tab w:leader="none" w:pos="94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w:t>
      </w:r>
    </w:p>
    <w:p>
      <w:pPr>
        <w:spacing w:after="0" w:line="27" w:lineRule="exact"/>
        <w:rPr>
          <w:rFonts w:ascii="Times New Roman" w:cs="Times New Roman" w:eastAsia="Times New Roman" w:hAnsi="Times New Roman"/>
          <w:sz w:val="22"/>
          <w:szCs w:val="22"/>
          <w:color w:val="auto"/>
        </w:rPr>
      </w:pPr>
    </w:p>
    <w:p>
      <w:pPr>
        <w:ind w:right="6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under Section 409A of the Code, and to the extent that such payment or benefit is payable upon the Executive’s termination of employment, then such payments or benefits will be payable only upon the Executive’s “separation from service.” The determination of whether and when a separation from service has occurred will be made in accordance with the presumptions set forth in Treasury Regulation Section 1.409A-1(h).</w:t>
      </w:r>
    </w:p>
    <w:p>
      <w:pPr>
        <w:sectPr>
          <w:pgSz w:w="11900" w:h="16838" w:orient="portrait"/>
          <w:cols w:equalWidth="0" w:num="1">
            <w:col w:w="11220"/>
          </w:cols>
          <w:pgMar w:left="320" w:top="1422" w:right="359" w:bottom="1440" w:gutter="0" w:footer="0" w:header="0"/>
        </w:sectPr>
      </w:pPr>
    </w:p>
    <w:bookmarkStart w:id="88" w:name="page89"/>
    <w:bookmarkEnd w:id="88"/>
    <w:p>
      <w:pPr>
        <w:spacing w:after="0" w:line="225" w:lineRule="exact"/>
        <w:rPr>
          <w:sz w:val="20"/>
          <w:szCs w:val="20"/>
          <w:color w:val="auto"/>
        </w:rPr>
      </w:pPr>
    </w:p>
    <w:p>
      <w:pPr>
        <w:ind w:left="-8" w:firstLine="656"/>
        <w:spacing w:after="0" w:line="248" w:lineRule="auto"/>
        <w:tabs>
          <w:tab w:leader="none" w:pos="94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will be read in such a manner so that all payments hereunder comply with Section 409A of the Code.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6" w:lineRule="exact"/>
        <w:rPr>
          <w:rFonts w:ascii="Times New Roman" w:cs="Times New Roman" w:eastAsia="Times New Roman" w:hAnsi="Times New Roman"/>
          <w:sz w:val="22"/>
          <w:szCs w:val="22"/>
          <w:color w:val="auto"/>
        </w:rPr>
      </w:pPr>
    </w:p>
    <w:p>
      <w:pPr>
        <w:ind w:left="-8" w:right="80" w:firstLine="656"/>
        <w:spacing w:after="0" w:line="257" w:lineRule="auto"/>
        <w:tabs>
          <w:tab w:leader="none" w:pos="93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will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68" w:lineRule="exact"/>
        <w:rPr>
          <w:rFonts w:ascii="Times New Roman" w:cs="Times New Roman" w:eastAsia="Times New Roman" w:hAnsi="Times New Roman"/>
          <w:sz w:val="22"/>
          <w:szCs w:val="22"/>
          <w:color w:val="auto"/>
        </w:rPr>
      </w:pPr>
    </w:p>
    <w:p>
      <w:pPr>
        <w:jc w:val="both"/>
        <w:ind w:left="-8" w:right="180" w:firstLine="8"/>
        <w:spacing w:after="0" w:line="269" w:lineRule="auto"/>
        <w:tabs>
          <w:tab w:leader="none" w:pos="20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Consent to Jurisdiction</w:t>
      </w:r>
      <w:r>
        <w:rPr>
          <w:rFonts w:ascii="Times New Roman" w:cs="Times New Roman" w:eastAsia="Times New Roman" w:hAnsi="Times New Roman"/>
          <w:sz w:val="21"/>
          <w:szCs w:val="21"/>
          <w:color w:val="auto"/>
        </w:rPr>
        <w:t>. The parties hereby consent to the jurisdiction of the Federal and State courts located in San Mateo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County, California with respect to all matters arising under this Agreement.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59" w:lineRule="exact"/>
        <w:rPr>
          <w:rFonts w:ascii="Times New Roman" w:cs="Times New Roman" w:eastAsia="Times New Roman" w:hAnsi="Times New Roman"/>
          <w:sz w:val="21"/>
          <w:szCs w:val="21"/>
          <w:color w:val="auto"/>
        </w:rPr>
      </w:pPr>
    </w:p>
    <w:p>
      <w:pPr>
        <w:jc w:val="both"/>
        <w:ind w:left="-8" w:firstLine="8"/>
        <w:spacing w:after="0" w:line="251" w:lineRule="auto"/>
        <w:tabs>
          <w:tab w:leader="none" w:pos="20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supersedes all prior agreements between the parties concerning such subject matter; provided that the Proprietary Information and Inventions Agreement between the Company and the Executive dated as of the Effective Date, the Indemnification Agreement between the Company and the Executive dated as of the Effective Date, and the RSU Award Agreement will not be superseded by this Agreement but will remain in full force and effect in accordance with its terms.</w:t>
      </w:r>
    </w:p>
    <w:p>
      <w:pPr>
        <w:spacing w:after="0" w:line="175" w:lineRule="exact"/>
        <w:rPr>
          <w:rFonts w:ascii="Times New Roman" w:cs="Times New Roman" w:eastAsia="Times New Roman" w:hAnsi="Times New Roman"/>
          <w:sz w:val="22"/>
          <w:szCs w:val="22"/>
          <w:color w:val="auto"/>
        </w:rPr>
      </w:pPr>
    </w:p>
    <w:p>
      <w:pPr>
        <w:jc w:val="both"/>
        <w:ind w:left="-8" w:right="40" w:firstLine="8"/>
        <w:spacing w:after="0" w:line="251" w:lineRule="auto"/>
        <w:tabs>
          <w:tab w:leader="none" w:pos="20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of this Agreement) will to any extent be declared illegal or unenforceable by a court of competent jurisdiction, then the remainder of this Agreement, or the application of such portion or provision in circumstances other than those as to which it is so declared illegal or unenforceable, will not be affected thereby, and each portion and provision of this Agreement will be valid and enforceable to the fullest extent permitted by law.</w:t>
      </w:r>
    </w:p>
    <w:p>
      <w:pPr>
        <w:spacing w:after="0" w:line="175" w:lineRule="exact"/>
        <w:rPr>
          <w:rFonts w:ascii="Times New Roman" w:cs="Times New Roman" w:eastAsia="Times New Roman" w:hAnsi="Times New Roman"/>
          <w:sz w:val="22"/>
          <w:szCs w:val="22"/>
          <w:color w:val="auto"/>
        </w:rPr>
      </w:pPr>
    </w:p>
    <w:p>
      <w:pPr>
        <w:ind w:left="-8" w:right="520" w:firstLine="8"/>
        <w:spacing w:after="0" w:line="275" w:lineRule="auto"/>
        <w:tabs>
          <w:tab w:leader="none" w:pos="31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Survival. </w:t>
      </w:r>
      <w:r>
        <w:rPr>
          <w:rFonts w:ascii="Times New Roman" w:cs="Times New Roman" w:eastAsia="Times New Roman" w:hAnsi="Times New Roman"/>
          <w:sz w:val="22"/>
          <w:szCs w:val="22"/>
          <w:color w:val="auto"/>
        </w:rPr>
        <w:t>The provisions of this Agreement will survive the termination of this Agreement and/or the termination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to the extent necessary to effectuate the terms contained herein.</w:t>
      </w:r>
    </w:p>
    <w:p>
      <w:pPr>
        <w:spacing w:after="0" w:line="149" w:lineRule="exact"/>
        <w:rPr>
          <w:rFonts w:ascii="Times New Roman" w:cs="Times New Roman" w:eastAsia="Times New Roman" w:hAnsi="Times New Roman"/>
          <w:sz w:val="22"/>
          <w:szCs w:val="22"/>
          <w:color w:val="auto"/>
        </w:rPr>
      </w:pPr>
    </w:p>
    <w:p>
      <w:pPr>
        <w:jc w:val="both"/>
        <w:ind w:left="-8" w:right="140" w:firstLine="8"/>
        <w:spacing w:after="0" w:line="253" w:lineRule="auto"/>
        <w:tabs>
          <w:tab w:leader="none" w:pos="30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No waiver of any provision hereof will be effective unless made in writing and signed by the waiving party.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failure of any party to require the performance of any term or obligation of this Agreement, or the waiver by any party of any breach of this Agreement, will not prevent any subsequent enforcement of such term or obligation or be deemed a waiver of any subsequent breach.</w:t>
      </w:r>
    </w:p>
    <w:p>
      <w:pPr>
        <w:sectPr>
          <w:pgSz w:w="11900" w:h="16838" w:orient="portrait"/>
          <w:cols w:equalWidth="0" w:num="1">
            <w:col w:w="11232"/>
          </w:cols>
          <w:pgMar w:left="328" w:top="1440" w:right="339" w:bottom="1440" w:gutter="0" w:footer="0" w:header="0"/>
        </w:sectPr>
      </w:pPr>
    </w:p>
    <w:bookmarkStart w:id="89" w:name="page90"/>
    <w:bookmarkEnd w:id="89"/>
    <w:p>
      <w:pPr>
        <w:spacing w:after="0" w:line="194" w:lineRule="exact"/>
        <w:rPr>
          <w:sz w:val="20"/>
          <w:szCs w:val="20"/>
          <w:color w:val="auto"/>
        </w:rPr>
      </w:pPr>
    </w:p>
    <w:p>
      <w:pPr>
        <w:ind w:firstLine="8"/>
        <w:spacing w:after="0" w:line="253" w:lineRule="auto"/>
        <w:tabs>
          <w:tab w:leader="none" w:pos="3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notices, requests, demands and other communications provided for by this Agreement will be sufficient if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of Directors.</w:t>
      </w:r>
    </w:p>
    <w:p>
      <w:pPr>
        <w:spacing w:after="0" w:line="202" w:lineRule="exact"/>
        <w:rPr>
          <w:rFonts w:ascii="Times New Roman" w:cs="Times New Roman" w:eastAsia="Times New Roman" w:hAnsi="Times New Roman"/>
          <w:sz w:val="22"/>
          <w:szCs w:val="22"/>
          <w:color w:val="auto"/>
        </w:rPr>
      </w:pPr>
    </w:p>
    <w:p>
      <w:pPr>
        <w:ind w:right="220" w:firstLine="8"/>
        <w:spacing w:after="0" w:line="275" w:lineRule="auto"/>
        <w:tabs>
          <w:tab w:leader="none" w:pos="3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authorized representative of the Company.</w:t>
      </w:r>
    </w:p>
    <w:p>
      <w:pPr>
        <w:spacing w:after="0" w:line="149" w:lineRule="exact"/>
        <w:rPr>
          <w:rFonts w:ascii="Times New Roman" w:cs="Times New Roman" w:eastAsia="Times New Roman" w:hAnsi="Times New Roman"/>
          <w:sz w:val="22"/>
          <w:szCs w:val="22"/>
          <w:color w:val="auto"/>
        </w:rPr>
      </w:pPr>
    </w:p>
    <w:p>
      <w:pPr>
        <w:ind w:right="140" w:firstLine="8"/>
        <w:spacing w:after="0" w:line="275" w:lineRule="auto"/>
        <w:tabs>
          <w:tab w:leader="none" w:pos="3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is a California contract and will be construed under and be governed in all respects by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California, without giving effect to the conflict of laws principles of such State.</w:t>
      </w:r>
    </w:p>
    <w:p>
      <w:pPr>
        <w:spacing w:after="0" w:line="149" w:lineRule="exact"/>
        <w:rPr>
          <w:rFonts w:ascii="Times New Roman" w:cs="Times New Roman" w:eastAsia="Times New Roman" w:hAnsi="Times New Roman"/>
          <w:sz w:val="22"/>
          <w:szCs w:val="22"/>
          <w:color w:val="auto"/>
        </w:rPr>
      </w:pPr>
    </w:p>
    <w:p>
      <w:pPr>
        <w:ind w:right="680" w:firstLine="8"/>
        <w:spacing w:after="0" w:line="275" w:lineRule="auto"/>
        <w:tabs>
          <w:tab w:leader="none" w:pos="3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will be taken to be an original; but such counterparts will together constitute one and the same document.</w:t>
      </w:r>
    </w:p>
    <w:p>
      <w:pPr>
        <w:spacing w:after="0" w:line="149" w:lineRule="exact"/>
        <w:rPr>
          <w:rFonts w:ascii="Times New Roman" w:cs="Times New Roman" w:eastAsia="Times New Roman" w:hAnsi="Times New Roman"/>
          <w:sz w:val="22"/>
          <w:szCs w:val="22"/>
          <w:color w:val="auto"/>
        </w:rPr>
      </w:pPr>
    </w:p>
    <w:p>
      <w:pPr>
        <w:ind w:right="220" w:firstLine="8"/>
        <w:spacing w:after="0" w:line="251" w:lineRule="auto"/>
        <w:tabs>
          <w:tab w:leader="none" w:pos="3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 to Company</w:t>
      </w:r>
      <w:r>
        <w:rPr>
          <w:rFonts w:ascii="Times New Roman" w:cs="Times New Roman" w:eastAsia="Times New Roman" w:hAnsi="Times New Roman"/>
          <w:sz w:val="22"/>
          <w:szCs w:val="22"/>
          <w:color w:val="auto"/>
        </w:rPr>
        <w:t>. The Company will require any successor (whether direct or indirect, by purchase, merger,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will be a material breach of this Agreement.</w:t>
      </w:r>
    </w:p>
    <w:p>
      <w:pPr>
        <w:spacing w:after="0" w:line="175" w:lineRule="exact"/>
        <w:rPr>
          <w:rFonts w:ascii="Times New Roman" w:cs="Times New Roman" w:eastAsia="Times New Roman" w:hAnsi="Times New Roman"/>
          <w:sz w:val="22"/>
          <w:szCs w:val="22"/>
          <w:color w:val="auto"/>
        </w:rPr>
      </w:pPr>
    </w:p>
    <w:p>
      <w:pPr>
        <w:ind w:right="440" w:firstLine="8"/>
        <w:spacing w:after="0" w:line="275" w:lineRule="auto"/>
        <w:tabs>
          <w:tab w:leader="none" w:pos="32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Gender Neutral</w:t>
      </w:r>
      <w:r>
        <w:rPr>
          <w:rFonts w:ascii="Times New Roman" w:cs="Times New Roman" w:eastAsia="Times New Roman" w:hAnsi="Times New Roman"/>
          <w:sz w:val="22"/>
          <w:szCs w:val="22"/>
          <w:color w:val="auto"/>
        </w:rPr>
        <w:t>. Wherever used herein, a pronoun in the masculine gender will be considered as including the feminine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gender unless the context clearly indicates otherwise.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as of the date and year first above written.</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Guidewire Software, Inc.</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Marcus Ryu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28543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Marcus Ryu</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Michael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2854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Mike Rosenbaum</w:t>
      </w:r>
    </w:p>
    <w:p>
      <w:pPr>
        <w:sectPr>
          <w:pgSz w:w="11900" w:h="16838" w:orient="portrait"/>
          <w:cols w:equalWidth="0" w:num="1">
            <w:col w:w="11200"/>
          </w:cols>
          <w:pgMar w:left="320" w:top="1440" w:right="379" w:bottom="1440" w:gutter="0" w:footer="0" w:header="0"/>
        </w:sectPr>
      </w:pPr>
    </w:p>
    <w:bookmarkStart w:id="90" w:name="page91"/>
    <w:bookmarkEnd w:id="90"/>
    <w:p>
      <w:pPr>
        <w:spacing w:after="0" w:line="14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b w:val="1"/>
          <w:bCs w:val="1"/>
          <w:color w:val="auto"/>
        </w:rPr>
        <w:t>FIRST AMENDMENT TO EXECUTIVE AGREEMENT</w:t>
      </w:r>
    </w:p>
    <w:p>
      <w:pPr>
        <w:spacing w:after="0" w:line="156" w:lineRule="exact"/>
        <w:rPr>
          <w:sz w:val="20"/>
          <w:szCs w:val="20"/>
          <w:color w:val="auto"/>
        </w:rPr>
      </w:pPr>
    </w:p>
    <w:p>
      <w:pPr>
        <w:ind w:firstLine="647"/>
        <w:spacing w:after="0" w:line="295" w:lineRule="auto"/>
        <w:rPr>
          <w:sz w:val="20"/>
          <w:szCs w:val="20"/>
          <w:color w:val="auto"/>
        </w:rPr>
      </w:pPr>
      <w:r>
        <w:rPr>
          <w:rFonts w:ascii="Times New Roman" w:cs="Times New Roman" w:eastAsia="Times New Roman" w:hAnsi="Times New Roman"/>
          <w:sz w:val="21"/>
          <w:szCs w:val="21"/>
          <w:color w:val="auto"/>
        </w:rPr>
        <w:t xml:space="preserve">This First Amendment to Executive Agreement (this “Amendment”) is executed and effective as of November </w:t>
      </w:r>
      <w:r>
        <w:rPr>
          <w:rFonts w:ascii="Times New Roman" w:cs="Times New Roman" w:eastAsia="Times New Roman" w:hAnsi="Times New Roman"/>
          <w:sz w:val="21"/>
          <w:szCs w:val="21"/>
          <w:u w:val="single" w:color="auto"/>
          <w:color w:val="auto"/>
        </w:rPr>
        <w:t>4</w:t>
      </w:r>
      <w:r>
        <w:rPr>
          <w:rFonts w:ascii="Times New Roman" w:cs="Times New Roman" w:eastAsia="Times New Roman" w:hAnsi="Times New Roman"/>
          <w:sz w:val="21"/>
          <w:szCs w:val="21"/>
          <w:color w:val="auto"/>
        </w:rPr>
        <w:t>, 2020, by and between Guidewire Software, Inc., a Delaware corporation (the “Company”), and Mike Rosenbaum (the “Executive”).</w:t>
      </w:r>
    </w:p>
    <w:p>
      <w:pPr>
        <w:spacing w:after="0" w:line="172" w:lineRule="exact"/>
        <w:rPr>
          <w:sz w:val="20"/>
          <w:szCs w:val="20"/>
          <w:color w:val="auto"/>
        </w:rPr>
      </w:pPr>
    </w:p>
    <w:p>
      <w:pPr>
        <w:ind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are parties to a certain Executive Agreement dated as of August 3, 2019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Agreement”);</w:t>
      </w:r>
    </w:p>
    <w:p>
      <w:pPr>
        <w:spacing w:after="0" w:line="190" w:lineRule="exact"/>
        <w:rPr>
          <w:sz w:val="20"/>
          <w:szCs w:val="20"/>
          <w:color w:val="auto"/>
        </w:rPr>
      </w:pPr>
    </w:p>
    <w:p>
      <w:pPr>
        <w:ind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wish to amend the Executive Agreement to include a provision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Clawback Policy; and</w:t>
      </w:r>
    </w:p>
    <w:p>
      <w:pPr>
        <w:spacing w:after="0" w:line="176" w:lineRule="exact"/>
        <w:rPr>
          <w:sz w:val="20"/>
          <w:szCs w:val="20"/>
          <w:color w:val="auto"/>
        </w:rPr>
      </w:pPr>
    </w:p>
    <w:p>
      <w:pPr>
        <w:ind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capitalized terms used herein and not otherwise defined shall have the meanings ascribed to them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Agreement.</w:t>
      </w:r>
    </w:p>
    <w:p>
      <w:pPr>
        <w:spacing w:after="0" w:line="190" w:lineRule="exact"/>
        <w:rPr>
          <w:sz w:val="20"/>
          <w:szCs w:val="20"/>
          <w:color w:val="auto"/>
        </w:rPr>
      </w:pPr>
    </w:p>
    <w:p>
      <w:pPr>
        <w:ind w:right="140" w:firstLine="647"/>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 contained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parties agree as follows:</w:t>
      </w:r>
    </w:p>
    <w:p>
      <w:pPr>
        <w:spacing w:after="0" w:line="180" w:lineRule="exact"/>
        <w:rPr>
          <w:sz w:val="20"/>
          <w:szCs w:val="20"/>
          <w:color w:val="auto"/>
        </w:rPr>
      </w:pPr>
    </w:p>
    <w:p>
      <w:pPr>
        <w:ind w:left="1300" w:hanging="655"/>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Section 18 is hereby added to the Executive Agreement as follows:</w:t>
      </w:r>
    </w:p>
    <w:p>
      <w:pPr>
        <w:spacing w:after="0" w:line="256" w:lineRule="exact"/>
        <w:rPr>
          <w:sz w:val="20"/>
          <w:szCs w:val="20"/>
          <w:color w:val="auto"/>
        </w:rPr>
      </w:pPr>
    </w:p>
    <w:p>
      <w:pPr>
        <w:ind w:right="220" w:firstLine="647"/>
        <w:spacing w:after="0" w:line="251"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b w:val="1"/>
          <w:bCs w:val="1"/>
          <w:color w:val="auto"/>
        </w:rPr>
        <w:t>Clawback Policy</w:t>
      </w:r>
      <w:r>
        <w:rPr>
          <w:rFonts w:ascii="Times New Roman" w:cs="Times New Roman" w:eastAsia="Times New Roman" w:hAnsi="Times New Roman"/>
          <w:sz w:val="22"/>
          <w:szCs w:val="22"/>
          <w:color w:val="auto"/>
        </w:rPr>
        <w:t>. The Executive acknowledges and agrees that the Company’s Clawback Policy (the “Clawback Policy”), as adopted by the Board of Directors, applies to the Executive under this Agreement and in the Executive’s role. The Executive acknowledges and agrees that the Executive has been provided with a copy of the Clawback Policy and understands and agrees to the terms thereunder. The Board of Directors has the authority to amend the Clawback Policy from time-to-time, and any such amended Clawback Policy will continue to apply to the Executive.”</w:t>
      </w:r>
    </w:p>
    <w:p>
      <w:pPr>
        <w:spacing w:after="0" w:line="220" w:lineRule="exact"/>
        <w:rPr>
          <w:sz w:val="20"/>
          <w:szCs w:val="20"/>
          <w:color w:val="auto"/>
        </w:rPr>
      </w:pPr>
    </w:p>
    <w:p>
      <w:pPr>
        <w:jc w:val="both"/>
        <w:ind w:right="20" w:firstLine="645"/>
        <w:spacing w:after="0" w:line="257" w:lineRule="auto"/>
        <w:tabs>
          <w:tab w:leader="none" w:pos="120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provisions of the Executive Agreement shall remain in full force and effect according to their respective terms, and nothing contained herein shall be deemed a waiver of any right or abrogation of any obligation otherwise existing under the Executive Agreement except to the extent specifically provided for herein.</w:t>
      </w:r>
    </w:p>
    <w:p>
      <w:pPr>
        <w:spacing w:after="0" w:line="199" w:lineRule="exact"/>
        <w:rPr>
          <w:rFonts w:ascii="Times New Roman" w:cs="Times New Roman" w:eastAsia="Times New Roman" w:hAnsi="Times New Roman"/>
          <w:sz w:val="22"/>
          <w:szCs w:val="22"/>
          <w:color w:val="auto"/>
        </w:rPr>
      </w:pPr>
    </w:p>
    <w:p>
      <w:pPr>
        <w:jc w:val="both"/>
        <w:ind w:firstLine="645"/>
        <w:spacing w:after="0" w:line="257" w:lineRule="auto"/>
        <w:tabs>
          <w:tab w:leader="none" w:pos="120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interpretation, construction and performance of this Amendment and the Executive Agreement, as amended herein, shall be governed by the laws of the State of California, without giving effect to the conflict of laws principles of such State.</w:t>
      </w:r>
    </w:p>
    <w:p>
      <w:pPr>
        <w:spacing w:after="0" w:line="213" w:lineRule="exact"/>
        <w:rPr>
          <w:rFonts w:ascii="Times New Roman" w:cs="Times New Roman" w:eastAsia="Times New Roman" w:hAnsi="Times New Roman"/>
          <w:sz w:val="22"/>
          <w:szCs w:val="22"/>
          <w:color w:val="auto"/>
        </w:rPr>
      </w:pPr>
    </w:p>
    <w:p>
      <w:pPr>
        <w:ind w:firstLine="645"/>
        <w:spacing w:after="0" w:line="271" w:lineRule="auto"/>
        <w:tabs>
          <w:tab w:leader="none" w:pos="120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when so executed and delivered shall be taken to be an original; but such counterparts shall together constitute one and the same document.</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000"/>
          </w:cols>
          <w:pgMar w:left="420" w:top="1440" w:right="479" w:bottom="1440" w:gutter="0" w:footer="0" w:header="0"/>
        </w:sectPr>
      </w:pPr>
    </w:p>
    <w:bookmarkStart w:id="91" w:name="page92"/>
    <w:bookmarkEnd w:id="9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date first set forth above.</w:t>
      </w:r>
    </w:p>
    <w:p>
      <w:pPr>
        <w:spacing w:after="0" w:line="200" w:lineRule="exact"/>
        <w:rPr>
          <w:sz w:val="20"/>
          <w:szCs w:val="20"/>
          <w:color w:val="auto"/>
        </w:rPr>
      </w:pPr>
    </w:p>
    <w:p>
      <w:pPr>
        <w:spacing w:after="0" w:line="36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GUIDEWIRE SOFTWARE,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Paul Lavin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-13970</wp:posOffset>
            </wp:positionV>
            <wp:extent cx="11734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spacing w:after="0" w:line="5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 Paul Lavin</w:t>
      </w:r>
    </w:p>
    <w:p>
      <w:pPr>
        <w:spacing w:after="0" w:line="28" w:lineRule="exact"/>
        <w:rPr>
          <w:sz w:val="20"/>
          <w:szCs w:val="20"/>
          <w:color w:val="auto"/>
        </w:rPr>
      </w:pPr>
    </w:p>
    <w:p>
      <w:pPr>
        <w:ind w:left="4640"/>
        <w:spacing w:after="0"/>
        <w:tabs>
          <w:tab w:leader="none" w:pos="53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Lead Independent Director</w:t>
      </w:r>
    </w:p>
    <w:p>
      <w:pPr>
        <w:spacing w:after="0" w:line="200" w:lineRule="exact"/>
        <w:rPr>
          <w:sz w:val="20"/>
          <w:szCs w:val="20"/>
          <w:color w:val="auto"/>
        </w:rPr>
      </w:pPr>
    </w:p>
    <w:p>
      <w:pPr>
        <w:spacing w:after="0" w:line="34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-13970</wp:posOffset>
            </wp:positionV>
            <wp:extent cx="1546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3" w:name="page94"/>
    <w:bookmarkEnd w:id="93"/>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First Amendment to Executive Agreement]</w:t>
      </w:r>
    </w:p>
    <w:p>
      <w:pPr>
        <w:sectPr>
          <w:pgSz w:w="11900" w:h="16838" w:orient="portrait"/>
          <w:cols w:equalWidth="0" w:num="1">
            <w:col w:w="9019"/>
          </w:cols>
          <w:pgMar w:left="1440" w:top="1440"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Mike Rosenbaum,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Guidewire Software,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1300" w:right="220" w:hanging="320"/>
        <w:spacing w:after="0" w:line="312" w:lineRule="auto"/>
        <w:tabs>
          <w:tab w:leader="none" w:pos="129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Date:December 9, 2020</w:t>
            </w:r>
          </w:p>
        </w:tc>
        <w:tc>
          <w:tcPr>
            <w:tcW w:w="24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MIKE ROSENBAUM</w:t>
            </w:r>
          </w:p>
        </w:tc>
      </w:tr>
      <w:tr>
        <w:trPr>
          <w:trHeight w:val="218"/>
        </w:trPr>
        <w:tc>
          <w:tcPr>
            <w:tcW w:w="4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Mike Rosenbaum</w:t>
            </w:r>
          </w:p>
        </w:tc>
      </w:tr>
      <w:tr>
        <w:trPr>
          <w:trHeight w:val="230"/>
        </w:trPr>
        <w:tc>
          <w:tcPr>
            <w:tcW w:w="40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Cooper, certify that:</w:t>
      </w:r>
    </w:p>
    <w:p>
      <w:pPr>
        <w:spacing w:after="0" w:line="17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Guidewire Software,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1300" w:right="220" w:hanging="320"/>
        <w:spacing w:after="0" w:line="312" w:lineRule="auto"/>
        <w:tabs>
          <w:tab w:leader="none" w:pos="129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9, 2020</w:t>
            </w:r>
          </w:p>
        </w:tc>
        <w:tc>
          <w:tcPr>
            <w:tcW w:w="25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JEFF COOPER</w:t>
            </w:r>
          </w:p>
        </w:tc>
      </w:tr>
      <w:tr>
        <w:trPr>
          <w:trHeight w:val="218"/>
        </w:trPr>
        <w:tc>
          <w:tcPr>
            <w:tcW w:w="40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Jeff Cooper</w:t>
            </w:r>
          </w:p>
        </w:tc>
      </w:tr>
      <w:tr>
        <w:trPr>
          <w:trHeight w:val="230"/>
        </w:trPr>
        <w:tc>
          <w:tcPr>
            <w:tcW w:w="4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8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Guidewire Software, Inc. for the quarterly period ended October 31, 2020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9, 2020</w:t>
            </w:r>
          </w:p>
        </w:tc>
        <w:tc>
          <w:tcPr>
            <w:tcW w:w="24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MIKE ROSENBAUM</w:t>
            </w:r>
          </w:p>
        </w:tc>
      </w:tr>
      <w:tr>
        <w:trPr>
          <w:trHeight w:val="218"/>
        </w:trPr>
        <w:tc>
          <w:tcPr>
            <w:tcW w:w="6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Mike Rosenbaum</w:t>
            </w:r>
          </w:p>
        </w:tc>
      </w:tr>
      <w:tr>
        <w:trPr>
          <w:trHeight w:val="230"/>
        </w:trPr>
        <w:tc>
          <w:tcPr>
            <w:tcW w:w="6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34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Guidewire Software, Inc. for the quarterly period ended October 31, 2020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9, 2020</w:t>
            </w:r>
          </w:p>
        </w:tc>
        <w:tc>
          <w:tcPr>
            <w:tcW w:w="244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JEFF COOPER</w:t>
            </w:r>
          </w:p>
        </w:tc>
      </w:tr>
      <w:tr>
        <w:trPr>
          <w:trHeight w:val="218"/>
        </w:trPr>
        <w:tc>
          <w:tcPr>
            <w:tcW w:w="6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Jeff Cooper</w:t>
            </w:r>
          </w:p>
        </w:tc>
      </w:tr>
      <w:tr>
        <w:trPr>
          <w:trHeight w:val="230"/>
        </w:trPr>
        <w:tc>
          <w:tcPr>
            <w:tcW w:w="6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lowerRoman"/>
      <w:start w:val="1"/>
    </w:lvl>
  </w:abstractNum>
  <w:abstractNum w:abstractNumId="2">
    <w:nsid w:val="B03E0C6"/>
    <w:multiLevelType w:val="hybridMultilevel"/>
    <w:lvl w:ilvl="0">
      <w:lvlJc w:val="left"/>
      <w:lvlText w:val="%1."/>
      <w:numFmt w:val="lowerRoman"/>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4"/>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lvl w:ilvl="1">
      <w:lvlJc w:val="left"/>
      <w:lvlText w:val="(%2)"/>
      <w:numFmt w:val="lowerLetter"/>
      <w:start w:val="1"/>
    </w:lvl>
  </w:abstractNum>
  <w:abstractNum w:abstractNumId="24">
    <w:nsid w:val="77465F01"/>
    <w:multiLevelType w:val="hybridMultilevel"/>
    <w:lvl w:ilvl="0">
      <w:lvlJc w:val="left"/>
      <w:lvlText w:val="(%1)"/>
      <w:numFmt w:val="lowerLetter"/>
      <w:start w:val="3"/>
    </w:lvl>
  </w:abstractNum>
  <w:abstractNum w:abstractNumId="25">
    <w:nsid w:val="7724C67E"/>
    <w:multiLevelType w:val="hybridMultilevel"/>
    <w:lvl w:ilvl="0">
      <w:lvlJc w:val="left"/>
      <w:lvlText w:val="%1"/>
      <w:numFmt w:val="decimal"/>
      <w:start w:val="1"/>
    </w:lvl>
    <w:lvl w:ilvl="1">
      <w:lvlJc w:val="left"/>
      <w:lvlText w:val="(%2)"/>
      <w:numFmt w:val="lowerLetter"/>
      <w:start w:val="4"/>
    </w:lvl>
  </w:abstractNum>
  <w:abstractNum w:abstractNumId="26">
    <w:nsid w:val="5C482A97"/>
    <w:multiLevelType w:val="hybridMultilevel"/>
    <w:lvl w:ilvl="0">
      <w:lvlJc w:val="left"/>
      <w:lvlText w:val="%1."/>
      <w:numFmt w:val="decimal"/>
      <w:start w:val="3"/>
    </w:lvl>
    <w:lvl w:ilvl="1">
      <w:lvlJc w:val="left"/>
      <w:lvlText w:val="(%2)"/>
      <w:numFmt w:val="lowerLetter"/>
      <w:start w:val="1"/>
    </w:lvl>
  </w:abstractNum>
  <w:abstractNum w:abstractNumId="27">
    <w:nsid w:val="2463B9EA"/>
    <w:multiLevelType w:val="hybridMultilevel"/>
    <w:lvl w:ilvl="0">
      <w:lvlJc w:val="left"/>
      <w:lvlText w:val="(%1)"/>
      <w:numFmt w:val="lowerLetter"/>
      <w:start w:val="3"/>
    </w:lvl>
  </w:abstractNum>
  <w:abstractNum w:abstractNumId="28">
    <w:nsid w:val="5E884ADC"/>
    <w:multiLevelType w:val="hybridMultilevel"/>
    <w:lvl w:ilvl="0">
      <w:lvlJc w:val="left"/>
      <w:lvlText w:val="%1"/>
      <w:numFmt w:val="decimal"/>
      <w:start w:val="1"/>
    </w:lvl>
    <w:lvl w:ilvl="1">
      <w:lvlJc w:val="left"/>
      <w:lvlText w:val="(%2)"/>
      <w:numFmt w:val="lowerLetter"/>
      <w:start w:val="6"/>
    </w:lvl>
  </w:abstractNum>
  <w:abstractNum w:abstractNumId="29">
    <w:nsid w:val="51EAD36B"/>
    <w:multiLevelType w:val="hybridMultilevel"/>
    <w:lvl w:ilvl="0">
      <w:lvlJc w:val="left"/>
      <w:lvlText w:val="%1."/>
      <w:numFmt w:val="decimal"/>
      <w:start w:val="4"/>
    </w:lvl>
    <w:lvl w:ilvl="1">
      <w:lvlJc w:val="left"/>
      <w:lvlText w:val="(%2)"/>
      <w:numFmt w:val="lowerLetter"/>
      <w:start w:val="1"/>
    </w:lvl>
  </w:abstractNum>
  <w:abstractNum w:abstractNumId="30">
    <w:nsid w:val="2D517796"/>
    <w:multiLevelType w:val="hybridMultilevel"/>
    <w:lvl w:ilvl="0">
      <w:lvlJc w:val="left"/>
      <w:lvlText w:val="(%1)"/>
      <w:numFmt w:val="lowerRoman"/>
      <w:start w:val="1"/>
    </w:lvl>
  </w:abstractNum>
  <w:abstractNum w:abstractNumId="31">
    <w:nsid w:val="580BD78F"/>
    <w:multiLevelType w:val="hybridMultilevel"/>
    <w:lvl w:ilvl="0">
      <w:lvlJc w:val="left"/>
      <w:lvlText w:val="(%1)"/>
      <w:numFmt w:val="lowerRoman"/>
      <w:start w:val="2"/>
    </w:lvl>
  </w:abstractNum>
  <w:abstractNum w:abstractNumId="32">
    <w:nsid w:val="153EA438"/>
    <w:multiLevelType w:val="hybridMultilevel"/>
    <w:lvl w:ilvl="0">
      <w:lvlJc w:val="left"/>
      <w:lvlText w:val="%1."/>
      <w:numFmt w:val="decimal"/>
      <w:start w:val="5"/>
    </w:lvl>
    <w:lvl w:ilvl="1">
      <w:lvlJc w:val="left"/>
      <w:lvlText w:val="(%2)"/>
      <w:numFmt w:val="lowerLetter"/>
      <w:start w:val="1"/>
    </w:lvl>
  </w:abstractNum>
  <w:abstractNum w:abstractNumId="33">
    <w:nsid w:val="3855585C"/>
    <w:multiLevelType w:val="hybridMultilevel"/>
    <w:lvl w:ilvl="0">
      <w:lvlJc w:val="left"/>
      <w:lvlText w:val="%1"/>
      <w:numFmt w:val="lowerLetter"/>
      <w:start w:val="1"/>
    </w:lvl>
    <w:lvl w:ilvl="1">
      <w:lvlJc w:val="left"/>
      <w:lvlText w:val="(%2)"/>
      <w:numFmt w:val="lowerRoman"/>
      <w:start w:val="1"/>
    </w:lvl>
  </w:abstractNum>
  <w:abstractNum w:abstractNumId="34">
    <w:nsid w:val="70A64E2A"/>
    <w:multiLevelType w:val="hybridMultilevel"/>
    <w:lvl w:ilvl="0">
      <w:lvlJc w:val="left"/>
      <w:lvlText w:val="(%1)"/>
      <w:numFmt w:val="lowerLetter"/>
      <w:start w:val="2"/>
    </w:lvl>
    <w:lvl w:ilvl="1">
      <w:lvlJc w:val="left"/>
      <w:lvlText w:val="(%2)"/>
      <w:numFmt w:val="lowerRoman"/>
      <w:start w:val="1"/>
    </w:lvl>
  </w:abstractNum>
  <w:abstractNum w:abstractNumId="35">
    <w:nsid w:val="6A2342EC"/>
    <w:multiLevelType w:val="hybridMultilevel"/>
    <w:lvl w:ilvl="0">
      <w:lvlJc w:val="left"/>
      <w:lvlText w:val="(%1)"/>
      <w:numFmt w:val="upperLetter"/>
      <w:start w:val="1"/>
    </w:lvl>
  </w:abstractNum>
  <w:abstractNum w:abstractNumId="36">
    <w:nsid w:val="2A487CB0"/>
    <w:multiLevelType w:val="hybridMultilevel"/>
    <w:lvl w:ilvl="0">
      <w:lvlJc w:val="left"/>
      <w:lvlText w:val="(%1)"/>
      <w:numFmt w:val="lowerRoman"/>
      <w:start w:val="2"/>
    </w:lvl>
  </w:abstractNum>
  <w:abstractNum w:abstractNumId="37">
    <w:nsid w:val="1D4ED43B"/>
    <w:multiLevelType w:val="hybridMultilevel"/>
    <w:lvl w:ilvl="0">
      <w:lvlJc w:val="left"/>
      <w:lvlText w:val="%1."/>
      <w:numFmt w:val="decimal"/>
      <w:start w:val="6"/>
    </w:lvl>
    <w:lvl w:ilvl="1">
      <w:lvlJc w:val="left"/>
      <w:lvlText w:val="(%2)"/>
      <w:numFmt w:val="lowerLetter"/>
      <w:start w:val="1"/>
    </w:lvl>
  </w:abstractNum>
  <w:abstractNum w:abstractNumId="38">
    <w:nsid w:val="725A06FB"/>
    <w:multiLevelType w:val="hybridMultilevel"/>
    <w:lvl w:ilvl="0">
      <w:lvlJc w:val="left"/>
      <w:lvlText w:val="%1"/>
      <w:numFmt w:val="decimal"/>
      <w:start w:val="1"/>
    </w:lvl>
    <w:lvl w:ilvl="1">
      <w:lvlJc w:val="left"/>
      <w:lvlText w:val="(%2)"/>
      <w:numFmt w:val="lowerLetter"/>
      <w:start w:val="4"/>
    </w:lvl>
  </w:abstractNum>
  <w:abstractNum w:abstractNumId="39">
    <w:nsid w:val="2CD89A32"/>
    <w:multiLevelType w:val="hybridMultilevel"/>
    <w:lvl w:ilvl="0">
      <w:lvlJc w:val="left"/>
      <w:lvlText w:val="%1."/>
      <w:numFmt w:val="decimal"/>
      <w:start w:val="7"/>
    </w:lvl>
    <w:lvl w:ilvl="1">
      <w:lvlJc w:val="left"/>
      <w:lvlText w:val="%2"/>
      <w:numFmt w:val="lowerLetter"/>
      <w:start w:val="1"/>
    </w:lvl>
  </w:abstractNum>
  <w:abstractNum w:abstractNumId="40">
    <w:nsid w:val="57E4CCAF"/>
    <w:multiLevelType w:val="hybridMultilevel"/>
    <w:lvl w:ilvl="0">
      <w:lvlJc w:val="left"/>
      <w:lvlText w:val="%1."/>
      <w:numFmt w:val="decimal"/>
      <w:start w:val="12"/>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2"/>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5"/>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93" Type="http://schemas.openxmlformats.org/officeDocument/2006/relationships/hyperlink" Target="http://www.sec.gov/Archives/edgar/data/1528396/000152839620000012/a31-guidewirexarcertif.htm" TargetMode="External"/><Relationship Id="rId94" Type="http://schemas.openxmlformats.org/officeDocument/2006/relationships/hyperlink" Target="http://www.sec.gov/Archives/edgar/data/1528396/000152839616000070/ex31guidewire-arbylaws2016.htm" TargetMode="External"/><Relationship Id="rId95" Type="http://schemas.openxmlformats.org/officeDocument/2006/relationships/hyperlink" Target="http://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2020-12-09T15:43:38Z</dcterms:created>
  <dcterms:modified xsi:type="dcterms:W3CDTF">2020-12-09T15:43:38Z</dcterms:modified>
</cp:coreProperties>
</file>