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81" w:lineRule="exact"/>
        <w:rPr>
          <w:sz w:val="24"/>
          <w:szCs w:val="24"/>
          <w:color w:val="auto"/>
        </w:rPr>
      </w:pPr>
    </w:p>
    <w:p>
      <w:pPr>
        <w:spacing w:after="0"/>
        <w:tabs>
          <w:tab w:leader="none" w:pos="1800" w:val="left"/>
          <w:tab w:leader="none" w:pos="210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Arial" w:cs="Arial" w:eastAsia="Arial" w:hAnsi="Arial"/>
          <w:sz w:val="18"/>
          <w:szCs w:val="18"/>
          <w:color w:val="0E191E"/>
        </w:rPr>
        <w:t>x</w:t>
      </w:r>
      <w:r>
        <w:rPr>
          <w:sz w:val="20"/>
          <w:szCs w:val="20"/>
          <w:color w:val="auto"/>
        </w:rPr>
        <w:tab/>
      </w:r>
      <w:r>
        <w:rPr>
          <w:rFonts w:ascii="Arial" w:cs="Arial" w:eastAsia="Arial" w:hAnsi="Arial"/>
          <w:sz w:val="16"/>
          <w:szCs w:val="16"/>
          <w:color w:val="auto"/>
        </w:rPr>
        <w:t xml:space="preserve">Filed by a Party other than the Registrant </w:t>
      </w:r>
      <w:r>
        <w:rPr>
          <w:rFonts w:ascii="Arial" w:cs="Arial" w:eastAsia="Arial" w:hAnsi="Arial"/>
          <w:sz w:val="16"/>
          <w:szCs w:val="16"/>
          <w:color w:val="0E191E"/>
        </w:rPr>
        <w:t>o</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65" w:lineRule="exact"/>
        <w:rPr>
          <w:sz w:val="24"/>
          <w:szCs w:val="24"/>
          <w:color w:val="auto"/>
        </w:rPr>
      </w:pPr>
    </w:p>
    <w:p>
      <w:pPr>
        <w:ind w:left="560" w:hanging="534"/>
        <w:spacing w:after="0"/>
        <w:tabs>
          <w:tab w:leader="none" w:pos="560" w:val="left"/>
        </w:tabs>
        <w:numPr>
          <w:ilvl w:val="0"/>
          <w:numId w:val="1"/>
        </w:numPr>
        <w:rPr>
          <w:rFonts w:ascii="Arial" w:cs="Arial" w:eastAsia="Arial" w:hAnsi="Arial"/>
          <w:sz w:val="16"/>
          <w:szCs w:val="16"/>
          <w:color w:val="0E191E"/>
        </w:rPr>
      </w:pPr>
      <w:r>
        <w:rPr>
          <w:rFonts w:ascii="Arial" w:cs="Arial" w:eastAsia="Arial" w:hAnsi="Arial"/>
          <w:sz w:val="14"/>
          <w:szCs w:val="14"/>
          <w:color w:val="auto"/>
        </w:rPr>
        <w:t>Preliminary Proxy Statement</w:t>
      </w:r>
    </w:p>
    <w:p>
      <w:pPr>
        <w:spacing w:after="0" w:line="248" w:lineRule="exact"/>
        <w:rPr>
          <w:sz w:val="24"/>
          <w:szCs w:val="24"/>
          <w:color w:val="auto"/>
        </w:rPr>
      </w:pPr>
    </w:p>
    <w:p>
      <w:pPr>
        <w:ind w:left="560" w:hanging="534"/>
        <w:spacing w:after="0"/>
        <w:tabs>
          <w:tab w:leader="none" w:pos="560" w:val="left"/>
        </w:tabs>
        <w:numPr>
          <w:ilvl w:val="0"/>
          <w:numId w:val="2"/>
        </w:numPr>
        <w:rPr>
          <w:rFonts w:ascii="Arial" w:cs="Arial" w:eastAsia="Arial" w:hAnsi="Arial"/>
          <w:sz w:val="16"/>
          <w:szCs w:val="16"/>
          <w:color w:val="0E191E"/>
        </w:rPr>
      </w:pPr>
      <w:r>
        <w:rPr>
          <w:rFonts w:ascii="Arial" w:cs="Arial" w:eastAsia="Arial" w:hAnsi="Arial"/>
          <w:sz w:val="14"/>
          <w:szCs w:val="14"/>
          <w:color w:val="auto"/>
        </w:rPr>
        <w:t>Confidential, for Use of the Commission Only (as permitted by Rule 14a-6(e)(2))</w:t>
      </w:r>
    </w:p>
    <w:p>
      <w:pPr>
        <w:spacing w:after="0" w:line="248" w:lineRule="exact"/>
        <w:rPr>
          <w:rFonts w:ascii="Arial" w:cs="Arial" w:eastAsia="Arial" w:hAnsi="Arial"/>
          <w:sz w:val="16"/>
          <w:szCs w:val="16"/>
          <w:color w:val="0E191E"/>
        </w:rPr>
      </w:pPr>
    </w:p>
    <w:p>
      <w:pPr>
        <w:ind w:left="560" w:hanging="534"/>
        <w:spacing w:after="0"/>
        <w:tabs>
          <w:tab w:leader="none" w:pos="560" w:val="left"/>
        </w:tabs>
        <w:numPr>
          <w:ilvl w:val="0"/>
          <w:numId w:val="2"/>
        </w:numPr>
        <w:rPr>
          <w:rFonts w:ascii="Arial" w:cs="Arial" w:eastAsia="Arial" w:hAnsi="Arial"/>
          <w:sz w:val="16"/>
          <w:szCs w:val="16"/>
          <w:color w:val="0E191E"/>
        </w:rPr>
      </w:pPr>
      <w:r>
        <w:rPr>
          <w:rFonts w:ascii="Arial" w:cs="Arial" w:eastAsia="Arial" w:hAnsi="Arial"/>
          <w:sz w:val="14"/>
          <w:szCs w:val="14"/>
          <w:color w:val="auto"/>
        </w:rPr>
        <w:t>Definitive Proxy Statement</w:t>
      </w:r>
    </w:p>
    <w:p>
      <w:pPr>
        <w:spacing w:after="0" w:line="248" w:lineRule="exact"/>
        <w:rPr>
          <w:rFonts w:ascii="Arial" w:cs="Arial" w:eastAsia="Arial" w:hAnsi="Arial"/>
          <w:sz w:val="16"/>
          <w:szCs w:val="16"/>
          <w:color w:val="0E191E"/>
        </w:rPr>
      </w:pPr>
    </w:p>
    <w:p>
      <w:pPr>
        <w:ind w:left="560" w:hanging="534"/>
        <w:spacing w:after="0"/>
        <w:tabs>
          <w:tab w:leader="none" w:pos="560" w:val="left"/>
        </w:tabs>
        <w:numPr>
          <w:ilvl w:val="0"/>
          <w:numId w:val="2"/>
        </w:numPr>
        <w:rPr>
          <w:rFonts w:ascii="Arial" w:cs="Arial" w:eastAsia="Arial" w:hAnsi="Arial"/>
          <w:sz w:val="16"/>
          <w:szCs w:val="16"/>
          <w:color w:val="0E191E"/>
        </w:rPr>
      </w:pPr>
      <w:r>
        <w:rPr>
          <w:rFonts w:ascii="Arial" w:cs="Arial" w:eastAsia="Arial" w:hAnsi="Arial"/>
          <w:sz w:val="14"/>
          <w:szCs w:val="14"/>
          <w:color w:val="auto"/>
        </w:rPr>
        <w:t>Definitive Additional Materials</w:t>
      </w:r>
    </w:p>
    <w:p>
      <w:pPr>
        <w:spacing w:after="0" w:line="248" w:lineRule="exact"/>
        <w:rPr>
          <w:rFonts w:ascii="Arial" w:cs="Arial" w:eastAsia="Arial" w:hAnsi="Arial"/>
          <w:sz w:val="16"/>
          <w:szCs w:val="16"/>
          <w:color w:val="0E191E"/>
        </w:rPr>
      </w:pPr>
    </w:p>
    <w:p>
      <w:pPr>
        <w:ind w:left="560" w:hanging="534"/>
        <w:spacing w:after="0"/>
        <w:tabs>
          <w:tab w:leader="none" w:pos="560" w:val="left"/>
        </w:tabs>
        <w:numPr>
          <w:ilvl w:val="0"/>
          <w:numId w:val="2"/>
        </w:numPr>
        <w:rPr>
          <w:rFonts w:ascii="Arial" w:cs="Arial" w:eastAsia="Arial" w:hAnsi="Arial"/>
          <w:sz w:val="16"/>
          <w:szCs w:val="16"/>
          <w:color w:val="0E191E"/>
        </w:rPr>
      </w:pPr>
      <w:r>
        <w:rPr>
          <w:rFonts w:ascii="Arial" w:cs="Arial" w:eastAsia="Arial" w:hAnsi="Arial"/>
          <w:sz w:val="14"/>
          <w:szCs w:val="14"/>
          <w:color w:val="auto"/>
        </w:rPr>
        <w:t>Soliciting Material under §240.14a-12</w:t>
      </w:r>
    </w:p>
    <w:p>
      <w:pPr>
        <w:spacing w:after="0" w:line="26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GUIDEWIRE SOFTWARE, INC.</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08"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21" w:lineRule="exact"/>
        <w:rPr>
          <w:sz w:val="24"/>
          <w:szCs w:val="24"/>
          <w:color w:val="auto"/>
        </w:rPr>
      </w:pPr>
    </w:p>
    <w:p>
      <w:pPr>
        <w:ind w:left="20"/>
        <w:spacing w:after="0"/>
        <w:rPr>
          <w:sz w:val="20"/>
          <w:szCs w:val="20"/>
          <w:color w:val="auto"/>
        </w:rPr>
      </w:pPr>
      <w:r>
        <w:rPr>
          <w:rFonts w:ascii="Arial" w:cs="Arial" w:eastAsia="Arial" w:hAnsi="Arial"/>
          <w:sz w:val="14"/>
          <w:szCs w:val="14"/>
          <w:color w:val="auto"/>
        </w:rPr>
        <w:t>Payment of Filing Fee (Check the appropriate box):</w:t>
      </w:r>
    </w:p>
    <w:p>
      <w:pPr>
        <w:spacing w:after="0" w:line="269" w:lineRule="exact"/>
        <w:rPr>
          <w:sz w:val="24"/>
          <w:szCs w:val="24"/>
          <w:color w:val="auto"/>
        </w:rPr>
      </w:pPr>
    </w:p>
    <w:p>
      <w:pPr>
        <w:ind w:left="560" w:hanging="534"/>
        <w:spacing w:after="0"/>
        <w:tabs>
          <w:tab w:leader="none" w:pos="560" w:val="left"/>
        </w:tabs>
        <w:numPr>
          <w:ilvl w:val="0"/>
          <w:numId w:val="3"/>
        </w:numPr>
        <w:rPr>
          <w:rFonts w:ascii="Arial" w:cs="Arial" w:eastAsia="Arial" w:hAnsi="Arial"/>
          <w:sz w:val="16"/>
          <w:szCs w:val="16"/>
          <w:color w:val="0E191E"/>
        </w:rPr>
      </w:pPr>
      <w:r>
        <w:rPr>
          <w:rFonts w:ascii="Arial" w:cs="Arial" w:eastAsia="Arial" w:hAnsi="Arial"/>
          <w:sz w:val="14"/>
          <w:szCs w:val="14"/>
          <w:color w:val="auto"/>
        </w:rPr>
        <w:t>No fee required.</w:t>
      </w:r>
    </w:p>
    <w:p>
      <w:pPr>
        <w:spacing w:after="0" w:line="140" w:lineRule="exact"/>
        <w:rPr>
          <w:sz w:val="24"/>
          <w:szCs w:val="24"/>
          <w:color w:val="auto"/>
        </w:rPr>
      </w:pPr>
    </w:p>
    <w:p>
      <w:pPr>
        <w:ind w:left="560" w:hanging="534"/>
        <w:spacing w:after="0"/>
        <w:tabs>
          <w:tab w:leader="none" w:pos="560" w:val="left"/>
        </w:tabs>
        <w:numPr>
          <w:ilvl w:val="0"/>
          <w:numId w:val="4"/>
        </w:numPr>
        <w:rPr>
          <w:rFonts w:ascii="Arial" w:cs="Arial" w:eastAsia="Arial" w:hAnsi="Arial"/>
          <w:sz w:val="16"/>
          <w:szCs w:val="16"/>
          <w:color w:val="0E191E"/>
        </w:rPr>
      </w:pPr>
      <w:r>
        <w:rPr>
          <w:rFonts w:ascii="Arial" w:cs="Arial" w:eastAsia="Arial" w:hAnsi="Arial"/>
          <w:sz w:val="14"/>
          <w:szCs w:val="14"/>
          <w:color w:val="auto"/>
        </w:rPr>
        <w:t>Fee computed on table below per Exchange Act Rules 14a-6(i)(1) and 0-11.</w:t>
      </w:r>
    </w:p>
    <w:p>
      <w:pPr>
        <w:spacing w:after="0" w:line="222" w:lineRule="exact"/>
        <w:rPr>
          <w:rFonts w:ascii="Arial" w:cs="Arial" w:eastAsia="Arial" w:hAnsi="Arial"/>
          <w:sz w:val="16"/>
          <w:szCs w:val="16"/>
          <w:color w:val="0E191E"/>
        </w:rPr>
      </w:pPr>
    </w:p>
    <w:p>
      <w:pPr>
        <w:ind w:left="1600" w:hanging="504"/>
        <w:spacing w:after="0"/>
        <w:tabs>
          <w:tab w:leader="none" w:pos="1600" w:val="left"/>
        </w:tabs>
        <w:numPr>
          <w:ilvl w:val="1"/>
          <w:numId w:val="4"/>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55" w:lineRule="exact"/>
        <w:rPr>
          <w:rFonts w:ascii="Arial" w:cs="Arial" w:eastAsia="Arial" w:hAnsi="Arial"/>
          <w:sz w:val="14"/>
          <w:szCs w:val="14"/>
          <w:color w:val="auto"/>
        </w:rPr>
      </w:pPr>
    </w:p>
    <w:p>
      <w:pPr>
        <w:ind w:left="1600" w:hanging="504"/>
        <w:spacing w:after="0"/>
        <w:tabs>
          <w:tab w:leader="none" w:pos="1600" w:val="left"/>
        </w:tabs>
        <w:numPr>
          <w:ilvl w:val="1"/>
          <w:numId w:val="4"/>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5" w:lineRule="exact"/>
        <w:rPr>
          <w:rFonts w:ascii="Arial" w:cs="Arial" w:eastAsia="Arial" w:hAnsi="Arial"/>
          <w:sz w:val="14"/>
          <w:szCs w:val="14"/>
          <w:color w:val="auto"/>
        </w:rPr>
      </w:pPr>
    </w:p>
    <w:p>
      <w:pPr>
        <w:ind w:left="1600"/>
        <w:spacing w:after="0"/>
        <w:rPr>
          <w:rFonts w:ascii="Arial" w:cs="Arial" w:eastAsia="Arial" w:hAnsi="Arial"/>
          <w:sz w:val="14"/>
          <w:szCs w:val="14"/>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w:t>
      </w:r>
    </w:p>
    <w:p>
      <w:pPr>
        <w:ind w:left="1600" w:hanging="504"/>
        <w:spacing w:after="0"/>
        <w:tabs>
          <w:tab w:leader="none" w:pos="1600" w:val="left"/>
        </w:tabs>
        <w:numPr>
          <w:ilvl w:val="1"/>
          <w:numId w:val="4"/>
        </w:numPr>
        <w:rPr>
          <w:rFonts w:ascii="Arial" w:cs="Arial" w:eastAsia="Arial" w:hAnsi="Arial"/>
          <w:sz w:val="14"/>
          <w:szCs w:val="14"/>
          <w:color w:val="auto"/>
        </w:rPr>
      </w:pPr>
      <w:r>
        <w:rPr>
          <w:rFonts w:ascii="Arial" w:cs="Arial" w:eastAsia="Arial" w:hAnsi="Arial"/>
          <w:sz w:val="14"/>
          <w:szCs w:val="14"/>
          <w:color w:val="auto"/>
        </w:rPr>
        <w:t>state how it was determined):</w:t>
      </w:r>
    </w:p>
    <w:p>
      <w:pPr>
        <w:spacing w:after="0" w:line="43" w:lineRule="exact"/>
        <w:rPr>
          <w:rFonts w:ascii="Arial" w:cs="Arial" w:eastAsia="Arial" w:hAnsi="Arial"/>
          <w:sz w:val="14"/>
          <w:szCs w:val="14"/>
          <w:color w:val="auto"/>
        </w:rPr>
      </w:pPr>
    </w:p>
    <w:p>
      <w:pPr>
        <w:ind w:left="1600" w:hanging="504"/>
        <w:spacing w:after="0"/>
        <w:tabs>
          <w:tab w:leader="none" w:pos="1600" w:val="left"/>
        </w:tabs>
        <w:numPr>
          <w:ilvl w:val="1"/>
          <w:numId w:val="4"/>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55" w:lineRule="exact"/>
        <w:rPr>
          <w:rFonts w:ascii="Arial" w:cs="Arial" w:eastAsia="Arial" w:hAnsi="Arial"/>
          <w:sz w:val="14"/>
          <w:szCs w:val="14"/>
          <w:color w:val="auto"/>
        </w:rPr>
      </w:pPr>
    </w:p>
    <w:p>
      <w:pPr>
        <w:ind w:left="1600" w:hanging="504"/>
        <w:spacing w:after="0"/>
        <w:tabs>
          <w:tab w:leader="none" w:pos="1600" w:val="left"/>
        </w:tabs>
        <w:numPr>
          <w:ilvl w:val="1"/>
          <w:numId w:val="4"/>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69" w:lineRule="exact"/>
        <w:rPr>
          <w:rFonts w:ascii="Arial" w:cs="Arial" w:eastAsia="Arial" w:hAnsi="Arial"/>
          <w:sz w:val="14"/>
          <w:szCs w:val="14"/>
          <w:color w:val="auto"/>
        </w:rPr>
      </w:pPr>
    </w:p>
    <w:p>
      <w:pPr>
        <w:ind w:left="560" w:hanging="534"/>
        <w:spacing w:after="0"/>
        <w:tabs>
          <w:tab w:leader="none" w:pos="560" w:val="left"/>
        </w:tabs>
        <w:numPr>
          <w:ilvl w:val="0"/>
          <w:numId w:val="4"/>
        </w:numPr>
        <w:rPr>
          <w:rFonts w:ascii="Arial" w:cs="Arial" w:eastAsia="Arial" w:hAnsi="Arial"/>
          <w:sz w:val="16"/>
          <w:szCs w:val="16"/>
          <w:color w:val="0E191E"/>
        </w:rPr>
      </w:pPr>
      <w:r>
        <w:rPr>
          <w:rFonts w:ascii="Arial" w:cs="Arial" w:eastAsia="Arial" w:hAnsi="Arial"/>
          <w:sz w:val="14"/>
          <w:szCs w:val="14"/>
          <w:color w:val="auto"/>
        </w:rPr>
        <w:t>Fee paid previously with preliminary materials.</w:t>
      </w:r>
    </w:p>
    <w:p>
      <w:pPr>
        <w:spacing w:after="0" w:line="222" w:lineRule="exact"/>
        <w:rPr>
          <w:rFonts w:ascii="Arial" w:cs="Arial" w:eastAsia="Arial" w:hAnsi="Arial"/>
          <w:sz w:val="16"/>
          <w:szCs w:val="16"/>
          <w:color w:val="0E191E"/>
        </w:rPr>
      </w:pPr>
    </w:p>
    <w:p>
      <w:pPr>
        <w:ind w:left="560" w:right="120" w:hanging="534"/>
        <w:spacing w:after="0" w:line="220" w:lineRule="auto"/>
        <w:tabs>
          <w:tab w:leader="none" w:pos="560" w:val="left"/>
        </w:tabs>
        <w:numPr>
          <w:ilvl w:val="0"/>
          <w:numId w:val="4"/>
        </w:numPr>
        <w:rPr>
          <w:rFonts w:ascii="Arial" w:cs="Arial" w:eastAsia="Arial" w:hAnsi="Arial"/>
          <w:sz w:val="16"/>
          <w:szCs w:val="16"/>
          <w:color w:val="0E191E"/>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0" w:lineRule="exact"/>
        <w:rPr>
          <w:rFonts w:ascii="Arial" w:cs="Arial" w:eastAsia="Arial" w:hAnsi="Arial"/>
          <w:sz w:val="16"/>
          <w:szCs w:val="16"/>
          <w:color w:val="0E191E"/>
        </w:rPr>
      </w:pPr>
    </w:p>
    <w:p>
      <w:pPr>
        <w:ind w:left="1600" w:hanging="504"/>
        <w:spacing w:after="0"/>
        <w:tabs>
          <w:tab w:leader="none" w:pos="1600" w:val="left"/>
        </w:tabs>
        <w:numPr>
          <w:ilvl w:val="1"/>
          <w:numId w:val="4"/>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55" w:lineRule="exact"/>
        <w:rPr>
          <w:rFonts w:ascii="Arial" w:cs="Arial" w:eastAsia="Arial" w:hAnsi="Arial"/>
          <w:sz w:val="14"/>
          <w:szCs w:val="14"/>
          <w:color w:val="auto"/>
        </w:rPr>
      </w:pPr>
    </w:p>
    <w:p>
      <w:pPr>
        <w:ind w:left="1600" w:hanging="504"/>
        <w:spacing w:after="0"/>
        <w:tabs>
          <w:tab w:leader="none" w:pos="1600" w:val="left"/>
        </w:tabs>
        <w:numPr>
          <w:ilvl w:val="1"/>
          <w:numId w:val="4"/>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55" w:lineRule="exact"/>
        <w:rPr>
          <w:rFonts w:ascii="Arial" w:cs="Arial" w:eastAsia="Arial" w:hAnsi="Arial"/>
          <w:sz w:val="14"/>
          <w:szCs w:val="14"/>
          <w:color w:val="auto"/>
        </w:rPr>
      </w:pPr>
    </w:p>
    <w:p>
      <w:pPr>
        <w:ind w:left="1600" w:hanging="504"/>
        <w:spacing w:after="0"/>
        <w:tabs>
          <w:tab w:leader="none" w:pos="1600" w:val="left"/>
        </w:tabs>
        <w:numPr>
          <w:ilvl w:val="1"/>
          <w:numId w:val="4"/>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8" w:lineRule="exact"/>
        <w:rPr>
          <w:rFonts w:ascii="Arial" w:cs="Arial" w:eastAsia="Arial" w:hAnsi="Arial"/>
          <w:sz w:val="14"/>
          <w:szCs w:val="14"/>
          <w:color w:val="auto"/>
        </w:rPr>
      </w:pPr>
    </w:p>
    <w:p>
      <w:pPr>
        <w:ind w:left="1600" w:hanging="504"/>
        <w:spacing w:after="0"/>
        <w:tabs>
          <w:tab w:leader="none" w:pos="1600" w:val="left"/>
        </w:tabs>
        <w:numPr>
          <w:ilvl w:val="1"/>
          <w:numId w:val="4"/>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1000"/>
          </w:cols>
          <w:pgMar w:left="320" w:top="877" w:right="579" w:bottom="1440" w:gutter="0" w:footer="0" w:header="0"/>
        </w:sectPr>
      </w:pPr>
    </w:p>
    <w:bookmarkStart w:id="1" w:name="page2"/>
    <w:bookmarkEnd w:id="1"/>
    <w:p>
      <w:pPr>
        <w:spacing w:after="0"/>
        <w:tabs>
          <w:tab w:leader="none" w:pos="1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789420" cy="8846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525780</wp:posOffset>
            </wp:positionV>
            <wp:extent cx="1628775" cy="257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5717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0E191E"/>
        </w:rPr>
        <w:t>GUIDEWIRE SOFTWARE, INC.</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0E191E"/>
        </w:rPr>
        <w:t>2850 S. Delaware St., Suite 400</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0E191E"/>
        </w:rPr>
        <w:t>San Mateo, California 94403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285750</wp:posOffset>
            </wp:positionV>
            <wp:extent cx="2237105" cy="1603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7105"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0E191E"/>
        </w:rPr>
        <w:t>Tuesday,</w:t>
      </w:r>
    </w:p>
    <w:p>
      <w:pPr>
        <w:spacing w:after="0" w:line="31"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0E191E"/>
        </w:rPr>
        <w:t>December 14, 2021</w:t>
      </w:r>
    </w:p>
    <w:p>
      <w:pPr>
        <w:spacing w:after="0" w:line="276"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0E191E"/>
        </w:rPr>
        <w:t>1:00 P.M.</w:t>
      </w:r>
    </w:p>
    <w:p>
      <w:pPr>
        <w:spacing w:after="0" w:line="31"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0E191E"/>
        </w:rPr>
        <w:t>Pacific Time</w:t>
      </w:r>
    </w:p>
    <w:p>
      <w:pPr>
        <w:spacing w:after="0" w:line="276"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0E191E"/>
        </w:rPr>
        <w:t>Online only via live</w:t>
      </w:r>
    </w:p>
    <w:p>
      <w:pPr>
        <w:spacing w:after="0" w:line="31"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0E191E"/>
        </w:rPr>
        <w:t>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2237105" cy="3771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7105"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E191E"/>
        </w:rPr>
        <w:t>Your vote is important.</w:t>
      </w:r>
    </w:p>
    <w:p>
      <w:pPr>
        <w:spacing w:after="0" w:line="167" w:lineRule="exact"/>
        <w:rPr>
          <w:sz w:val="20"/>
          <w:szCs w:val="20"/>
          <w:color w:val="auto"/>
        </w:rPr>
      </w:pPr>
    </w:p>
    <w:p>
      <w:pPr>
        <w:ind w:left="340" w:right="20"/>
        <w:spacing w:after="0" w:line="319" w:lineRule="auto"/>
        <w:rPr>
          <w:sz w:val="20"/>
          <w:szCs w:val="20"/>
          <w:color w:val="auto"/>
        </w:rPr>
      </w:pPr>
      <w:r>
        <w:rPr>
          <w:rFonts w:ascii="Arial" w:cs="Arial" w:eastAsia="Arial" w:hAnsi="Arial"/>
          <w:sz w:val="16"/>
          <w:szCs w:val="16"/>
          <w:b w:val="1"/>
          <w:bCs w:val="1"/>
          <w:color w:val="0E191E"/>
        </w:rPr>
        <w:t>Whether or not you plan to attend the annual meeting, I hope that you will vote as soon as possible. You may vote your shares over the Internet or, if you receive printed proxy materials, you may vote by a toll free telephone number, over the Internet, or by completing, signing, dating, and returning your proxy card or voting instruction card in the envelope provided. Any stockholder attending the annual meeting may vote by Internet during the meeting, even if you have already returned a proxy card or voting instruction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Notice of Annual Meeting</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of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To our stockholders:</w:t>
      </w:r>
    </w:p>
    <w:p>
      <w:pPr>
        <w:spacing w:after="0" w:line="136" w:lineRule="exact"/>
        <w:rPr>
          <w:sz w:val="20"/>
          <w:szCs w:val="20"/>
          <w:color w:val="auto"/>
        </w:rPr>
      </w:pPr>
    </w:p>
    <w:p>
      <w:pPr>
        <w:spacing w:after="0" w:line="306" w:lineRule="auto"/>
        <w:rPr>
          <w:sz w:val="20"/>
          <w:szCs w:val="20"/>
          <w:color w:val="auto"/>
        </w:rPr>
      </w:pPr>
      <w:r>
        <w:rPr>
          <w:rFonts w:ascii="Arial" w:cs="Arial" w:eastAsia="Arial" w:hAnsi="Arial"/>
          <w:sz w:val="15"/>
          <w:szCs w:val="15"/>
          <w:color w:val="0E191E"/>
        </w:rPr>
        <w:t xml:space="preserve">You are cordially invited to attend the 2021 annual meeting of stockholders of Guidewire Software, Inc. (the “Company”) to be held on Tuesday, December 14, 2021, at 1:00 p.m. Pacific Time. The 2021 annual meeting of stockholders will be held virtually via live webcast at </w:t>
      </w:r>
      <w:r>
        <w:rPr>
          <w:rFonts w:ascii="Arial" w:cs="Arial" w:eastAsia="Arial" w:hAnsi="Arial"/>
          <w:sz w:val="15"/>
          <w:szCs w:val="15"/>
          <w:i w:val="1"/>
          <w:iCs w:val="1"/>
          <w:color w:val="0E191E"/>
        </w:rPr>
        <w:t>www.virtualshareholdermeeting.com/GWRE2021.</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0E191E"/>
        </w:rPr>
        <w:t>We are holding the annual meeting for the following purposes:</w:t>
      </w:r>
    </w:p>
    <w:p>
      <w:pPr>
        <w:spacing w:after="0" w:line="206" w:lineRule="exact"/>
        <w:rPr>
          <w:sz w:val="20"/>
          <w:szCs w:val="20"/>
          <w:color w:val="auto"/>
        </w:rPr>
      </w:pPr>
    </w:p>
    <w:p>
      <w:pPr>
        <w:ind w:left="400" w:right="520" w:hanging="238"/>
        <w:spacing w:after="0" w:line="317" w:lineRule="auto"/>
        <w:tabs>
          <w:tab w:leader="none" w:pos="392" w:val="left"/>
        </w:tabs>
        <w:numPr>
          <w:ilvl w:val="0"/>
          <w:numId w:val="5"/>
        </w:numPr>
        <w:rPr>
          <w:rFonts w:ascii="Arial" w:cs="Arial" w:eastAsia="Arial" w:hAnsi="Arial"/>
          <w:sz w:val="15"/>
          <w:szCs w:val="15"/>
          <w:b w:val="1"/>
          <w:bCs w:val="1"/>
          <w:color w:val="00739D"/>
        </w:rPr>
      </w:pPr>
      <w:r>
        <w:rPr>
          <w:rFonts w:ascii="Arial" w:cs="Arial" w:eastAsia="Arial" w:hAnsi="Arial"/>
          <w:sz w:val="15"/>
          <w:szCs w:val="15"/>
          <w:color w:val="0E191E"/>
        </w:rPr>
        <w:t>To elect eight directors to serve for one-year terms expiring at the 2022 annual meeting of the stockholders;</w:t>
      </w:r>
    </w:p>
    <w:p>
      <w:pPr>
        <w:spacing w:after="0" w:line="138" w:lineRule="exact"/>
        <w:rPr>
          <w:rFonts w:ascii="Arial" w:cs="Arial" w:eastAsia="Arial" w:hAnsi="Arial"/>
          <w:sz w:val="15"/>
          <w:szCs w:val="15"/>
          <w:b w:val="1"/>
          <w:bCs w:val="1"/>
          <w:color w:val="00739D"/>
        </w:rPr>
      </w:pPr>
    </w:p>
    <w:p>
      <w:pPr>
        <w:ind w:left="400" w:right="100" w:hanging="238"/>
        <w:spacing w:after="0" w:line="317" w:lineRule="auto"/>
        <w:tabs>
          <w:tab w:leader="none" w:pos="392" w:val="left"/>
        </w:tabs>
        <w:numPr>
          <w:ilvl w:val="0"/>
          <w:numId w:val="5"/>
        </w:numPr>
        <w:rPr>
          <w:rFonts w:ascii="Arial" w:cs="Arial" w:eastAsia="Arial" w:hAnsi="Arial"/>
          <w:sz w:val="15"/>
          <w:szCs w:val="15"/>
          <w:b w:val="1"/>
          <w:bCs w:val="1"/>
          <w:color w:val="00739D"/>
        </w:rPr>
      </w:pPr>
      <w:r>
        <w:rPr>
          <w:rFonts w:ascii="Arial" w:cs="Arial" w:eastAsia="Arial" w:hAnsi="Arial"/>
          <w:sz w:val="15"/>
          <w:szCs w:val="15"/>
          <w:color w:val="0E191E"/>
        </w:rPr>
        <w:t>To ratify the appointment of KPMG LLP as our independent registered public accounting firm for the fiscal year ending July 31, 2022;</w:t>
      </w:r>
    </w:p>
    <w:p>
      <w:pPr>
        <w:spacing w:after="0" w:line="138" w:lineRule="exact"/>
        <w:rPr>
          <w:rFonts w:ascii="Arial" w:cs="Arial" w:eastAsia="Arial" w:hAnsi="Arial"/>
          <w:sz w:val="15"/>
          <w:szCs w:val="15"/>
          <w:b w:val="1"/>
          <w:bCs w:val="1"/>
          <w:color w:val="00739D"/>
        </w:rPr>
      </w:pPr>
    </w:p>
    <w:p>
      <w:pPr>
        <w:ind w:left="400" w:right="480" w:hanging="238"/>
        <w:spacing w:after="0" w:line="317" w:lineRule="auto"/>
        <w:tabs>
          <w:tab w:leader="none" w:pos="392" w:val="left"/>
        </w:tabs>
        <w:numPr>
          <w:ilvl w:val="0"/>
          <w:numId w:val="5"/>
        </w:numPr>
        <w:rPr>
          <w:rFonts w:ascii="Arial" w:cs="Arial" w:eastAsia="Arial" w:hAnsi="Arial"/>
          <w:sz w:val="15"/>
          <w:szCs w:val="15"/>
          <w:b w:val="1"/>
          <w:bCs w:val="1"/>
          <w:color w:val="00739D"/>
        </w:rPr>
      </w:pPr>
      <w:r>
        <w:rPr>
          <w:rFonts w:ascii="Arial" w:cs="Arial" w:eastAsia="Arial" w:hAnsi="Arial"/>
          <w:sz w:val="15"/>
          <w:szCs w:val="15"/>
          <w:color w:val="0E191E"/>
        </w:rPr>
        <w:t>To conduct a non-binding, advisory vote to approve the compensation of our named executive officers;</w:t>
      </w:r>
    </w:p>
    <w:p>
      <w:pPr>
        <w:spacing w:after="0" w:line="138" w:lineRule="exact"/>
        <w:rPr>
          <w:rFonts w:ascii="Arial" w:cs="Arial" w:eastAsia="Arial" w:hAnsi="Arial"/>
          <w:sz w:val="15"/>
          <w:szCs w:val="15"/>
          <w:b w:val="1"/>
          <w:bCs w:val="1"/>
          <w:color w:val="00739D"/>
        </w:rPr>
      </w:pPr>
    </w:p>
    <w:p>
      <w:pPr>
        <w:ind w:left="400" w:right="600" w:hanging="238"/>
        <w:spacing w:after="0" w:line="317" w:lineRule="auto"/>
        <w:tabs>
          <w:tab w:leader="none" w:pos="392" w:val="left"/>
        </w:tabs>
        <w:numPr>
          <w:ilvl w:val="0"/>
          <w:numId w:val="5"/>
        </w:numPr>
        <w:rPr>
          <w:rFonts w:ascii="Arial" w:cs="Arial" w:eastAsia="Arial" w:hAnsi="Arial"/>
          <w:sz w:val="15"/>
          <w:szCs w:val="15"/>
          <w:b w:val="1"/>
          <w:bCs w:val="1"/>
          <w:color w:val="00739D"/>
        </w:rPr>
      </w:pPr>
      <w:r>
        <w:rPr>
          <w:rFonts w:ascii="Arial" w:cs="Arial" w:eastAsia="Arial" w:hAnsi="Arial"/>
          <w:sz w:val="15"/>
          <w:szCs w:val="15"/>
          <w:color w:val="0E191E"/>
        </w:rPr>
        <w:t>To approve the amendment and restatement of our certificate of incorporation to remove the supermajority voting requirement therein; and</w:t>
      </w:r>
    </w:p>
    <w:p>
      <w:pPr>
        <w:spacing w:after="0" w:line="138" w:lineRule="exact"/>
        <w:rPr>
          <w:rFonts w:ascii="Arial" w:cs="Arial" w:eastAsia="Arial" w:hAnsi="Arial"/>
          <w:sz w:val="15"/>
          <w:szCs w:val="15"/>
          <w:b w:val="1"/>
          <w:bCs w:val="1"/>
          <w:color w:val="00739D"/>
        </w:rPr>
      </w:pPr>
    </w:p>
    <w:p>
      <w:pPr>
        <w:ind w:left="400" w:right="180" w:hanging="238"/>
        <w:spacing w:after="0" w:line="317" w:lineRule="auto"/>
        <w:tabs>
          <w:tab w:leader="none" w:pos="392" w:val="left"/>
        </w:tabs>
        <w:numPr>
          <w:ilvl w:val="0"/>
          <w:numId w:val="5"/>
        </w:numPr>
        <w:rPr>
          <w:rFonts w:ascii="Arial" w:cs="Arial" w:eastAsia="Arial" w:hAnsi="Arial"/>
          <w:sz w:val="15"/>
          <w:szCs w:val="15"/>
          <w:b w:val="1"/>
          <w:bCs w:val="1"/>
          <w:color w:val="00739D"/>
        </w:rPr>
      </w:pPr>
      <w:r>
        <w:rPr>
          <w:rFonts w:ascii="Arial" w:cs="Arial" w:eastAsia="Arial" w:hAnsi="Arial"/>
          <w:sz w:val="15"/>
          <w:szCs w:val="15"/>
          <w:color w:val="0E191E"/>
        </w:rPr>
        <w:t>To transact such other business as may properly come before the annual meeting or at any and all adjournments, continuations or postponements thereof.</w:t>
      </w:r>
    </w:p>
    <w:p>
      <w:pPr>
        <w:spacing w:after="0" w:line="138"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0E191E"/>
        </w:rPr>
        <w:t>If you owned our common stock at the close of business on October 19, 2021, you may attend and vote at the annual meeting. On or about November [3], 2021, we expect to mail to our stockholders a Notice of Internet Availability of Proxy Materials containing instructions on how to access our Proxy Statement and our 2021 Annual Report on Form 10-K. Our Proxy Statement and 2021 Annual Report on Form 10-K can also be accessed directly at www.proxyvote.com using the 16-digit control number located on your proxy card or in the instructions accompanying your proxy materials.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0E191E"/>
        </w:rPr>
        <w:t>Thank you for your ongoing support of Guidewire Software.</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0E191E"/>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960120" cy="471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012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color w:val="0E191E"/>
        </w:rPr>
        <w:t>MIKE ROSENBAUM</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0E191E"/>
        </w:rPr>
        <w:t>Chief Executive Officer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0E191E"/>
        </w:rPr>
        <w:t>San Mateo, California</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0E191E"/>
        </w:rPr>
        <w:t>November [3], 2021</w:t>
      </w:r>
    </w:p>
    <w:p>
      <w:pPr>
        <w:sectPr>
          <w:pgSz w:w="11900" w:h="16838" w:orient="portrait"/>
          <w:cols w:equalWidth="0" w:num="2">
            <w:col w:w="3160" w:space="720"/>
            <w:col w:w="7220"/>
          </w:cols>
          <w:pgMar w:left="340" w:top="1440" w:right="459" w:bottom="1440" w:gutter="0" w:footer="0" w:header="0"/>
        </w:sectPr>
      </w:pPr>
    </w:p>
    <w:bookmarkStart w:id="3" w:name="page4"/>
    <w:bookmarkEnd w:id="3"/>
    <w:p>
      <w:pPr>
        <w:spacing w:after="0"/>
        <w:rPr>
          <w:sz w:val="20"/>
          <w:szCs w:val="20"/>
          <w:color w:val="auto"/>
        </w:rPr>
      </w:pPr>
      <w:r>
        <w:rPr>
          <w:rFonts w:ascii="Arial" w:cs="Arial" w:eastAsia="Arial" w:hAnsi="Arial"/>
          <w:sz w:val="32"/>
          <w:szCs w:val="32"/>
          <w:b w:val="1"/>
          <w:bCs w:val="1"/>
          <w:color w:val="0E191E"/>
        </w:rPr>
        <w:t>Table of Contents</w:t>
      </w: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739D"/>
        </w:rPr>
        <w:t>Proxy Summary</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739D"/>
        </w:rPr>
        <w:t>General Information</w:t>
      </w:r>
    </w:p>
    <w:p>
      <w:pPr>
        <w:spacing w:after="0" w:line="84" w:lineRule="exact"/>
        <w:rPr>
          <w:sz w:val="20"/>
          <w:szCs w:val="20"/>
          <w:color w:val="auto"/>
        </w:rPr>
      </w:pPr>
    </w:p>
    <w:p>
      <w:pPr>
        <w:ind w:left="20" w:right="60"/>
        <w:spacing w:after="0" w:line="319" w:lineRule="auto"/>
        <w:rPr>
          <w:sz w:val="20"/>
          <w:szCs w:val="20"/>
          <w:color w:val="auto"/>
        </w:rPr>
      </w:pPr>
      <w:r>
        <w:rPr>
          <w:rFonts w:ascii="Arial" w:cs="Arial" w:eastAsia="Arial" w:hAnsi="Arial"/>
          <w:sz w:val="15"/>
          <w:szCs w:val="15"/>
          <w:b w:val="1"/>
          <w:bCs w:val="1"/>
          <w:color w:val="00739D"/>
        </w:rPr>
        <w:t>Questions and Answers About the Annual Meeting, the Proxy Materials and Voting Your Shares</w:t>
      </w:r>
    </w:p>
    <w:p>
      <w:pPr>
        <w:ind w:left="20"/>
        <w:spacing w:after="0"/>
        <w:rPr>
          <w:sz w:val="20"/>
          <w:szCs w:val="20"/>
          <w:color w:val="auto"/>
        </w:rPr>
      </w:pPr>
      <w:r>
        <w:rPr>
          <w:rFonts w:ascii="Arial" w:cs="Arial" w:eastAsia="Arial" w:hAnsi="Arial"/>
          <w:sz w:val="15"/>
          <w:szCs w:val="15"/>
          <w:b w:val="1"/>
          <w:bCs w:val="1"/>
          <w:color w:val="00739D"/>
        </w:rPr>
        <w:t>Proposal One: Election of Directors</w:t>
      </w:r>
    </w:p>
    <w:p>
      <w:pPr>
        <w:spacing w:after="0" w:line="84" w:lineRule="exact"/>
        <w:rPr>
          <w:sz w:val="20"/>
          <w:szCs w:val="20"/>
          <w:color w:val="auto"/>
        </w:rPr>
      </w:pPr>
    </w:p>
    <w:p>
      <w:pPr>
        <w:ind w:left="20" w:right="280"/>
        <w:spacing w:after="0" w:line="319" w:lineRule="auto"/>
        <w:rPr>
          <w:sz w:val="20"/>
          <w:szCs w:val="20"/>
          <w:color w:val="auto"/>
        </w:rPr>
      </w:pPr>
      <w:r>
        <w:rPr>
          <w:rFonts w:ascii="Arial" w:cs="Arial" w:eastAsia="Arial" w:hAnsi="Arial"/>
          <w:sz w:val="15"/>
          <w:szCs w:val="15"/>
          <w:b w:val="1"/>
          <w:bCs w:val="1"/>
          <w:color w:val="00739D"/>
        </w:rPr>
        <w:t>Proposal Two: Ratification of Appointment of Independent Registered Public Accounting Firm</w:t>
      </w:r>
    </w:p>
    <w:p>
      <w:pPr>
        <w:ind w:left="20"/>
        <w:spacing w:after="0"/>
        <w:rPr>
          <w:sz w:val="20"/>
          <w:szCs w:val="20"/>
          <w:color w:val="auto"/>
        </w:rPr>
      </w:pPr>
      <w:r>
        <w:rPr>
          <w:rFonts w:ascii="Arial" w:cs="Arial" w:eastAsia="Arial" w:hAnsi="Arial"/>
          <w:sz w:val="15"/>
          <w:szCs w:val="15"/>
          <w:b w:val="1"/>
          <w:bCs w:val="1"/>
          <w:color w:val="00739D"/>
        </w:rPr>
        <w:t>Audit Committee Report</w:t>
      </w:r>
    </w:p>
    <w:p>
      <w:pPr>
        <w:spacing w:after="0" w:line="84" w:lineRule="exact"/>
        <w:rPr>
          <w:sz w:val="20"/>
          <w:szCs w:val="20"/>
          <w:color w:val="auto"/>
        </w:rPr>
      </w:pPr>
    </w:p>
    <w:p>
      <w:pPr>
        <w:ind w:left="20" w:right="1060"/>
        <w:spacing w:after="0" w:line="319" w:lineRule="auto"/>
        <w:rPr>
          <w:sz w:val="20"/>
          <w:szCs w:val="20"/>
          <w:color w:val="auto"/>
        </w:rPr>
      </w:pPr>
      <w:r>
        <w:rPr>
          <w:rFonts w:ascii="Arial" w:cs="Arial" w:eastAsia="Arial" w:hAnsi="Arial"/>
          <w:sz w:val="15"/>
          <w:szCs w:val="15"/>
          <w:b w:val="1"/>
          <w:bCs w:val="1"/>
          <w:color w:val="00739D"/>
        </w:rPr>
        <w:t>Proposal Three: Non-Binding, Advisory Vote on Compensation of Named Executive Officers</w:t>
      </w:r>
    </w:p>
    <w:p>
      <w:pPr>
        <w:ind w:left="20" w:right="380"/>
        <w:spacing w:after="0" w:line="302" w:lineRule="auto"/>
        <w:rPr>
          <w:sz w:val="20"/>
          <w:szCs w:val="20"/>
          <w:color w:val="auto"/>
        </w:rPr>
      </w:pPr>
      <w:r>
        <w:rPr>
          <w:rFonts w:ascii="Arial" w:cs="Arial" w:eastAsia="Arial" w:hAnsi="Arial"/>
          <w:sz w:val="15"/>
          <w:szCs w:val="15"/>
          <w:b w:val="1"/>
          <w:bCs w:val="1"/>
          <w:color w:val="00739D"/>
        </w:rPr>
        <w:t>Proposal Four: Amendment and Restatement of our Certificate of Incorporation to Remove the Supermajority Voting Provision Therein</w:t>
      </w:r>
    </w:p>
    <w:p>
      <w:pPr>
        <w:spacing w:after="0" w:line="10" w:lineRule="exact"/>
        <w:rPr>
          <w:sz w:val="20"/>
          <w:szCs w:val="20"/>
          <w:color w:val="auto"/>
        </w:rPr>
      </w:pPr>
    </w:p>
    <w:p>
      <w:pPr>
        <w:ind w:left="20" w:right="440"/>
        <w:spacing w:after="0" w:line="322" w:lineRule="auto"/>
        <w:rPr>
          <w:sz w:val="20"/>
          <w:szCs w:val="20"/>
          <w:color w:val="auto"/>
        </w:rPr>
      </w:pPr>
      <w:r>
        <w:rPr>
          <w:rFonts w:ascii="Arial" w:cs="Arial" w:eastAsia="Arial" w:hAnsi="Arial"/>
          <w:sz w:val="15"/>
          <w:szCs w:val="15"/>
          <w:b w:val="1"/>
          <w:bCs w:val="1"/>
          <w:color w:val="00739D"/>
        </w:rPr>
        <w:t>Information About the Board of Directors and Corporate Governance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5"/>
          <w:szCs w:val="15"/>
          <w:color w:val="0E191E"/>
        </w:rPr>
        <w:t>Meetings of the Board of Directors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5"/>
          <w:szCs w:val="15"/>
          <w:color w:val="0E191E"/>
        </w:rPr>
        <w:t>Listening to Our Stockholders</w:t>
      </w:r>
    </w:p>
    <w:p>
      <w:pPr>
        <w:spacing w:after="0" w:line="57" w:lineRule="exact"/>
        <w:rPr>
          <w:sz w:val="20"/>
          <w:szCs w:val="20"/>
          <w:color w:val="auto"/>
        </w:rPr>
      </w:pPr>
    </w:p>
    <w:p>
      <w:pPr>
        <w:ind w:left="260" w:right="440"/>
        <w:spacing w:after="0" w:line="335" w:lineRule="auto"/>
        <w:rPr>
          <w:sz w:val="20"/>
          <w:szCs w:val="20"/>
          <w:color w:val="auto"/>
        </w:rPr>
      </w:pPr>
      <w:r>
        <w:rPr>
          <w:rFonts w:ascii="Arial" w:cs="Arial" w:eastAsia="Arial" w:hAnsi="Arial"/>
          <w:sz w:val="15"/>
          <w:szCs w:val="15"/>
          <w:color w:val="0E191E"/>
        </w:rPr>
        <w:t>Stockholder Communications with the Board of Directors Code of Business Conduct and Ethics Independence of the Board of Directors Structure of the Board of Directors</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5"/>
          <w:szCs w:val="15"/>
          <w:color w:val="0E191E"/>
        </w:rPr>
        <w:t>Executive Sessions</w:t>
      </w:r>
    </w:p>
    <w:p>
      <w:pPr>
        <w:spacing w:after="0" w:line="57" w:lineRule="exact"/>
        <w:rPr>
          <w:sz w:val="20"/>
          <w:szCs w:val="20"/>
          <w:color w:val="auto"/>
        </w:rPr>
      </w:pPr>
    </w:p>
    <w:p>
      <w:pPr>
        <w:ind w:left="260" w:right="720"/>
        <w:spacing w:after="0" w:line="319" w:lineRule="auto"/>
        <w:rPr>
          <w:sz w:val="20"/>
          <w:szCs w:val="20"/>
          <w:color w:val="auto"/>
        </w:rPr>
      </w:pPr>
      <w:r>
        <w:rPr>
          <w:rFonts w:ascii="Arial" w:cs="Arial" w:eastAsia="Arial" w:hAnsi="Arial"/>
          <w:sz w:val="15"/>
          <w:szCs w:val="15"/>
          <w:color w:val="0E191E"/>
        </w:rPr>
        <w:t>Director Attendance at Annual Stockholder Meetings Board’s Role in Risk Oversight</w:t>
      </w:r>
    </w:p>
    <w:p>
      <w:pPr>
        <w:ind w:left="260" w:right="1640"/>
        <w:spacing w:after="0" w:line="319" w:lineRule="auto"/>
        <w:rPr>
          <w:sz w:val="20"/>
          <w:szCs w:val="20"/>
          <w:color w:val="auto"/>
        </w:rPr>
      </w:pPr>
      <w:r>
        <w:rPr>
          <w:rFonts w:ascii="Arial" w:cs="Arial" w:eastAsia="Arial" w:hAnsi="Arial"/>
          <w:sz w:val="15"/>
          <w:szCs w:val="15"/>
          <w:color w:val="0E191E"/>
        </w:rPr>
        <w:t>Compensation Plans Risk Assessment Whistleblower Procedures Committees of the Board of Directors Consideration of Director Nominees</w:t>
      </w:r>
    </w:p>
    <w:p>
      <w:pPr>
        <w:spacing w:after="0" w:line="1" w:lineRule="exact"/>
        <w:rPr>
          <w:sz w:val="20"/>
          <w:szCs w:val="20"/>
          <w:color w:val="auto"/>
        </w:rPr>
      </w:pPr>
    </w:p>
    <w:p>
      <w:pPr>
        <w:ind w:left="260" w:right="480"/>
        <w:spacing w:after="0" w:line="260" w:lineRule="auto"/>
        <w:rPr>
          <w:sz w:val="20"/>
          <w:szCs w:val="20"/>
          <w:color w:val="auto"/>
        </w:rPr>
      </w:pPr>
      <w:r>
        <w:rPr>
          <w:rFonts w:ascii="Arial" w:cs="Arial" w:eastAsia="Arial" w:hAnsi="Arial"/>
          <w:sz w:val="15"/>
          <w:szCs w:val="15"/>
          <w:color w:val="0E191E"/>
        </w:rPr>
        <w:t>Corporate Sustainability and Environmental, Social, and Governance Matters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739D"/>
        </w:rPr>
        <w:t>Executive Officers</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739D"/>
        </w:rPr>
        <w:t>Information Regarding Compensation of Directors and</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739D"/>
        </w:rPr>
        <w:t>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0"/>
        <w:spacing w:after="0"/>
        <w:rPr>
          <w:rFonts w:ascii="Arial" w:cs="Arial" w:eastAsia="Arial" w:hAnsi="Arial"/>
          <w:sz w:val="15"/>
          <w:szCs w:val="15"/>
          <w:b w:val="1"/>
          <w:bCs w:val="1"/>
          <w:color w:val="00739D"/>
        </w:rPr>
      </w:pPr>
      <w:hyperlink w:anchor="page4">
        <w:r>
          <w:rPr>
            <w:rFonts w:ascii="Arial" w:cs="Arial" w:eastAsia="Arial" w:hAnsi="Arial"/>
            <w:sz w:val="15"/>
            <w:szCs w:val="15"/>
            <w:b w:val="1"/>
            <w:bCs w:val="1"/>
            <w:color w:val="00739D"/>
          </w:rPr>
          <w:t>1</w:t>
        </w:r>
      </w:hyperlink>
    </w:p>
    <w:p>
      <w:pPr>
        <w:spacing w:after="0" w:line="84" w:lineRule="exact"/>
        <w:rPr>
          <w:sz w:val="20"/>
          <w:szCs w:val="20"/>
          <w:color w:val="auto"/>
        </w:rPr>
      </w:pPr>
    </w:p>
    <w:p>
      <w:pPr>
        <w:ind w:left="80"/>
        <w:spacing w:after="0"/>
        <w:rPr>
          <w:rFonts w:ascii="Arial" w:cs="Arial" w:eastAsia="Arial" w:hAnsi="Arial"/>
          <w:sz w:val="15"/>
          <w:szCs w:val="15"/>
          <w:b w:val="1"/>
          <w:bCs w:val="1"/>
          <w:color w:val="00739D"/>
        </w:rPr>
      </w:pPr>
      <w:hyperlink w:anchor="page6">
        <w:r>
          <w:rPr>
            <w:rFonts w:ascii="Arial" w:cs="Arial" w:eastAsia="Arial" w:hAnsi="Arial"/>
            <w:sz w:val="15"/>
            <w:szCs w:val="15"/>
            <w:b w:val="1"/>
            <w:bCs w:val="1"/>
            <w:color w:val="00739D"/>
          </w:rPr>
          <w:t>3</w:t>
        </w:r>
      </w:hyperlink>
    </w:p>
    <w:p>
      <w:pPr>
        <w:spacing w:after="0" w:line="84" w:lineRule="exact"/>
        <w:rPr>
          <w:sz w:val="20"/>
          <w:szCs w:val="20"/>
          <w:color w:val="auto"/>
        </w:rPr>
      </w:pPr>
    </w:p>
    <w:p>
      <w:pPr>
        <w:ind w:left="80"/>
        <w:spacing w:after="0"/>
        <w:rPr>
          <w:rFonts w:ascii="Arial" w:cs="Arial" w:eastAsia="Arial" w:hAnsi="Arial"/>
          <w:sz w:val="15"/>
          <w:szCs w:val="15"/>
          <w:b w:val="1"/>
          <w:bCs w:val="1"/>
          <w:color w:val="00739D"/>
        </w:rPr>
      </w:pPr>
      <w:hyperlink w:anchor="page6">
        <w:r>
          <w:rPr>
            <w:rFonts w:ascii="Arial" w:cs="Arial" w:eastAsia="Arial" w:hAnsi="Arial"/>
            <w:sz w:val="15"/>
            <w:szCs w:val="15"/>
            <w:b w:val="1"/>
            <w:bCs w:val="1"/>
            <w:color w:val="00739D"/>
          </w:rPr>
          <w:t>3</w:t>
        </w:r>
      </w:hyperlink>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 w:type="dxa"/>
            <w:vAlign w:val="bottom"/>
          </w:tcPr>
          <w:p>
            <w:pPr>
              <w:jc w:val="right"/>
              <w:ind w:right="104"/>
              <w:spacing w:after="0"/>
              <w:rPr>
                <w:rFonts w:ascii="Arial" w:cs="Arial" w:eastAsia="Arial" w:hAnsi="Arial"/>
                <w:sz w:val="15"/>
                <w:szCs w:val="15"/>
                <w:b w:val="1"/>
                <w:bCs w:val="1"/>
                <w:color w:val="00739D"/>
                <w:w w:val="95"/>
              </w:rPr>
            </w:pPr>
            <w:hyperlink w:anchor="page13">
              <w:r>
                <w:rPr>
                  <w:rFonts w:ascii="Arial" w:cs="Arial" w:eastAsia="Arial" w:hAnsi="Arial"/>
                  <w:sz w:val="15"/>
                  <w:szCs w:val="15"/>
                  <w:b w:val="1"/>
                  <w:bCs w:val="1"/>
                  <w:color w:val="00739D"/>
                  <w:w w:val="95"/>
                </w:rPr>
                <w:t>10</w:t>
              </w:r>
            </w:hyperlink>
          </w:p>
        </w:tc>
        <w:tc>
          <w:tcPr>
            <w:tcW w:w="4980" w:type="dxa"/>
            <w:vAlign w:val="bottom"/>
          </w:tcPr>
          <w:p>
            <w:pPr>
              <w:ind w:left="420"/>
              <w:spacing w:after="0"/>
              <w:rPr>
                <w:sz w:val="20"/>
                <w:szCs w:val="20"/>
                <w:color w:val="auto"/>
              </w:rPr>
            </w:pPr>
            <w:r>
              <w:rPr>
                <w:rFonts w:ascii="Arial" w:cs="Arial" w:eastAsia="Arial" w:hAnsi="Arial"/>
                <w:sz w:val="15"/>
                <w:szCs w:val="15"/>
                <w:color w:val="0E191E"/>
              </w:rPr>
              <w:t>Director Compensation</w:t>
            </w:r>
          </w:p>
        </w:tc>
        <w:tc>
          <w:tcPr>
            <w:tcW w:w="600" w:type="dxa"/>
            <w:vAlign w:val="bottom"/>
          </w:tcPr>
          <w:p>
            <w:pPr>
              <w:jc w:val="right"/>
              <w:spacing w:after="0"/>
              <w:rPr>
                <w:sz w:val="20"/>
                <w:szCs w:val="20"/>
                <w:color w:val="auto"/>
              </w:rPr>
            </w:pPr>
            <w:r>
              <w:rPr>
                <w:rFonts w:ascii="Arial" w:cs="Arial" w:eastAsia="Arial" w:hAnsi="Arial"/>
                <w:sz w:val="15"/>
                <w:szCs w:val="15"/>
                <w:color w:val="0E191E"/>
              </w:rPr>
              <w:t>33</w:t>
            </w:r>
          </w:p>
        </w:tc>
        <w:tc>
          <w:tcPr>
            <w:tcW w:w="0" w:type="dxa"/>
            <w:vAlign w:val="bottom"/>
          </w:tcPr>
          <w:p>
            <w:pPr>
              <w:spacing w:after="0"/>
              <w:rPr>
                <w:sz w:val="1"/>
                <w:szCs w:val="1"/>
                <w:color w:val="auto"/>
              </w:rPr>
            </w:pPr>
          </w:p>
        </w:tc>
      </w:tr>
      <w:tr>
        <w:trPr>
          <w:trHeight w:val="229"/>
        </w:trPr>
        <w:tc>
          <w:tcPr>
            <w:tcW w:w="360" w:type="dxa"/>
            <w:vAlign w:val="bottom"/>
          </w:tcPr>
          <w:p>
            <w:pPr>
              <w:jc w:val="right"/>
              <w:ind w:right="104"/>
              <w:spacing w:after="0"/>
              <w:rPr>
                <w:rFonts w:ascii="Arial" w:cs="Arial" w:eastAsia="Arial" w:hAnsi="Arial"/>
                <w:sz w:val="15"/>
                <w:szCs w:val="15"/>
                <w:b w:val="1"/>
                <w:bCs w:val="1"/>
                <w:color w:val="00739D"/>
                <w:w w:val="95"/>
              </w:rPr>
            </w:pPr>
            <w:hyperlink w:anchor="page19">
              <w:r>
                <w:rPr>
                  <w:rFonts w:ascii="Arial" w:cs="Arial" w:eastAsia="Arial" w:hAnsi="Arial"/>
                  <w:sz w:val="15"/>
                  <w:szCs w:val="15"/>
                  <w:b w:val="1"/>
                  <w:bCs w:val="1"/>
                  <w:color w:val="00739D"/>
                  <w:w w:val="95"/>
                </w:rPr>
                <w:t>16</w:t>
              </w:r>
            </w:hyperlink>
          </w:p>
        </w:tc>
        <w:tc>
          <w:tcPr>
            <w:tcW w:w="4980" w:type="dxa"/>
            <w:vAlign w:val="bottom"/>
          </w:tcPr>
          <w:p>
            <w:pPr>
              <w:ind w:left="420"/>
              <w:spacing w:after="0"/>
              <w:rPr>
                <w:sz w:val="20"/>
                <w:szCs w:val="20"/>
                <w:color w:val="auto"/>
              </w:rPr>
            </w:pPr>
            <w:r>
              <w:rPr>
                <w:rFonts w:ascii="Arial" w:cs="Arial" w:eastAsia="Arial" w:hAnsi="Arial"/>
                <w:sz w:val="15"/>
                <w:szCs w:val="15"/>
                <w:color w:val="0E191E"/>
              </w:rPr>
              <w:t>Stock Ownership Guidelines</w:t>
            </w:r>
          </w:p>
        </w:tc>
        <w:tc>
          <w:tcPr>
            <w:tcW w:w="600" w:type="dxa"/>
            <w:vAlign w:val="bottom"/>
          </w:tcPr>
          <w:p>
            <w:pPr>
              <w:jc w:val="right"/>
              <w:spacing w:after="0"/>
              <w:rPr>
                <w:rFonts w:ascii="Arial" w:cs="Arial" w:eastAsia="Arial" w:hAnsi="Arial"/>
                <w:sz w:val="15"/>
                <w:szCs w:val="15"/>
                <w:color w:val="0E191E"/>
              </w:rPr>
            </w:pPr>
            <w:hyperlink w:anchor="page37">
              <w:r>
                <w:rPr>
                  <w:rFonts w:ascii="Arial" w:cs="Arial" w:eastAsia="Arial" w:hAnsi="Arial"/>
                  <w:sz w:val="15"/>
                  <w:szCs w:val="15"/>
                  <w:color w:val="0E191E"/>
                </w:rPr>
                <w:t>33</w:t>
              </w:r>
            </w:hyperlink>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5"/>
                <w:szCs w:val="15"/>
                <w:color w:val="0E191E"/>
              </w:rPr>
              <w:t>Compensation Committee Interlocks and Insider Participation</w:t>
            </w:r>
          </w:p>
        </w:tc>
        <w:tc>
          <w:tcPr>
            <w:tcW w:w="600" w:type="dxa"/>
            <w:vAlign w:val="bottom"/>
          </w:tcPr>
          <w:p>
            <w:pPr>
              <w:jc w:val="right"/>
              <w:spacing w:after="0"/>
              <w:rPr>
                <w:rFonts w:ascii="Arial" w:cs="Arial" w:eastAsia="Arial" w:hAnsi="Arial"/>
                <w:sz w:val="15"/>
                <w:szCs w:val="15"/>
                <w:color w:val="0E191E"/>
              </w:rPr>
            </w:pPr>
            <w:hyperlink w:anchor="page37">
              <w:r>
                <w:rPr>
                  <w:rFonts w:ascii="Arial" w:cs="Arial" w:eastAsia="Arial" w:hAnsi="Arial"/>
                  <w:sz w:val="15"/>
                  <w:szCs w:val="15"/>
                  <w:color w:val="0E191E"/>
                </w:rPr>
                <w:t>33</w:t>
              </w:r>
            </w:hyperlink>
          </w:p>
        </w:tc>
        <w:tc>
          <w:tcPr>
            <w:tcW w:w="0" w:type="dxa"/>
            <w:vAlign w:val="bottom"/>
          </w:tcPr>
          <w:p>
            <w:pPr>
              <w:spacing w:after="0"/>
              <w:rPr>
                <w:sz w:val="1"/>
                <w:szCs w:val="1"/>
                <w:color w:val="auto"/>
              </w:rPr>
            </w:pPr>
          </w:p>
        </w:tc>
      </w:tr>
      <w:tr>
        <w:trPr>
          <w:trHeight w:val="243"/>
        </w:trPr>
        <w:tc>
          <w:tcPr>
            <w:tcW w:w="360" w:type="dxa"/>
            <w:vAlign w:val="bottom"/>
          </w:tcPr>
          <w:p>
            <w:pPr>
              <w:jc w:val="right"/>
              <w:ind w:right="104"/>
              <w:spacing w:after="0"/>
              <w:rPr>
                <w:rFonts w:ascii="Arial" w:cs="Arial" w:eastAsia="Arial" w:hAnsi="Arial"/>
                <w:sz w:val="15"/>
                <w:szCs w:val="15"/>
                <w:b w:val="1"/>
                <w:bCs w:val="1"/>
                <w:color w:val="00739D"/>
                <w:w w:val="95"/>
              </w:rPr>
            </w:pPr>
            <w:hyperlink w:anchor="page20">
              <w:r>
                <w:rPr>
                  <w:rFonts w:ascii="Arial" w:cs="Arial" w:eastAsia="Arial" w:hAnsi="Arial"/>
                  <w:sz w:val="15"/>
                  <w:szCs w:val="15"/>
                  <w:b w:val="1"/>
                  <w:bCs w:val="1"/>
                  <w:color w:val="00739D"/>
                  <w:w w:val="95"/>
                </w:rPr>
                <w:t>17</w:t>
              </w:r>
            </w:hyperlink>
          </w:p>
        </w:tc>
        <w:tc>
          <w:tcPr>
            <w:tcW w:w="4980" w:type="dxa"/>
            <w:vAlign w:val="bottom"/>
          </w:tcPr>
          <w:p>
            <w:pPr>
              <w:ind w:left="180"/>
              <w:spacing w:after="0"/>
              <w:rPr>
                <w:sz w:val="20"/>
                <w:szCs w:val="20"/>
                <w:color w:val="auto"/>
              </w:rPr>
            </w:pPr>
            <w:r>
              <w:rPr>
                <w:rFonts w:ascii="Arial" w:cs="Arial" w:eastAsia="Arial" w:hAnsi="Arial"/>
                <w:sz w:val="15"/>
                <w:szCs w:val="15"/>
                <w:b w:val="1"/>
                <w:bCs w:val="1"/>
                <w:color w:val="00739D"/>
              </w:rPr>
              <w:t>Compensation Committee Report</w:t>
            </w:r>
          </w:p>
        </w:tc>
        <w:tc>
          <w:tcPr>
            <w:tcW w:w="600" w:type="dxa"/>
            <w:vAlign w:val="bottom"/>
          </w:tcPr>
          <w:p>
            <w:pPr>
              <w:jc w:val="right"/>
              <w:spacing w:after="0"/>
              <w:rPr>
                <w:rFonts w:ascii="Arial" w:cs="Arial" w:eastAsia="Arial" w:hAnsi="Arial"/>
                <w:sz w:val="15"/>
                <w:szCs w:val="15"/>
                <w:b w:val="1"/>
                <w:bCs w:val="1"/>
                <w:color w:val="00739D"/>
              </w:rPr>
            </w:pPr>
            <w:hyperlink w:anchor="page37">
              <w:r>
                <w:rPr>
                  <w:rFonts w:ascii="Arial" w:cs="Arial" w:eastAsia="Arial" w:hAnsi="Arial"/>
                  <w:sz w:val="15"/>
                  <w:szCs w:val="15"/>
                  <w:b w:val="1"/>
                  <w:bCs w:val="1"/>
                  <w:color w:val="00739D"/>
                </w:rPr>
                <w:t>34</w:t>
              </w:r>
            </w:hyperlink>
          </w:p>
        </w:tc>
        <w:tc>
          <w:tcPr>
            <w:tcW w:w="0" w:type="dxa"/>
            <w:vAlign w:val="bottom"/>
          </w:tcPr>
          <w:p>
            <w:pPr>
              <w:spacing w:after="0"/>
              <w:rPr>
                <w:sz w:val="1"/>
                <w:szCs w:val="1"/>
                <w:color w:val="auto"/>
              </w:rPr>
            </w:pPr>
          </w:p>
        </w:tc>
      </w:tr>
      <w:tr>
        <w:trPr>
          <w:trHeight w:val="257"/>
        </w:trPr>
        <w:tc>
          <w:tcPr>
            <w:tcW w:w="360" w:type="dxa"/>
            <w:vAlign w:val="bottom"/>
          </w:tcPr>
          <w:p>
            <w:pPr>
              <w:jc w:val="right"/>
              <w:ind w:right="104"/>
              <w:spacing w:after="0"/>
              <w:rPr>
                <w:rFonts w:ascii="Arial" w:cs="Arial" w:eastAsia="Arial" w:hAnsi="Arial"/>
                <w:sz w:val="15"/>
                <w:szCs w:val="15"/>
                <w:b w:val="1"/>
                <w:bCs w:val="1"/>
                <w:color w:val="00739D"/>
                <w:w w:val="95"/>
              </w:rPr>
            </w:pPr>
            <w:hyperlink w:anchor="page21">
              <w:r>
                <w:rPr>
                  <w:rFonts w:ascii="Arial" w:cs="Arial" w:eastAsia="Arial" w:hAnsi="Arial"/>
                  <w:sz w:val="15"/>
                  <w:szCs w:val="15"/>
                  <w:b w:val="1"/>
                  <w:bCs w:val="1"/>
                  <w:color w:val="00739D"/>
                  <w:w w:val="95"/>
                </w:rPr>
                <w:t>18</w:t>
              </w:r>
            </w:hyperlink>
          </w:p>
        </w:tc>
        <w:tc>
          <w:tcPr>
            <w:tcW w:w="4980" w:type="dxa"/>
            <w:vAlign w:val="bottom"/>
          </w:tcPr>
          <w:p>
            <w:pPr>
              <w:ind w:left="180"/>
              <w:spacing w:after="0"/>
              <w:rPr>
                <w:sz w:val="20"/>
                <w:szCs w:val="20"/>
                <w:color w:val="auto"/>
              </w:rPr>
            </w:pPr>
            <w:r>
              <w:rPr>
                <w:rFonts w:ascii="Arial" w:cs="Arial" w:eastAsia="Arial" w:hAnsi="Arial"/>
                <w:sz w:val="15"/>
                <w:szCs w:val="15"/>
                <w:b w:val="1"/>
                <w:bCs w:val="1"/>
                <w:color w:val="00739D"/>
              </w:rPr>
              <w:t>Compensation Discussion and Analysis</w:t>
            </w:r>
          </w:p>
        </w:tc>
        <w:tc>
          <w:tcPr>
            <w:tcW w:w="600" w:type="dxa"/>
            <w:vAlign w:val="bottom"/>
          </w:tcPr>
          <w:p>
            <w:pPr>
              <w:jc w:val="right"/>
              <w:spacing w:after="0"/>
              <w:rPr>
                <w:rFonts w:ascii="Arial" w:cs="Arial" w:eastAsia="Arial" w:hAnsi="Arial"/>
                <w:sz w:val="15"/>
                <w:szCs w:val="15"/>
                <w:b w:val="1"/>
                <w:bCs w:val="1"/>
                <w:color w:val="00739D"/>
              </w:rPr>
            </w:pPr>
            <w:hyperlink w:anchor="page38">
              <w:r>
                <w:rPr>
                  <w:rFonts w:ascii="Arial" w:cs="Arial" w:eastAsia="Arial" w:hAnsi="Arial"/>
                  <w:sz w:val="15"/>
                  <w:szCs w:val="15"/>
                  <w:b w:val="1"/>
                  <w:bCs w:val="1"/>
                  <w:color w:val="00739D"/>
                </w:rPr>
                <w:t>35</w:t>
              </w:r>
            </w:hyperlink>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4980" w:type="dxa"/>
            <w:vAlign w:val="bottom"/>
          </w:tcPr>
          <w:p>
            <w:pPr>
              <w:ind w:left="420"/>
              <w:spacing w:after="0"/>
              <w:rPr>
                <w:sz w:val="20"/>
                <w:szCs w:val="20"/>
                <w:color w:val="auto"/>
              </w:rPr>
            </w:pPr>
            <w:r>
              <w:rPr>
                <w:rFonts w:ascii="Arial" w:cs="Arial" w:eastAsia="Arial" w:hAnsi="Arial"/>
                <w:sz w:val="15"/>
                <w:szCs w:val="15"/>
                <w:color w:val="0E191E"/>
              </w:rPr>
              <w:t>Executive Compensation Philosophy and Objectives</w:t>
            </w:r>
          </w:p>
        </w:tc>
        <w:tc>
          <w:tcPr>
            <w:tcW w:w="600" w:type="dxa"/>
            <w:vAlign w:val="bottom"/>
          </w:tcPr>
          <w:p>
            <w:pPr>
              <w:jc w:val="right"/>
              <w:spacing w:after="0"/>
              <w:rPr>
                <w:rFonts w:ascii="Arial" w:cs="Arial" w:eastAsia="Arial" w:hAnsi="Arial"/>
                <w:sz w:val="15"/>
                <w:szCs w:val="15"/>
                <w:color w:val="0E191E"/>
              </w:rPr>
            </w:pPr>
            <w:hyperlink w:anchor="page39">
              <w:r>
                <w:rPr>
                  <w:rFonts w:ascii="Arial" w:cs="Arial" w:eastAsia="Arial" w:hAnsi="Arial"/>
                  <w:sz w:val="15"/>
                  <w:szCs w:val="15"/>
                  <w:color w:val="0E191E"/>
                </w:rPr>
                <w:t>35</w:t>
              </w:r>
            </w:hyperlink>
          </w:p>
        </w:tc>
        <w:tc>
          <w:tcPr>
            <w:tcW w:w="0" w:type="dxa"/>
            <w:vAlign w:val="bottom"/>
          </w:tcPr>
          <w:p>
            <w:pPr>
              <w:spacing w:after="0"/>
              <w:rPr>
                <w:sz w:val="1"/>
                <w:szCs w:val="1"/>
                <w:color w:val="auto"/>
              </w:rPr>
            </w:pPr>
          </w:p>
        </w:tc>
      </w:tr>
      <w:tr>
        <w:trPr>
          <w:trHeight w:val="230"/>
        </w:trPr>
        <w:tc>
          <w:tcPr>
            <w:tcW w:w="360" w:type="dxa"/>
            <w:vAlign w:val="bottom"/>
          </w:tcPr>
          <w:p>
            <w:pPr>
              <w:jc w:val="right"/>
              <w:ind w:right="104"/>
              <w:spacing w:after="0"/>
              <w:rPr>
                <w:rFonts w:ascii="Arial" w:cs="Arial" w:eastAsia="Arial" w:hAnsi="Arial"/>
                <w:sz w:val="15"/>
                <w:szCs w:val="15"/>
                <w:b w:val="1"/>
                <w:bCs w:val="1"/>
                <w:color w:val="00739D"/>
                <w:w w:val="95"/>
              </w:rPr>
            </w:pPr>
            <w:hyperlink w:anchor="page22">
              <w:r>
                <w:rPr>
                  <w:rFonts w:ascii="Arial" w:cs="Arial" w:eastAsia="Arial" w:hAnsi="Arial"/>
                  <w:sz w:val="15"/>
                  <w:szCs w:val="15"/>
                  <w:b w:val="1"/>
                  <w:bCs w:val="1"/>
                  <w:color w:val="00739D"/>
                  <w:w w:val="95"/>
                </w:rPr>
                <w:t>19</w:t>
              </w:r>
            </w:hyperlink>
          </w:p>
        </w:tc>
        <w:tc>
          <w:tcPr>
            <w:tcW w:w="4980" w:type="dxa"/>
            <w:vAlign w:val="bottom"/>
          </w:tcPr>
          <w:p>
            <w:pPr>
              <w:ind w:left="420"/>
              <w:spacing w:after="0"/>
              <w:rPr>
                <w:sz w:val="20"/>
                <w:szCs w:val="20"/>
                <w:color w:val="auto"/>
              </w:rPr>
            </w:pPr>
            <w:r>
              <w:rPr>
                <w:rFonts w:ascii="Arial" w:cs="Arial" w:eastAsia="Arial" w:hAnsi="Arial"/>
                <w:sz w:val="15"/>
                <w:szCs w:val="15"/>
                <w:color w:val="0E191E"/>
              </w:rPr>
              <w:t>Compensation Program Design</w:t>
            </w:r>
          </w:p>
        </w:tc>
        <w:tc>
          <w:tcPr>
            <w:tcW w:w="600" w:type="dxa"/>
            <w:vAlign w:val="bottom"/>
          </w:tcPr>
          <w:p>
            <w:pPr>
              <w:jc w:val="right"/>
              <w:spacing w:after="0"/>
              <w:rPr>
                <w:rFonts w:ascii="Arial" w:cs="Arial" w:eastAsia="Arial" w:hAnsi="Arial"/>
                <w:sz w:val="15"/>
                <w:szCs w:val="15"/>
                <w:color w:val="0E191E"/>
              </w:rPr>
            </w:pPr>
            <w:hyperlink w:anchor="page39">
              <w:r>
                <w:rPr>
                  <w:rFonts w:ascii="Arial" w:cs="Arial" w:eastAsia="Arial" w:hAnsi="Arial"/>
                  <w:sz w:val="15"/>
                  <w:szCs w:val="15"/>
                  <w:color w:val="0E191E"/>
                </w:rPr>
                <w:t>35</w:t>
              </w:r>
            </w:hyperlink>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5"/>
                <w:szCs w:val="15"/>
                <w:color w:val="0E191E"/>
              </w:rPr>
              <w:t>Compensation-Setting Process</w:t>
            </w:r>
          </w:p>
        </w:tc>
        <w:tc>
          <w:tcPr>
            <w:tcW w:w="600" w:type="dxa"/>
            <w:vAlign w:val="bottom"/>
          </w:tcPr>
          <w:p>
            <w:pPr>
              <w:jc w:val="right"/>
              <w:spacing w:after="0"/>
              <w:rPr>
                <w:rFonts w:ascii="Arial" w:cs="Arial" w:eastAsia="Arial" w:hAnsi="Arial"/>
                <w:sz w:val="15"/>
                <w:szCs w:val="15"/>
                <w:color w:val="0E191E"/>
              </w:rPr>
            </w:pPr>
            <w:hyperlink w:anchor="page40">
              <w:r>
                <w:rPr>
                  <w:rFonts w:ascii="Arial" w:cs="Arial" w:eastAsia="Arial" w:hAnsi="Arial"/>
                  <w:sz w:val="15"/>
                  <w:szCs w:val="15"/>
                  <w:color w:val="0E191E"/>
                </w:rPr>
                <w:t>36</w:t>
              </w:r>
            </w:hyperlink>
          </w:p>
        </w:tc>
        <w:tc>
          <w:tcPr>
            <w:tcW w:w="0" w:type="dxa"/>
            <w:vAlign w:val="bottom"/>
          </w:tcPr>
          <w:p>
            <w:pPr>
              <w:spacing w:after="0"/>
              <w:rPr>
                <w:sz w:val="1"/>
                <w:szCs w:val="1"/>
                <w:color w:val="auto"/>
              </w:rPr>
            </w:pPr>
          </w:p>
        </w:tc>
      </w:tr>
      <w:tr>
        <w:trPr>
          <w:trHeight w:val="229"/>
        </w:trPr>
        <w:tc>
          <w:tcPr>
            <w:tcW w:w="360" w:type="dxa"/>
            <w:vAlign w:val="bottom"/>
            <w:vMerge w:val="restart"/>
          </w:tcPr>
          <w:p>
            <w:pPr>
              <w:jc w:val="right"/>
              <w:ind w:right="104"/>
              <w:spacing w:after="0"/>
              <w:rPr>
                <w:rFonts w:ascii="Arial" w:cs="Arial" w:eastAsia="Arial" w:hAnsi="Arial"/>
                <w:sz w:val="15"/>
                <w:szCs w:val="15"/>
                <w:b w:val="1"/>
                <w:bCs w:val="1"/>
                <w:color w:val="00739D"/>
                <w:w w:val="95"/>
              </w:rPr>
            </w:pPr>
            <w:hyperlink w:anchor="page24">
              <w:r>
                <w:rPr>
                  <w:rFonts w:ascii="Arial" w:cs="Arial" w:eastAsia="Arial" w:hAnsi="Arial"/>
                  <w:sz w:val="15"/>
                  <w:szCs w:val="15"/>
                  <w:b w:val="1"/>
                  <w:bCs w:val="1"/>
                  <w:color w:val="00739D"/>
                  <w:w w:val="95"/>
                </w:rPr>
                <w:t>21</w:t>
              </w:r>
            </w:hyperlink>
          </w:p>
        </w:tc>
        <w:tc>
          <w:tcPr>
            <w:tcW w:w="4980" w:type="dxa"/>
            <w:vAlign w:val="bottom"/>
          </w:tcPr>
          <w:p>
            <w:pPr>
              <w:ind w:left="420"/>
              <w:spacing w:after="0"/>
              <w:rPr>
                <w:sz w:val="20"/>
                <w:szCs w:val="20"/>
                <w:color w:val="auto"/>
              </w:rPr>
            </w:pPr>
            <w:r>
              <w:rPr>
                <w:rFonts w:ascii="Arial" w:cs="Arial" w:eastAsia="Arial" w:hAnsi="Arial"/>
                <w:sz w:val="15"/>
                <w:szCs w:val="15"/>
                <w:color w:val="0E191E"/>
              </w:rPr>
              <w:t>Executive Compensation Program Elements</w:t>
            </w:r>
          </w:p>
        </w:tc>
        <w:tc>
          <w:tcPr>
            <w:tcW w:w="600" w:type="dxa"/>
            <w:vAlign w:val="bottom"/>
          </w:tcPr>
          <w:p>
            <w:pPr>
              <w:jc w:val="right"/>
              <w:spacing w:after="0"/>
              <w:rPr>
                <w:rFonts w:ascii="Arial" w:cs="Arial" w:eastAsia="Arial" w:hAnsi="Arial"/>
                <w:sz w:val="15"/>
                <w:szCs w:val="15"/>
                <w:color w:val="0E191E"/>
              </w:rPr>
            </w:pPr>
            <w:hyperlink w:anchor="page43">
              <w:r>
                <w:rPr>
                  <w:rFonts w:ascii="Arial" w:cs="Arial" w:eastAsia="Arial" w:hAnsi="Arial"/>
                  <w:sz w:val="15"/>
                  <w:szCs w:val="15"/>
                  <w:color w:val="0E191E"/>
                </w:rPr>
                <w:t>39</w:t>
              </w:r>
            </w:hyperlink>
          </w:p>
        </w:tc>
        <w:tc>
          <w:tcPr>
            <w:tcW w:w="0" w:type="dxa"/>
            <w:vAlign w:val="bottom"/>
          </w:tcPr>
          <w:p>
            <w:pPr>
              <w:spacing w:after="0"/>
              <w:rPr>
                <w:sz w:val="1"/>
                <w:szCs w:val="1"/>
                <w:color w:val="auto"/>
              </w:rPr>
            </w:pPr>
          </w:p>
        </w:tc>
      </w:tr>
      <w:tr>
        <w:trPr>
          <w:trHeight w:val="176"/>
        </w:trPr>
        <w:tc>
          <w:tcPr>
            <w:tcW w:w="360" w:type="dxa"/>
            <w:vAlign w:val="bottom"/>
            <w:vMerge w:val="continue"/>
          </w:tcPr>
          <w:p>
            <w:pPr>
              <w:spacing w:after="0"/>
              <w:rPr>
                <w:sz w:val="15"/>
                <w:szCs w:val="15"/>
                <w:color w:val="auto"/>
              </w:rPr>
            </w:pPr>
          </w:p>
        </w:tc>
        <w:tc>
          <w:tcPr>
            <w:tcW w:w="4980" w:type="dxa"/>
            <w:vAlign w:val="bottom"/>
            <w:vMerge w:val="restart"/>
          </w:tcPr>
          <w:p>
            <w:pPr>
              <w:ind w:left="420"/>
              <w:spacing w:after="0"/>
              <w:rPr>
                <w:sz w:val="20"/>
                <w:szCs w:val="20"/>
                <w:color w:val="auto"/>
              </w:rPr>
            </w:pPr>
            <w:r>
              <w:rPr>
                <w:rFonts w:ascii="Arial" w:cs="Arial" w:eastAsia="Arial" w:hAnsi="Arial"/>
                <w:sz w:val="15"/>
                <w:szCs w:val="15"/>
                <w:color w:val="0E191E"/>
              </w:rPr>
              <w:t>Executive Agreements and Termination of Employment</w:t>
            </w:r>
          </w:p>
        </w:tc>
        <w:tc>
          <w:tcPr>
            <w:tcW w:w="600" w:type="dxa"/>
            <w:vAlign w:val="bottom"/>
            <w:vMerge w:val="restart"/>
          </w:tcPr>
          <w:p>
            <w:pPr>
              <w:jc w:val="right"/>
              <w:spacing w:after="0"/>
              <w:rPr>
                <w:rFonts w:ascii="Arial" w:cs="Arial" w:eastAsia="Arial" w:hAnsi="Arial"/>
                <w:sz w:val="15"/>
                <w:szCs w:val="15"/>
                <w:color w:val="0E191E"/>
              </w:rPr>
            </w:pPr>
            <w:hyperlink w:anchor="page48">
              <w:r>
                <w:rPr>
                  <w:rFonts w:ascii="Arial" w:cs="Arial" w:eastAsia="Arial" w:hAnsi="Arial"/>
                  <w:sz w:val="15"/>
                  <w:szCs w:val="15"/>
                  <w:color w:val="0E191E"/>
                </w:rPr>
                <w:t>45</w:t>
              </w:r>
            </w:hyperlink>
          </w:p>
        </w:tc>
        <w:tc>
          <w:tcPr>
            <w:tcW w:w="0" w:type="dxa"/>
            <w:vAlign w:val="bottom"/>
          </w:tcPr>
          <w:p>
            <w:pPr>
              <w:spacing w:after="0"/>
              <w:rPr>
                <w:sz w:val="1"/>
                <w:szCs w:val="1"/>
                <w:color w:val="auto"/>
              </w:rPr>
            </w:pPr>
          </w:p>
        </w:tc>
      </w:tr>
      <w:tr>
        <w:trPr>
          <w:trHeight w:val="45"/>
        </w:trPr>
        <w:tc>
          <w:tcPr>
            <w:tcW w:w="360" w:type="dxa"/>
            <w:vAlign w:val="bottom"/>
          </w:tcPr>
          <w:p>
            <w:pPr>
              <w:spacing w:after="0"/>
              <w:rPr>
                <w:sz w:val="3"/>
                <w:szCs w:val="3"/>
                <w:color w:val="auto"/>
              </w:rPr>
            </w:pPr>
          </w:p>
        </w:tc>
        <w:tc>
          <w:tcPr>
            <w:tcW w:w="498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4980" w:type="dxa"/>
            <w:vAlign w:val="bottom"/>
          </w:tcPr>
          <w:p>
            <w:pPr>
              <w:ind w:left="420"/>
              <w:spacing w:after="0"/>
              <w:rPr>
                <w:sz w:val="20"/>
                <w:szCs w:val="20"/>
                <w:color w:val="auto"/>
              </w:rPr>
            </w:pPr>
            <w:r>
              <w:rPr>
                <w:rFonts w:ascii="Arial" w:cs="Arial" w:eastAsia="Arial" w:hAnsi="Arial"/>
                <w:sz w:val="15"/>
                <w:szCs w:val="15"/>
                <w:color w:val="0E191E"/>
              </w:rPr>
              <w:t>Arrangements</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 w:type="dxa"/>
            <w:vAlign w:val="bottom"/>
          </w:tcPr>
          <w:p>
            <w:pPr>
              <w:jc w:val="right"/>
              <w:ind w:right="104"/>
              <w:spacing w:after="0"/>
              <w:rPr>
                <w:rFonts w:ascii="Arial" w:cs="Arial" w:eastAsia="Arial" w:hAnsi="Arial"/>
                <w:sz w:val="15"/>
                <w:szCs w:val="15"/>
                <w:color w:val="0E191E"/>
                <w:w w:val="95"/>
              </w:rPr>
            </w:pPr>
            <w:hyperlink w:anchor="page25">
              <w:r>
                <w:rPr>
                  <w:rFonts w:ascii="Arial" w:cs="Arial" w:eastAsia="Arial" w:hAnsi="Arial"/>
                  <w:sz w:val="15"/>
                  <w:szCs w:val="15"/>
                  <w:color w:val="0E191E"/>
                  <w:w w:val="95"/>
                </w:rPr>
                <w:t>21</w:t>
              </w:r>
            </w:hyperlink>
          </w:p>
        </w:tc>
        <w:tc>
          <w:tcPr>
            <w:tcW w:w="4980" w:type="dxa"/>
            <w:vAlign w:val="bottom"/>
          </w:tcPr>
          <w:p>
            <w:pPr>
              <w:ind w:left="420"/>
              <w:spacing w:after="0"/>
              <w:rPr>
                <w:sz w:val="20"/>
                <w:szCs w:val="20"/>
                <w:color w:val="auto"/>
              </w:rPr>
            </w:pPr>
            <w:r>
              <w:rPr>
                <w:rFonts w:ascii="Arial" w:cs="Arial" w:eastAsia="Arial" w:hAnsi="Arial"/>
                <w:sz w:val="15"/>
                <w:szCs w:val="15"/>
                <w:color w:val="0E191E"/>
              </w:rPr>
              <w:t>Other Compensation Policies</w:t>
            </w:r>
          </w:p>
        </w:tc>
        <w:tc>
          <w:tcPr>
            <w:tcW w:w="600" w:type="dxa"/>
            <w:vAlign w:val="bottom"/>
          </w:tcPr>
          <w:p>
            <w:pPr>
              <w:jc w:val="right"/>
              <w:spacing w:after="0"/>
              <w:rPr>
                <w:sz w:val="20"/>
                <w:szCs w:val="20"/>
                <w:color w:val="auto"/>
              </w:rPr>
            </w:pPr>
            <w:r>
              <w:rPr>
                <w:rFonts w:ascii="Arial" w:cs="Arial" w:eastAsia="Arial" w:hAnsi="Arial"/>
                <w:sz w:val="15"/>
                <w:szCs w:val="15"/>
                <w:color w:val="0E191E"/>
              </w:rPr>
              <w:t>46</w:t>
            </w:r>
          </w:p>
        </w:tc>
        <w:tc>
          <w:tcPr>
            <w:tcW w:w="0" w:type="dxa"/>
            <w:vAlign w:val="bottom"/>
          </w:tcPr>
          <w:p>
            <w:pPr>
              <w:spacing w:after="0"/>
              <w:rPr>
                <w:sz w:val="1"/>
                <w:szCs w:val="1"/>
                <w:color w:val="auto"/>
              </w:rPr>
            </w:pPr>
          </w:p>
        </w:tc>
      </w:tr>
      <w:tr>
        <w:trPr>
          <w:trHeight w:val="229"/>
        </w:trPr>
        <w:tc>
          <w:tcPr>
            <w:tcW w:w="360" w:type="dxa"/>
            <w:vAlign w:val="bottom"/>
          </w:tcPr>
          <w:p>
            <w:pPr>
              <w:jc w:val="right"/>
              <w:ind w:right="104"/>
              <w:spacing w:after="0"/>
              <w:rPr>
                <w:sz w:val="20"/>
                <w:szCs w:val="20"/>
                <w:color w:val="auto"/>
              </w:rPr>
            </w:pPr>
            <w:r>
              <w:rPr>
                <w:rFonts w:ascii="Arial" w:cs="Arial" w:eastAsia="Arial" w:hAnsi="Arial"/>
                <w:sz w:val="15"/>
                <w:szCs w:val="15"/>
                <w:color w:val="0E191E"/>
                <w:w w:val="95"/>
              </w:rPr>
              <w:t>21</w:t>
            </w:r>
          </w:p>
        </w:tc>
        <w:tc>
          <w:tcPr>
            <w:tcW w:w="4980" w:type="dxa"/>
            <w:vAlign w:val="bottom"/>
          </w:tcPr>
          <w:p>
            <w:pPr>
              <w:ind w:left="420"/>
              <w:spacing w:after="0"/>
              <w:rPr>
                <w:sz w:val="20"/>
                <w:szCs w:val="20"/>
                <w:color w:val="auto"/>
              </w:rPr>
            </w:pPr>
            <w:r>
              <w:rPr>
                <w:rFonts w:ascii="Arial" w:cs="Arial" w:eastAsia="Arial" w:hAnsi="Arial"/>
                <w:sz w:val="15"/>
                <w:szCs w:val="15"/>
                <w:color w:val="0E191E"/>
              </w:rPr>
              <w:t>Tax and Accounting Considerations</w:t>
            </w:r>
          </w:p>
        </w:tc>
        <w:tc>
          <w:tcPr>
            <w:tcW w:w="600" w:type="dxa"/>
            <w:vAlign w:val="bottom"/>
          </w:tcPr>
          <w:p>
            <w:pPr>
              <w:jc w:val="right"/>
              <w:spacing w:after="0"/>
              <w:rPr>
                <w:rFonts w:ascii="Arial" w:cs="Arial" w:eastAsia="Arial" w:hAnsi="Arial"/>
                <w:sz w:val="15"/>
                <w:szCs w:val="15"/>
                <w:color w:val="0E191E"/>
              </w:rPr>
            </w:pPr>
            <w:hyperlink w:anchor="page51">
              <w:r>
                <w:rPr>
                  <w:rFonts w:ascii="Arial" w:cs="Arial" w:eastAsia="Arial" w:hAnsi="Arial"/>
                  <w:sz w:val="15"/>
                  <w:szCs w:val="15"/>
                  <w:color w:val="0E191E"/>
                </w:rPr>
                <w:t>47</w:t>
              </w:r>
            </w:hyperlink>
          </w:p>
        </w:tc>
        <w:tc>
          <w:tcPr>
            <w:tcW w:w="0" w:type="dxa"/>
            <w:vAlign w:val="bottom"/>
          </w:tcPr>
          <w:p>
            <w:pPr>
              <w:spacing w:after="0"/>
              <w:rPr>
                <w:sz w:val="1"/>
                <w:szCs w:val="1"/>
                <w:color w:val="auto"/>
              </w:rPr>
            </w:pPr>
          </w:p>
        </w:tc>
      </w:tr>
      <w:tr>
        <w:trPr>
          <w:trHeight w:val="229"/>
        </w:trPr>
        <w:tc>
          <w:tcPr>
            <w:tcW w:w="360" w:type="dxa"/>
            <w:vAlign w:val="bottom"/>
          </w:tcPr>
          <w:p>
            <w:pPr>
              <w:jc w:val="right"/>
              <w:ind w:right="104"/>
              <w:spacing w:after="0"/>
              <w:rPr>
                <w:sz w:val="20"/>
                <w:szCs w:val="20"/>
                <w:color w:val="auto"/>
              </w:rPr>
            </w:pPr>
            <w:r>
              <w:rPr>
                <w:rFonts w:ascii="Arial" w:cs="Arial" w:eastAsia="Arial" w:hAnsi="Arial"/>
                <w:sz w:val="15"/>
                <w:szCs w:val="15"/>
                <w:color w:val="0E191E"/>
                <w:w w:val="95"/>
              </w:rPr>
              <w:t>22</w:t>
            </w:r>
          </w:p>
        </w:tc>
        <w:tc>
          <w:tcPr>
            <w:tcW w:w="4980" w:type="dxa"/>
            <w:vAlign w:val="bottom"/>
          </w:tcPr>
          <w:p>
            <w:pPr>
              <w:ind w:left="420"/>
              <w:spacing w:after="0"/>
              <w:rPr>
                <w:sz w:val="20"/>
                <w:szCs w:val="20"/>
                <w:color w:val="auto"/>
              </w:rPr>
            </w:pPr>
            <w:r>
              <w:rPr>
                <w:rFonts w:ascii="Arial" w:cs="Arial" w:eastAsia="Arial" w:hAnsi="Arial"/>
                <w:sz w:val="15"/>
                <w:szCs w:val="15"/>
                <w:color w:val="0E191E"/>
              </w:rPr>
              <w:t>Summary Compensation Table</w:t>
            </w:r>
          </w:p>
        </w:tc>
        <w:tc>
          <w:tcPr>
            <w:tcW w:w="600" w:type="dxa"/>
            <w:vAlign w:val="bottom"/>
          </w:tcPr>
          <w:p>
            <w:pPr>
              <w:jc w:val="right"/>
              <w:spacing w:after="0"/>
              <w:rPr>
                <w:rFonts w:ascii="Arial" w:cs="Arial" w:eastAsia="Arial" w:hAnsi="Arial"/>
                <w:sz w:val="15"/>
                <w:szCs w:val="15"/>
                <w:color w:val="0E191E"/>
              </w:rPr>
            </w:pPr>
            <w:hyperlink w:anchor="page51">
              <w:r>
                <w:rPr>
                  <w:rFonts w:ascii="Arial" w:cs="Arial" w:eastAsia="Arial" w:hAnsi="Arial"/>
                  <w:sz w:val="15"/>
                  <w:szCs w:val="15"/>
                  <w:color w:val="0E191E"/>
                </w:rPr>
                <w:t>48</w:t>
              </w:r>
            </w:hyperlink>
          </w:p>
        </w:tc>
        <w:tc>
          <w:tcPr>
            <w:tcW w:w="0" w:type="dxa"/>
            <w:vAlign w:val="bottom"/>
          </w:tcPr>
          <w:p>
            <w:pPr>
              <w:spacing w:after="0"/>
              <w:rPr>
                <w:sz w:val="1"/>
                <w:szCs w:val="1"/>
                <w:color w:val="auto"/>
              </w:rPr>
            </w:pPr>
          </w:p>
        </w:tc>
      </w:tr>
      <w:tr>
        <w:trPr>
          <w:trHeight w:val="230"/>
        </w:trPr>
        <w:tc>
          <w:tcPr>
            <w:tcW w:w="360" w:type="dxa"/>
            <w:vAlign w:val="bottom"/>
          </w:tcPr>
          <w:p>
            <w:pPr>
              <w:jc w:val="right"/>
              <w:ind w:right="104"/>
              <w:spacing w:after="0"/>
              <w:rPr>
                <w:rFonts w:ascii="Arial" w:cs="Arial" w:eastAsia="Arial" w:hAnsi="Arial"/>
                <w:sz w:val="15"/>
                <w:szCs w:val="15"/>
                <w:color w:val="0E191E"/>
                <w:w w:val="95"/>
              </w:rPr>
            </w:pPr>
            <w:hyperlink w:anchor="page26">
              <w:r>
                <w:rPr>
                  <w:rFonts w:ascii="Arial" w:cs="Arial" w:eastAsia="Arial" w:hAnsi="Arial"/>
                  <w:sz w:val="15"/>
                  <w:szCs w:val="15"/>
                  <w:color w:val="0E191E"/>
                  <w:w w:val="95"/>
                </w:rPr>
                <w:t>22</w:t>
              </w:r>
            </w:hyperlink>
          </w:p>
        </w:tc>
        <w:tc>
          <w:tcPr>
            <w:tcW w:w="4980" w:type="dxa"/>
            <w:vAlign w:val="bottom"/>
          </w:tcPr>
          <w:p>
            <w:pPr>
              <w:ind w:left="420"/>
              <w:spacing w:after="0"/>
              <w:rPr>
                <w:sz w:val="20"/>
                <w:szCs w:val="20"/>
                <w:color w:val="auto"/>
              </w:rPr>
            </w:pPr>
            <w:r>
              <w:rPr>
                <w:rFonts w:ascii="Arial" w:cs="Arial" w:eastAsia="Arial" w:hAnsi="Arial"/>
                <w:sz w:val="15"/>
                <w:szCs w:val="15"/>
                <w:color w:val="0E191E"/>
              </w:rPr>
              <w:t>Grants of Plan-Based Awards</w:t>
            </w:r>
          </w:p>
        </w:tc>
        <w:tc>
          <w:tcPr>
            <w:tcW w:w="600" w:type="dxa"/>
            <w:vAlign w:val="bottom"/>
          </w:tcPr>
          <w:p>
            <w:pPr>
              <w:jc w:val="right"/>
              <w:spacing w:after="0"/>
              <w:rPr>
                <w:rFonts w:ascii="Arial" w:cs="Arial" w:eastAsia="Arial" w:hAnsi="Arial"/>
                <w:sz w:val="15"/>
                <w:szCs w:val="15"/>
                <w:color w:val="0E191E"/>
              </w:rPr>
            </w:pPr>
            <w:hyperlink w:anchor="page52">
              <w:r>
                <w:rPr>
                  <w:rFonts w:ascii="Arial" w:cs="Arial" w:eastAsia="Arial" w:hAnsi="Arial"/>
                  <w:sz w:val="15"/>
                  <w:szCs w:val="15"/>
                  <w:color w:val="0E191E"/>
                </w:rPr>
                <w:t>49</w:t>
              </w:r>
            </w:hyperlink>
          </w:p>
        </w:tc>
        <w:tc>
          <w:tcPr>
            <w:tcW w:w="0" w:type="dxa"/>
            <w:vAlign w:val="bottom"/>
          </w:tcPr>
          <w:p>
            <w:pPr>
              <w:spacing w:after="0"/>
              <w:rPr>
                <w:sz w:val="1"/>
                <w:szCs w:val="1"/>
                <w:color w:val="auto"/>
              </w:rPr>
            </w:pPr>
          </w:p>
        </w:tc>
      </w:tr>
      <w:tr>
        <w:trPr>
          <w:trHeight w:val="229"/>
        </w:trPr>
        <w:tc>
          <w:tcPr>
            <w:tcW w:w="360" w:type="dxa"/>
            <w:vAlign w:val="bottom"/>
          </w:tcPr>
          <w:p>
            <w:pPr>
              <w:jc w:val="right"/>
              <w:ind w:right="104"/>
              <w:spacing w:after="0"/>
              <w:rPr>
                <w:rFonts w:ascii="Arial" w:cs="Arial" w:eastAsia="Arial" w:hAnsi="Arial"/>
                <w:sz w:val="15"/>
                <w:szCs w:val="15"/>
                <w:color w:val="0E191E"/>
                <w:w w:val="95"/>
              </w:rPr>
            </w:pPr>
            <w:hyperlink w:anchor="page26">
              <w:r>
                <w:rPr>
                  <w:rFonts w:ascii="Arial" w:cs="Arial" w:eastAsia="Arial" w:hAnsi="Arial"/>
                  <w:sz w:val="15"/>
                  <w:szCs w:val="15"/>
                  <w:color w:val="0E191E"/>
                  <w:w w:val="95"/>
                </w:rPr>
                <w:t>22</w:t>
              </w:r>
            </w:hyperlink>
          </w:p>
        </w:tc>
        <w:tc>
          <w:tcPr>
            <w:tcW w:w="4980" w:type="dxa"/>
            <w:vAlign w:val="bottom"/>
          </w:tcPr>
          <w:p>
            <w:pPr>
              <w:ind w:left="420"/>
              <w:spacing w:after="0"/>
              <w:rPr>
                <w:sz w:val="20"/>
                <w:szCs w:val="20"/>
                <w:color w:val="auto"/>
              </w:rPr>
            </w:pPr>
            <w:r>
              <w:rPr>
                <w:rFonts w:ascii="Arial" w:cs="Arial" w:eastAsia="Arial" w:hAnsi="Arial"/>
                <w:sz w:val="15"/>
                <w:szCs w:val="15"/>
                <w:color w:val="0E191E"/>
              </w:rPr>
              <w:t>Outstanding Equity Awards at Fiscal Year End</w:t>
            </w:r>
          </w:p>
        </w:tc>
        <w:tc>
          <w:tcPr>
            <w:tcW w:w="600" w:type="dxa"/>
            <w:vAlign w:val="bottom"/>
          </w:tcPr>
          <w:p>
            <w:pPr>
              <w:jc w:val="right"/>
              <w:spacing w:after="0"/>
              <w:rPr>
                <w:rFonts w:ascii="Arial" w:cs="Arial" w:eastAsia="Arial" w:hAnsi="Arial"/>
                <w:sz w:val="15"/>
                <w:szCs w:val="15"/>
                <w:color w:val="0E191E"/>
              </w:rPr>
            </w:pPr>
            <w:hyperlink w:anchor="page54">
              <w:r>
                <w:rPr>
                  <w:rFonts w:ascii="Arial" w:cs="Arial" w:eastAsia="Arial" w:hAnsi="Arial"/>
                  <w:sz w:val="15"/>
                  <w:szCs w:val="15"/>
                  <w:color w:val="0E191E"/>
                </w:rPr>
                <w:t>50</w:t>
              </w:r>
            </w:hyperlink>
          </w:p>
        </w:tc>
        <w:tc>
          <w:tcPr>
            <w:tcW w:w="0" w:type="dxa"/>
            <w:vAlign w:val="bottom"/>
          </w:tcPr>
          <w:p>
            <w:pPr>
              <w:spacing w:after="0"/>
              <w:rPr>
                <w:sz w:val="1"/>
                <w:szCs w:val="1"/>
                <w:color w:val="auto"/>
              </w:rPr>
            </w:pPr>
          </w:p>
        </w:tc>
      </w:tr>
      <w:tr>
        <w:trPr>
          <w:trHeight w:val="230"/>
        </w:trPr>
        <w:tc>
          <w:tcPr>
            <w:tcW w:w="360" w:type="dxa"/>
            <w:vAlign w:val="bottom"/>
          </w:tcPr>
          <w:p>
            <w:pPr>
              <w:jc w:val="right"/>
              <w:ind w:right="104"/>
              <w:spacing w:after="0"/>
              <w:rPr>
                <w:rFonts w:ascii="Arial" w:cs="Arial" w:eastAsia="Arial" w:hAnsi="Arial"/>
                <w:sz w:val="15"/>
                <w:szCs w:val="15"/>
                <w:color w:val="0E191E"/>
                <w:w w:val="95"/>
              </w:rPr>
            </w:pPr>
            <w:hyperlink w:anchor="page26">
              <w:r>
                <w:rPr>
                  <w:rFonts w:ascii="Arial" w:cs="Arial" w:eastAsia="Arial" w:hAnsi="Arial"/>
                  <w:sz w:val="15"/>
                  <w:szCs w:val="15"/>
                  <w:color w:val="0E191E"/>
                  <w:w w:val="95"/>
                </w:rPr>
                <w:t>22</w:t>
              </w:r>
            </w:hyperlink>
          </w:p>
        </w:tc>
        <w:tc>
          <w:tcPr>
            <w:tcW w:w="4980" w:type="dxa"/>
            <w:vAlign w:val="bottom"/>
          </w:tcPr>
          <w:p>
            <w:pPr>
              <w:ind w:left="420"/>
              <w:spacing w:after="0"/>
              <w:rPr>
                <w:sz w:val="20"/>
                <w:szCs w:val="20"/>
                <w:color w:val="auto"/>
              </w:rPr>
            </w:pPr>
            <w:r>
              <w:rPr>
                <w:rFonts w:ascii="Arial" w:cs="Arial" w:eastAsia="Arial" w:hAnsi="Arial"/>
                <w:sz w:val="15"/>
                <w:szCs w:val="15"/>
                <w:color w:val="0E191E"/>
              </w:rPr>
              <w:t>Options Exercises and Stock Vested at Fiscal Year End</w:t>
            </w:r>
          </w:p>
        </w:tc>
        <w:tc>
          <w:tcPr>
            <w:tcW w:w="600" w:type="dxa"/>
            <w:vAlign w:val="bottom"/>
          </w:tcPr>
          <w:p>
            <w:pPr>
              <w:jc w:val="right"/>
              <w:spacing w:after="0"/>
              <w:rPr>
                <w:rFonts w:ascii="Arial" w:cs="Arial" w:eastAsia="Arial" w:hAnsi="Arial"/>
                <w:sz w:val="15"/>
                <w:szCs w:val="15"/>
                <w:color w:val="0E191E"/>
              </w:rPr>
            </w:pPr>
            <w:hyperlink w:anchor="page57">
              <w:r>
                <w:rPr>
                  <w:rFonts w:ascii="Arial" w:cs="Arial" w:eastAsia="Arial" w:hAnsi="Arial"/>
                  <w:sz w:val="15"/>
                  <w:szCs w:val="15"/>
                  <w:color w:val="0E191E"/>
                </w:rPr>
                <w:t>53</w:t>
              </w:r>
            </w:hyperlink>
          </w:p>
        </w:tc>
        <w:tc>
          <w:tcPr>
            <w:tcW w:w="0" w:type="dxa"/>
            <w:vAlign w:val="bottom"/>
          </w:tcPr>
          <w:p>
            <w:pPr>
              <w:spacing w:after="0"/>
              <w:rPr>
                <w:sz w:val="1"/>
                <w:szCs w:val="1"/>
                <w:color w:val="auto"/>
              </w:rPr>
            </w:pPr>
          </w:p>
        </w:tc>
      </w:tr>
      <w:tr>
        <w:trPr>
          <w:trHeight w:val="229"/>
        </w:trPr>
        <w:tc>
          <w:tcPr>
            <w:tcW w:w="360" w:type="dxa"/>
            <w:vAlign w:val="bottom"/>
          </w:tcPr>
          <w:p>
            <w:pPr>
              <w:jc w:val="right"/>
              <w:ind w:right="104"/>
              <w:spacing w:after="0"/>
              <w:rPr>
                <w:rFonts w:ascii="Arial" w:cs="Arial" w:eastAsia="Arial" w:hAnsi="Arial"/>
                <w:sz w:val="15"/>
                <w:szCs w:val="15"/>
                <w:color w:val="0E191E"/>
                <w:w w:val="95"/>
              </w:rPr>
            </w:pPr>
            <w:hyperlink w:anchor="page27">
              <w:r>
                <w:rPr>
                  <w:rFonts w:ascii="Arial" w:cs="Arial" w:eastAsia="Arial" w:hAnsi="Arial"/>
                  <w:sz w:val="15"/>
                  <w:szCs w:val="15"/>
                  <w:color w:val="0E191E"/>
                  <w:w w:val="95"/>
                </w:rPr>
                <w:t>23</w:t>
              </w:r>
            </w:hyperlink>
          </w:p>
        </w:tc>
        <w:tc>
          <w:tcPr>
            <w:tcW w:w="4980" w:type="dxa"/>
            <w:vAlign w:val="bottom"/>
          </w:tcPr>
          <w:p>
            <w:pPr>
              <w:ind w:left="420"/>
              <w:spacing w:after="0"/>
              <w:rPr>
                <w:sz w:val="20"/>
                <w:szCs w:val="20"/>
                <w:color w:val="auto"/>
              </w:rPr>
            </w:pPr>
            <w:r>
              <w:rPr>
                <w:rFonts w:ascii="Arial" w:cs="Arial" w:eastAsia="Arial" w:hAnsi="Arial"/>
                <w:sz w:val="15"/>
                <w:szCs w:val="15"/>
                <w:color w:val="0E191E"/>
              </w:rPr>
              <w:t>Post-Employment Compensation</w:t>
            </w:r>
          </w:p>
        </w:tc>
        <w:tc>
          <w:tcPr>
            <w:tcW w:w="600" w:type="dxa"/>
            <w:vAlign w:val="bottom"/>
          </w:tcPr>
          <w:p>
            <w:pPr>
              <w:jc w:val="right"/>
              <w:spacing w:after="0"/>
              <w:rPr>
                <w:rFonts w:ascii="Arial" w:cs="Arial" w:eastAsia="Arial" w:hAnsi="Arial"/>
                <w:sz w:val="15"/>
                <w:szCs w:val="15"/>
                <w:color w:val="0E191E"/>
              </w:rPr>
            </w:pPr>
            <w:hyperlink w:anchor="page57">
              <w:r>
                <w:rPr>
                  <w:rFonts w:ascii="Arial" w:cs="Arial" w:eastAsia="Arial" w:hAnsi="Arial"/>
                  <w:sz w:val="15"/>
                  <w:szCs w:val="15"/>
                  <w:color w:val="0E191E"/>
                </w:rPr>
                <w:t>53</w:t>
              </w:r>
            </w:hyperlink>
          </w:p>
        </w:tc>
        <w:tc>
          <w:tcPr>
            <w:tcW w:w="0" w:type="dxa"/>
            <w:vAlign w:val="bottom"/>
          </w:tcPr>
          <w:p>
            <w:pPr>
              <w:spacing w:after="0"/>
              <w:rPr>
                <w:sz w:val="1"/>
                <w:szCs w:val="1"/>
                <w:color w:val="auto"/>
              </w:rPr>
            </w:pPr>
          </w:p>
        </w:tc>
      </w:tr>
      <w:tr>
        <w:trPr>
          <w:trHeight w:val="230"/>
        </w:trPr>
        <w:tc>
          <w:tcPr>
            <w:tcW w:w="360" w:type="dxa"/>
            <w:vAlign w:val="bottom"/>
          </w:tcPr>
          <w:p>
            <w:pPr>
              <w:jc w:val="right"/>
              <w:ind w:right="104"/>
              <w:spacing w:after="0"/>
              <w:rPr>
                <w:rFonts w:ascii="Arial" w:cs="Arial" w:eastAsia="Arial" w:hAnsi="Arial"/>
                <w:sz w:val="15"/>
                <w:szCs w:val="15"/>
                <w:color w:val="0E191E"/>
                <w:w w:val="95"/>
              </w:rPr>
            </w:pPr>
            <w:hyperlink w:anchor="page27">
              <w:r>
                <w:rPr>
                  <w:rFonts w:ascii="Arial" w:cs="Arial" w:eastAsia="Arial" w:hAnsi="Arial"/>
                  <w:sz w:val="15"/>
                  <w:szCs w:val="15"/>
                  <w:color w:val="0E191E"/>
                  <w:w w:val="95"/>
                </w:rPr>
                <w:t>23</w:t>
              </w:r>
            </w:hyperlink>
          </w:p>
        </w:tc>
        <w:tc>
          <w:tcPr>
            <w:tcW w:w="4980" w:type="dxa"/>
            <w:vAlign w:val="bottom"/>
          </w:tcPr>
          <w:p>
            <w:pPr>
              <w:ind w:left="420"/>
              <w:spacing w:after="0"/>
              <w:rPr>
                <w:sz w:val="20"/>
                <w:szCs w:val="20"/>
                <w:color w:val="auto"/>
              </w:rPr>
            </w:pPr>
            <w:r>
              <w:rPr>
                <w:rFonts w:ascii="Arial" w:cs="Arial" w:eastAsia="Arial" w:hAnsi="Arial"/>
                <w:sz w:val="15"/>
                <w:szCs w:val="15"/>
                <w:color w:val="0E191E"/>
              </w:rPr>
              <w:t>Potential Payments Upon Termination or Change In Control</w:t>
            </w:r>
          </w:p>
        </w:tc>
        <w:tc>
          <w:tcPr>
            <w:tcW w:w="600" w:type="dxa"/>
            <w:vAlign w:val="bottom"/>
          </w:tcPr>
          <w:p>
            <w:pPr>
              <w:jc w:val="right"/>
              <w:spacing w:after="0"/>
              <w:rPr>
                <w:rFonts w:ascii="Arial" w:cs="Arial" w:eastAsia="Arial" w:hAnsi="Arial"/>
                <w:sz w:val="15"/>
                <w:szCs w:val="15"/>
                <w:color w:val="0E191E"/>
              </w:rPr>
            </w:pPr>
            <w:hyperlink w:anchor="page58">
              <w:r>
                <w:rPr>
                  <w:rFonts w:ascii="Arial" w:cs="Arial" w:eastAsia="Arial" w:hAnsi="Arial"/>
                  <w:sz w:val="15"/>
                  <w:szCs w:val="15"/>
                  <w:color w:val="0E191E"/>
                </w:rPr>
                <w:t>54</w:t>
              </w:r>
            </w:hyperlink>
          </w:p>
        </w:tc>
        <w:tc>
          <w:tcPr>
            <w:tcW w:w="0" w:type="dxa"/>
            <w:vAlign w:val="bottom"/>
          </w:tcPr>
          <w:p>
            <w:pPr>
              <w:spacing w:after="0"/>
              <w:rPr>
                <w:sz w:val="1"/>
                <w:szCs w:val="1"/>
                <w:color w:val="auto"/>
              </w:rPr>
            </w:pPr>
          </w:p>
        </w:tc>
      </w:tr>
      <w:tr>
        <w:trPr>
          <w:trHeight w:val="229"/>
        </w:trPr>
        <w:tc>
          <w:tcPr>
            <w:tcW w:w="360" w:type="dxa"/>
            <w:vAlign w:val="bottom"/>
          </w:tcPr>
          <w:p>
            <w:pPr>
              <w:jc w:val="right"/>
              <w:ind w:right="104"/>
              <w:spacing w:after="0"/>
              <w:rPr>
                <w:rFonts w:ascii="Arial" w:cs="Arial" w:eastAsia="Arial" w:hAnsi="Arial"/>
                <w:sz w:val="15"/>
                <w:szCs w:val="15"/>
                <w:color w:val="0E191E"/>
                <w:w w:val="95"/>
              </w:rPr>
            </w:pPr>
            <w:hyperlink w:anchor="page27">
              <w:r>
                <w:rPr>
                  <w:rFonts w:ascii="Arial" w:cs="Arial" w:eastAsia="Arial" w:hAnsi="Arial"/>
                  <w:sz w:val="15"/>
                  <w:szCs w:val="15"/>
                  <w:color w:val="0E191E"/>
                  <w:w w:val="95"/>
                </w:rPr>
                <w:t>23</w:t>
              </w:r>
            </w:hyperlink>
          </w:p>
        </w:tc>
        <w:tc>
          <w:tcPr>
            <w:tcW w:w="4980" w:type="dxa"/>
            <w:vAlign w:val="bottom"/>
          </w:tcPr>
          <w:p>
            <w:pPr>
              <w:ind w:left="420"/>
              <w:spacing w:after="0"/>
              <w:rPr>
                <w:sz w:val="20"/>
                <w:szCs w:val="20"/>
                <w:color w:val="auto"/>
              </w:rPr>
            </w:pPr>
            <w:r>
              <w:rPr>
                <w:rFonts w:ascii="Arial" w:cs="Arial" w:eastAsia="Arial" w:hAnsi="Arial"/>
                <w:sz w:val="15"/>
                <w:szCs w:val="15"/>
                <w:color w:val="0E191E"/>
              </w:rPr>
              <w:t>CEO Pay Ratio</w:t>
            </w:r>
          </w:p>
        </w:tc>
        <w:tc>
          <w:tcPr>
            <w:tcW w:w="600" w:type="dxa"/>
            <w:vAlign w:val="bottom"/>
          </w:tcPr>
          <w:p>
            <w:pPr>
              <w:jc w:val="right"/>
              <w:spacing w:after="0"/>
              <w:rPr>
                <w:rFonts w:ascii="Arial" w:cs="Arial" w:eastAsia="Arial" w:hAnsi="Arial"/>
                <w:sz w:val="15"/>
                <w:szCs w:val="15"/>
                <w:color w:val="0E191E"/>
              </w:rPr>
            </w:pPr>
            <w:hyperlink w:anchor="page59">
              <w:r>
                <w:rPr>
                  <w:rFonts w:ascii="Arial" w:cs="Arial" w:eastAsia="Arial" w:hAnsi="Arial"/>
                  <w:sz w:val="15"/>
                  <w:szCs w:val="15"/>
                  <w:color w:val="0E191E"/>
                </w:rPr>
                <w:t>55</w:t>
              </w:r>
            </w:hyperlink>
          </w:p>
        </w:tc>
        <w:tc>
          <w:tcPr>
            <w:tcW w:w="0" w:type="dxa"/>
            <w:vAlign w:val="bottom"/>
          </w:tcPr>
          <w:p>
            <w:pPr>
              <w:spacing w:after="0"/>
              <w:rPr>
                <w:sz w:val="1"/>
                <w:szCs w:val="1"/>
                <w:color w:val="auto"/>
              </w:rPr>
            </w:pPr>
          </w:p>
        </w:tc>
      </w:tr>
      <w:tr>
        <w:trPr>
          <w:trHeight w:val="243"/>
        </w:trPr>
        <w:tc>
          <w:tcPr>
            <w:tcW w:w="360" w:type="dxa"/>
            <w:vAlign w:val="bottom"/>
          </w:tcPr>
          <w:p>
            <w:pPr>
              <w:jc w:val="right"/>
              <w:ind w:right="104"/>
              <w:spacing w:after="0"/>
              <w:rPr>
                <w:rFonts w:ascii="Arial" w:cs="Arial" w:eastAsia="Arial" w:hAnsi="Arial"/>
                <w:sz w:val="15"/>
                <w:szCs w:val="15"/>
                <w:color w:val="0E191E"/>
                <w:w w:val="95"/>
              </w:rPr>
            </w:pPr>
            <w:hyperlink w:anchor="page27">
              <w:r>
                <w:rPr>
                  <w:rFonts w:ascii="Arial" w:cs="Arial" w:eastAsia="Arial" w:hAnsi="Arial"/>
                  <w:sz w:val="15"/>
                  <w:szCs w:val="15"/>
                  <w:color w:val="0E191E"/>
                  <w:w w:val="95"/>
                </w:rPr>
                <w:t>23</w:t>
              </w:r>
            </w:hyperlink>
          </w:p>
        </w:tc>
        <w:tc>
          <w:tcPr>
            <w:tcW w:w="4980" w:type="dxa"/>
            <w:vAlign w:val="bottom"/>
          </w:tcPr>
          <w:p>
            <w:pPr>
              <w:ind w:left="180"/>
              <w:spacing w:after="0"/>
              <w:rPr>
                <w:sz w:val="20"/>
                <w:szCs w:val="20"/>
                <w:color w:val="auto"/>
              </w:rPr>
            </w:pPr>
            <w:r>
              <w:rPr>
                <w:rFonts w:ascii="Arial" w:cs="Arial" w:eastAsia="Arial" w:hAnsi="Arial"/>
                <w:sz w:val="15"/>
                <w:szCs w:val="15"/>
                <w:b w:val="1"/>
                <w:bCs w:val="1"/>
                <w:color w:val="00739D"/>
              </w:rPr>
              <w:t>Equity Compensation Plan Information</w:t>
            </w:r>
          </w:p>
        </w:tc>
        <w:tc>
          <w:tcPr>
            <w:tcW w:w="600" w:type="dxa"/>
            <w:vAlign w:val="bottom"/>
          </w:tcPr>
          <w:p>
            <w:pPr>
              <w:jc w:val="right"/>
              <w:spacing w:after="0"/>
              <w:rPr>
                <w:rFonts w:ascii="Arial" w:cs="Arial" w:eastAsia="Arial" w:hAnsi="Arial"/>
                <w:sz w:val="15"/>
                <w:szCs w:val="15"/>
                <w:b w:val="1"/>
                <w:bCs w:val="1"/>
                <w:color w:val="00739D"/>
              </w:rPr>
            </w:pPr>
            <w:hyperlink w:anchor="page60">
              <w:r>
                <w:rPr>
                  <w:rFonts w:ascii="Arial" w:cs="Arial" w:eastAsia="Arial" w:hAnsi="Arial"/>
                  <w:sz w:val="15"/>
                  <w:szCs w:val="15"/>
                  <w:b w:val="1"/>
                  <w:bCs w:val="1"/>
                  <w:color w:val="00739D"/>
                </w:rPr>
                <w:t>56</w:t>
              </w:r>
            </w:hyperlink>
          </w:p>
        </w:tc>
        <w:tc>
          <w:tcPr>
            <w:tcW w:w="0" w:type="dxa"/>
            <w:vAlign w:val="bottom"/>
          </w:tcPr>
          <w:p>
            <w:pPr>
              <w:spacing w:after="0"/>
              <w:rPr>
                <w:sz w:val="1"/>
                <w:szCs w:val="1"/>
                <w:color w:val="auto"/>
              </w:rPr>
            </w:pPr>
          </w:p>
        </w:tc>
      </w:tr>
      <w:tr>
        <w:trPr>
          <w:trHeight w:val="256"/>
        </w:trPr>
        <w:tc>
          <w:tcPr>
            <w:tcW w:w="360" w:type="dxa"/>
            <w:vAlign w:val="bottom"/>
          </w:tcPr>
          <w:p>
            <w:pPr>
              <w:jc w:val="right"/>
              <w:ind w:right="104"/>
              <w:spacing w:after="0"/>
              <w:rPr>
                <w:rFonts w:ascii="Arial" w:cs="Arial" w:eastAsia="Arial" w:hAnsi="Arial"/>
                <w:sz w:val="15"/>
                <w:szCs w:val="15"/>
                <w:color w:val="0E191E"/>
                <w:w w:val="95"/>
              </w:rPr>
            </w:pPr>
            <w:hyperlink w:anchor="page28">
              <w:r>
                <w:rPr>
                  <w:rFonts w:ascii="Arial" w:cs="Arial" w:eastAsia="Arial" w:hAnsi="Arial"/>
                  <w:sz w:val="15"/>
                  <w:szCs w:val="15"/>
                  <w:color w:val="0E191E"/>
                  <w:w w:val="95"/>
                </w:rPr>
                <w:t>24</w:t>
              </w:r>
            </w:hyperlink>
          </w:p>
        </w:tc>
        <w:tc>
          <w:tcPr>
            <w:tcW w:w="4980" w:type="dxa"/>
            <w:vAlign w:val="bottom"/>
          </w:tcPr>
          <w:p>
            <w:pPr>
              <w:ind w:left="180"/>
              <w:spacing w:after="0"/>
              <w:rPr>
                <w:sz w:val="20"/>
                <w:szCs w:val="20"/>
                <w:color w:val="auto"/>
              </w:rPr>
            </w:pPr>
            <w:r>
              <w:rPr>
                <w:rFonts w:ascii="Arial" w:cs="Arial" w:eastAsia="Arial" w:hAnsi="Arial"/>
                <w:sz w:val="15"/>
                <w:szCs w:val="15"/>
                <w:b w:val="1"/>
                <w:bCs w:val="1"/>
                <w:color w:val="00739D"/>
              </w:rPr>
              <w:t>Ownership of Guidewire Software, Inc. Common Stock</w:t>
            </w:r>
          </w:p>
        </w:tc>
        <w:tc>
          <w:tcPr>
            <w:tcW w:w="600" w:type="dxa"/>
            <w:vAlign w:val="bottom"/>
          </w:tcPr>
          <w:p>
            <w:pPr>
              <w:jc w:val="right"/>
              <w:spacing w:after="0"/>
              <w:rPr>
                <w:rFonts w:ascii="Arial" w:cs="Arial" w:eastAsia="Arial" w:hAnsi="Arial"/>
                <w:sz w:val="15"/>
                <w:szCs w:val="15"/>
                <w:b w:val="1"/>
                <w:bCs w:val="1"/>
                <w:color w:val="00739D"/>
              </w:rPr>
            </w:pPr>
            <w:hyperlink w:anchor="page61">
              <w:r>
                <w:rPr>
                  <w:rFonts w:ascii="Arial" w:cs="Arial" w:eastAsia="Arial" w:hAnsi="Arial"/>
                  <w:sz w:val="15"/>
                  <w:szCs w:val="15"/>
                  <w:b w:val="1"/>
                  <w:bCs w:val="1"/>
                  <w:color w:val="00739D"/>
                </w:rPr>
                <w:t>58</w:t>
              </w:r>
            </w:hyperlink>
          </w:p>
        </w:tc>
        <w:tc>
          <w:tcPr>
            <w:tcW w:w="0" w:type="dxa"/>
            <w:vAlign w:val="bottom"/>
          </w:tcPr>
          <w:p>
            <w:pPr>
              <w:spacing w:after="0"/>
              <w:rPr>
                <w:sz w:val="1"/>
                <w:szCs w:val="1"/>
                <w:color w:val="auto"/>
              </w:rPr>
            </w:pPr>
          </w:p>
        </w:tc>
      </w:tr>
      <w:tr>
        <w:trPr>
          <w:trHeight w:val="234"/>
        </w:trPr>
        <w:tc>
          <w:tcPr>
            <w:tcW w:w="360" w:type="dxa"/>
            <w:vAlign w:val="bottom"/>
          </w:tcPr>
          <w:p>
            <w:pPr>
              <w:jc w:val="right"/>
              <w:ind w:right="104"/>
              <w:spacing w:after="0"/>
              <w:rPr>
                <w:rFonts w:ascii="Arial" w:cs="Arial" w:eastAsia="Arial" w:hAnsi="Arial"/>
                <w:sz w:val="15"/>
                <w:szCs w:val="15"/>
                <w:color w:val="0E191E"/>
                <w:w w:val="95"/>
              </w:rPr>
            </w:pPr>
            <w:hyperlink w:anchor="page28">
              <w:r>
                <w:rPr>
                  <w:rFonts w:ascii="Arial" w:cs="Arial" w:eastAsia="Arial" w:hAnsi="Arial"/>
                  <w:sz w:val="15"/>
                  <w:szCs w:val="15"/>
                  <w:color w:val="0E191E"/>
                  <w:w w:val="95"/>
                </w:rPr>
                <w:t>24</w:t>
              </w:r>
            </w:hyperlink>
          </w:p>
        </w:tc>
        <w:tc>
          <w:tcPr>
            <w:tcW w:w="4980" w:type="dxa"/>
            <w:vAlign w:val="bottom"/>
          </w:tcPr>
          <w:p>
            <w:pPr>
              <w:ind w:left="180"/>
              <w:spacing w:after="0"/>
              <w:rPr>
                <w:sz w:val="20"/>
                <w:szCs w:val="20"/>
                <w:color w:val="auto"/>
              </w:rPr>
            </w:pPr>
            <w:r>
              <w:rPr>
                <w:rFonts w:ascii="Arial" w:cs="Arial" w:eastAsia="Arial" w:hAnsi="Arial"/>
                <w:sz w:val="15"/>
                <w:szCs w:val="15"/>
                <w:b w:val="1"/>
                <w:bCs w:val="1"/>
                <w:color w:val="00739D"/>
              </w:rPr>
              <w:t>Certain Relationships and Related Party Transactions</w:t>
            </w:r>
          </w:p>
        </w:tc>
        <w:tc>
          <w:tcPr>
            <w:tcW w:w="600" w:type="dxa"/>
            <w:vAlign w:val="bottom"/>
          </w:tcPr>
          <w:p>
            <w:pPr>
              <w:jc w:val="right"/>
              <w:spacing w:after="0"/>
              <w:rPr>
                <w:rFonts w:ascii="Arial" w:cs="Arial" w:eastAsia="Arial" w:hAnsi="Arial"/>
                <w:sz w:val="15"/>
                <w:szCs w:val="15"/>
                <w:b w:val="1"/>
                <w:bCs w:val="1"/>
                <w:color w:val="00739D"/>
              </w:rPr>
            </w:pPr>
            <w:hyperlink w:anchor="page63">
              <w:r>
                <w:rPr>
                  <w:rFonts w:ascii="Arial" w:cs="Arial" w:eastAsia="Arial" w:hAnsi="Arial"/>
                  <w:sz w:val="15"/>
                  <w:szCs w:val="15"/>
                  <w:b w:val="1"/>
                  <w:bCs w:val="1"/>
                  <w:color w:val="00739D"/>
                </w:rPr>
                <w:t>60</w:t>
              </w:r>
            </w:hyperlink>
          </w:p>
        </w:tc>
        <w:tc>
          <w:tcPr>
            <w:tcW w:w="0" w:type="dxa"/>
            <w:vAlign w:val="bottom"/>
          </w:tcPr>
          <w:p>
            <w:pPr>
              <w:spacing w:after="0"/>
              <w:rPr>
                <w:sz w:val="1"/>
                <w:szCs w:val="1"/>
                <w:color w:val="auto"/>
              </w:rPr>
            </w:pPr>
          </w:p>
        </w:tc>
      </w:tr>
      <w:tr>
        <w:trPr>
          <w:trHeight w:val="184"/>
        </w:trPr>
        <w:tc>
          <w:tcPr>
            <w:tcW w:w="360" w:type="dxa"/>
            <w:vAlign w:val="bottom"/>
          </w:tcPr>
          <w:p>
            <w:pPr>
              <w:jc w:val="right"/>
              <w:ind w:right="104"/>
              <w:spacing w:after="0"/>
              <w:rPr>
                <w:rFonts w:ascii="Arial" w:cs="Arial" w:eastAsia="Arial" w:hAnsi="Arial"/>
                <w:sz w:val="15"/>
                <w:szCs w:val="15"/>
                <w:color w:val="0E191E"/>
                <w:w w:val="95"/>
              </w:rPr>
            </w:pPr>
            <w:hyperlink w:anchor="page30">
              <w:r>
                <w:rPr>
                  <w:rFonts w:ascii="Arial" w:cs="Arial" w:eastAsia="Arial" w:hAnsi="Arial"/>
                  <w:sz w:val="15"/>
                  <w:szCs w:val="15"/>
                  <w:color w:val="0E191E"/>
                  <w:w w:val="95"/>
                </w:rPr>
                <w:t>26</w:t>
              </w:r>
            </w:hyperlink>
          </w:p>
        </w:tc>
        <w:tc>
          <w:tcPr>
            <w:tcW w:w="4980" w:type="dxa"/>
            <w:vAlign w:val="bottom"/>
            <w:vMerge w:val="restart"/>
          </w:tcPr>
          <w:p>
            <w:pPr>
              <w:ind w:left="420"/>
              <w:spacing w:after="0"/>
              <w:rPr>
                <w:sz w:val="20"/>
                <w:szCs w:val="20"/>
                <w:color w:val="auto"/>
              </w:rPr>
            </w:pPr>
            <w:r>
              <w:rPr>
                <w:rFonts w:ascii="Arial" w:cs="Arial" w:eastAsia="Arial" w:hAnsi="Arial"/>
                <w:sz w:val="15"/>
                <w:szCs w:val="15"/>
                <w:color w:val="0E191E"/>
              </w:rPr>
              <w:t>Transactions with Our Executive Officers and Directors</w:t>
            </w:r>
          </w:p>
        </w:tc>
        <w:tc>
          <w:tcPr>
            <w:tcW w:w="600" w:type="dxa"/>
            <w:vAlign w:val="bottom"/>
            <w:vMerge w:val="restart"/>
          </w:tcPr>
          <w:p>
            <w:pPr>
              <w:jc w:val="right"/>
              <w:spacing w:after="0"/>
              <w:rPr>
                <w:rFonts w:ascii="Arial" w:cs="Arial" w:eastAsia="Arial" w:hAnsi="Arial"/>
                <w:sz w:val="15"/>
                <w:szCs w:val="15"/>
                <w:color w:val="0E191E"/>
              </w:rPr>
            </w:pPr>
            <w:hyperlink w:anchor="page64">
              <w:r>
                <w:rPr>
                  <w:rFonts w:ascii="Arial" w:cs="Arial" w:eastAsia="Arial" w:hAnsi="Arial"/>
                  <w:sz w:val="15"/>
                  <w:szCs w:val="15"/>
                  <w:color w:val="0E191E"/>
                </w:rPr>
                <w:t>60</w:t>
              </w:r>
            </w:hyperlink>
          </w:p>
        </w:tc>
        <w:tc>
          <w:tcPr>
            <w:tcW w:w="0" w:type="dxa"/>
            <w:vAlign w:val="bottom"/>
          </w:tcPr>
          <w:p>
            <w:pPr>
              <w:spacing w:after="0"/>
              <w:rPr>
                <w:sz w:val="1"/>
                <w:szCs w:val="1"/>
                <w:color w:val="auto"/>
              </w:rPr>
            </w:pPr>
          </w:p>
        </w:tc>
      </w:tr>
      <w:tr>
        <w:trPr>
          <w:trHeight w:val="81"/>
        </w:trPr>
        <w:tc>
          <w:tcPr>
            <w:tcW w:w="360" w:type="dxa"/>
            <w:vAlign w:val="bottom"/>
            <w:vMerge w:val="restart"/>
          </w:tcPr>
          <w:p>
            <w:pPr>
              <w:jc w:val="right"/>
              <w:ind w:right="104"/>
              <w:spacing w:after="0"/>
              <w:rPr>
                <w:rFonts w:ascii="Arial" w:cs="Arial" w:eastAsia="Arial" w:hAnsi="Arial"/>
                <w:sz w:val="15"/>
                <w:szCs w:val="15"/>
                <w:color w:val="0E191E"/>
                <w:w w:val="95"/>
              </w:rPr>
            </w:pPr>
            <w:hyperlink w:anchor="page30">
              <w:r>
                <w:rPr>
                  <w:rFonts w:ascii="Arial" w:cs="Arial" w:eastAsia="Arial" w:hAnsi="Arial"/>
                  <w:sz w:val="15"/>
                  <w:szCs w:val="15"/>
                  <w:color w:val="0E191E"/>
                  <w:w w:val="95"/>
                </w:rPr>
                <w:t>27</w:t>
              </w:r>
            </w:hyperlink>
          </w:p>
        </w:tc>
        <w:tc>
          <w:tcPr>
            <w:tcW w:w="49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0" w:type="dxa"/>
            <w:vAlign w:val="bottom"/>
            <w:vMerge w:val="continue"/>
          </w:tcPr>
          <w:p>
            <w:pPr>
              <w:spacing w:after="0"/>
              <w:rPr>
                <w:sz w:val="12"/>
                <w:szCs w:val="12"/>
                <w:color w:val="auto"/>
              </w:rPr>
            </w:pPr>
          </w:p>
        </w:tc>
        <w:tc>
          <w:tcPr>
            <w:tcW w:w="4980" w:type="dxa"/>
            <w:vAlign w:val="bottom"/>
            <w:vMerge w:val="restart"/>
          </w:tcPr>
          <w:p>
            <w:pPr>
              <w:ind w:left="420"/>
              <w:spacing w:after="0"/>
              <w:rPr>
                <w:sz w:val="20"/>
                <w:szCs w:val="20"/>
                <w:color w:val="auto"/>
              </w:rPr>
            </w:pPr>
            <w:r>
              <w:rPr>
                <w:rFonts w:ascii="Arial" w:cs="Arial" w:eastAsia="Arial" w:hAnsi="Arial"/>
                <w:sz w:val="15"/>
                <w:szCs w:val="15"/>
                <w:color w:val="0E191E"/>
              </w:rPr>
              <w:t>Policies and Procedures for Related Party Transactions</w:t>
            </w:r>
          </w:p>
        </w:tc>
        <w:tc>
          <w:tcPr>
            <w:tcW w:w="600" w:type="dxa"/>
            <w:vAlign w:val="bottom"/>
            <w:vMerge w:val="restart"/>
          </w:tcPr>
          <w:p>
            <w:pPr>
              <w:jc w:val="right"/>
              <w:spacing w:after="0"/>
              <w:rPr>
                <w:rFonts w:ascii="Arial" w:cs="Arial" w:eastAsia="Arial" w:hAnsi="Arial"/>
                <w:sz w:val="15"/>
                <w:szCs w:val="15"/>
                <w:color w:val="0E191E"/>
              </w:rPr>
            </w:pPr>
            <w:hyperlink w:anchor="page64">
              <w:r>
                <w:rPr>
                  <w:rFonts w:ascii="Arial" w:cs="Arial" w:eastAsia="Arial" w:hAnsi="Arial"/>
                  <w:sz w:val="15"/>
                  <w:szCs w:val="15"/>
                  <w:color w:val="0E191E"/>
                </w:rPr>
                <w:t>60</w:t>
              </w:r>
            </w:hyperlink>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49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60" w:type="dxa"/>
            <w:vAlign w:val="bottom"/>
            <w:vMerge w:val="restart"/>
          </w:tcPr>
          <w:p>
            <w:pPr>
              <w:jc w:val="right"/>
              <w:ind w:right="104"/>
              <w:spacing w:after="0"/>
              <w:rPr>
                <w:rFonts w:ascii="Arial" w:cs="Arial" w:eastAsia="Arial" w:hAnsi="Arial"/>
                <w:sz w:val="15"/>
                <w:szCs w:val="15"/>
                <w:b w:val="1"/>
                <w:bCs w:val="1"/>
                <w:color w:val="00739D"/>
                <w:w w:val="95"/>
              </w:rPr>
            </w:pPr>
            <w:hyperlink w:anchor="page33">
              <w:r>
                <w:rPr>
                  <w:rFonts w:ascii="Arial" w:cs="Arial" w:eastAsia="Arial" w:hAnsi="Arial"/>
                  <w:sz w:val="15"/>
                  <w:szCs w:val="15"/>
                  <w:b w:val="1"/>
                  <w:bCs w:val="1"/>
                  <w:color w:val="00739D"/>
                  <w:w w:val="95"/>
                </w:rPr>
                <w:t>30</w:t>
              </w:r>
            </w:hyperlink>
          </w:p>
        </w:tc>
        <w:tc>
          <w:tcPr>
            <w:tcW w:w="4980" w:type="dxa"/>
            <w:vAlign w:val="bottom"/>
          </w:tcPr>
          <w:p>
            <w:pPr>
              <w:ind w:left="180"/>
              <w:spacing w:after="0"/>
              <w:rPr>
                <w:sz w:val="20"/>
                <w:szCs w:val="20"/>
                <w:color w:val="auto"/>
              </w:rPr>
            </w:pPr>
            <w:r>
              <w:rPr>
                <w:rFonts w:ascii="Arial" w:cs="Arial" w:eastAsia="Arial" w:hAnsi="Arial"/>
                <w:sz w:val="15"/>
                <w:szCs w:val="15"/>
                <w:b w:val="1"/>
                <w:bCs w:val="1"/>
                <w:color w:val="00739D"/>
              </w:rPr>
              <w:t>Additional Information</w:t>
            </w:r>
          </w:p>
        </w:tc>
        <w:tc>
          <w:tcPr>
            <w:tcW w:w="600" w:type="dxa"/>
            <w:vAlign w:val="bottom"/>
          </w:tcPr>
          <w:p>
            <w:pPr>
              <w:jc w:val="right"/>
              <w:spacing w:after="0"/>
              <w:rPr>
                <w:rFonts w:ascii="Arial" w:cs="Arial" w:eastAsia="Arial" w:hAnsi="Arial"/>
                <w:sz w:val="15"/>
                <w:szCs w:val="15"/>
                <w:b w:val="1"/>
                <w:bCs w:val="1"/>
                <w:color w:val="00739D"/>
              </w:rPr>
            </w:pPr>
            <w:hyperlink w:anchor="page64">
              <w:r>
                <w:rPr>
                  <w:rFonts w:ascii="Arial" w:cs="Arial" w:eastAsia="Arial" w:hAnsi="Arial"/>
                  <w:sz w:val="15"/>
                  <w:szCs w:val="15"/>
                  <w:b w:val="1"/>
                  <w:bCs w:val="1"/>
                  <w:color w:val="00739D"/>
                </w:rPr>
                <w:t>61</w:t>
              </w:r>
            </w:hyperlink>
          </w:p>
        </w:tc>
        <w:tc>
          <w:tcPr>
            <w:tcW w:w="0" w:type="dxa"/>
            <w:vAlign w:val="bottom"/>
          </w:tcPr>
          <w:p>
            <w:pPr>
              <w:spacing w:after="0"/>
              <w:rPr>
                <w:sz w:val="1"/>
                <w:szCs w:val="1"/>
                <w:color w:val="auto"/>
              </w:rPr>
            </w:pPr>
          </w:p>
        </w:tc>
      </w:tr>
      <w:tr>
        <w:trPr>
          <w:trHeight w:val="81"/>
        </w:trPr>
        <w:tc>
          <w:tcPr>
            <w:tcW w:w="360" w:type="dxa"/>
            <w:vAlign w:val="bottom"/>
            <w:vMerge w:val="continue"/>
          </w:tcPr>
          <w:p>
            <w:pPr>
              <w:spacing w:after="0"/>
              <w:rPr>
                <w:sz w:val="7"/>
                <w:szCs w:val="7"/>
                <w:color w:val="auto"/>
              </w:rPr>
            </w:pPr>
          </w:p>
        </w:tc>
        <w:tc>
          <w:tcPr>
            <w:tcW w:w="4980" w:type="dxa"/>
            <w:vAlign w:val="bottom"/>
            <w:vMerge w:val="restart"/>
          </w:tcPr>
          <w:p>
            <w:pPr>
              <w:ind w:left="180"/>
              <w:spacing w:after="0"/>
              <w:rPr>
                <w:sz w:val="20"/>
                <w:szCs w:val="20"/>
                <w:color w:val="auto"/>
              </w:rPr>
            </w:pPr>
            <w:r>
              <w:rPr>
                <w:rFonts w:ascii="Arial" w:cs="Arial" w:eastAsia="Arial" w:hAnsi="Arial"/>
                <w:sz w:val="15"/>
                <w:szCs w:val="15"/>
                <w:b w:val="1"/>
                <w:bCs w:val="1"/>
                <w:color w:val="00739D"/>
              </w:rPr>
              <w:t>Annex A: Proposed Amended and Restated Certificate of</w:t>
            </w:r>
          </w:p>
        </w:tc>
        <w:tc>
          <w:tcPr>
            <w:tcW w:w="600" w:type="dxa"/>
            <w:vAlign w:val="bottom"/>
            <w:vMerge w:val="restart"/>
          </w:tcPr>
          <w:p>
            <w:pPr>
              <w:jc w:val="right"/>
              <w:spacing w:after="0"/>
              <w:rPr>
                <w:rFonts w:ascii="Arial" w:cs="Arial" w:eastAsia="Arial" w:hAnsi="Arial"/>
                <w:sz w:val="15"/>
                <w:szCs w:val="15"/>
                <w:b w:val="1"/>
                <w:bCs w:val="1"/>
                <w:color w:val="00739D"/>
              </w:rPr>
            </w:pPr>
            <w:hyperlink w:anchor="page65">
              <w:r>
                <w:rPr>
                  <w:rFonts w:ascii="Arial" w:cs="Arial" w:eastAsia="Arial" w:hAnsi="Arial"/>
                  <w:sz w:val="15"/>
                  <w:szCs w:val="15"/>
                  <w:b w:val="1"/>
                  <w:bCs w:val="1"/>
                  <w:color w:val="00739D"/>
                </w:rPr>
                <w:t>62</w:t>
              </w:r>
            </w:hyperlink>
          </w:p>
        </w:tc>
        <w:tc>
          <w:tcPr>
            <w:tcW w:w="0" w:type="dxa"/>
            <w:vAlign w:val="bottom"/>
          </w:tcPr>
          <w:p>
            <w:pPr>
              <w:spacing w:after="0"/>
              <w:rPr>
                <w:sz w:val="1"/>
                <w:szCs w:val="1"/>
                <w:color w:val="auto"/>
              </w:rPr>
            </w:pPr>
          </w:p>
        </w:tc>
      </w:tr>
      <w:tr>
        <w:trPr>
          <w:trHeight w:val="175"/>
        </w:trPr>
        <w:tc>
          <w:tcPr>
            <w:tcW w:w="360" w:type="dxa"/>
            <w:vAlign w:val="bottom"/>
            <w:vMerge w:val="restart"/>
          </w:tcPr>
          <w:p>
            <w:pPr>
              <w:jc w:val="right"/>
              <w:ind w:right="104"/>
              <w:spacing w:after="0"/>
              <w:rPr>
                <w:rFonts w:ascii="Arial" w:cs="Arial" w:eastAsia="Arial" w:hAnsi="Arial"/>
                <w:sz w:val="15"/>
                <w:szCs w:val="15"/>
                <w:b w:val="1"/>
                <w:bCs w:val="1"/>
                <w:color w:val="00739D"/>
                <w:w w:val="95"/>
              </w:rPr>
            </w:pPr>
            <w:hyperlink w:anchor="page35">
              <w:r>
                <w:rPr>
                  <w:rFonts w:ascii="Arial" w:cs="Arial" w:eastAsia="Arial" w:hAnsi="Arial"/>
                  <w:sz w:val="15"/>
                  <w:szCs w:val="15"/>
                  <w:b w:val="1"/>
                  <w:bCs w:val="1"/>
                  <w:color w:val="00739D"/>
                  <w:w w:val="95"/>
                </w:rPr>
                <w:t>32</w:t>
              </w:r>
            </w:hyperlink>
          </w:p>
        </w:tc>
        <w:tc>
          <w:tcPr>
            <w:tcW w:w="49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360" w:type="dxa"/>
            <w:vAlign w:val="bottom"/>
            <w:vMerge w:val="continue"/>
          </w:tcPr>
          <w:p>
            <w:pPr>
              <w:spacing w:after="0"/>
              <w:rPr>
                <w:sz w:val="7"/>
                <w:szCs w:val="7"/>
                <w:color w:val="auto"/>
              </w:rPr>
            </w:pPr>
          </w:p>
        </w:tc>
        <w:tc>
          <w:tcPr>
            <w:tcW w:w="4980" w:type="dxa"/>
            <w:vAlign w:val="bottom"/>
            <w:vMerge w:val="restart"/>
          </w:tcPr>
          <w:p>
            <w:pPr>
              <w:ind w:left="180"/>
              <w:spacing w:after="0"/>
              <w:rPr>
                <w:sz w:val="20"/>
                <w:szCs w:val="20"/>
                <w:color w:val="auto"/>
              </w:rPr>
            </w:pPr>
            <w:r>
              <w:rPr>
                <w:rFonts w:ascii="Arial" w:cs="Arial" w:eastAsia="Arial" w:hAnsi="Arial"/>
                <w:sz w:val="15"/>
                <w:szCs w:val="15"/>
                <w:b w:val="1"/>
                <w:bCs w:val="1"/>
                <w:color w:val="00739D"/>
              </w:rPr>
              <w:t>Incorporation</w:t>
            </w: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498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2">
            <w:col w:w="4540" w:space="720"/>
            <w:col w:w="5940"/>
          </w:cols>
          <w:pgMar w:left="320" w:top="751" w:right="379" w:bottom="1440" w:gutter="0" w:footer="0" w:header="0"/>
        </w:sectPr>
      </w:pPr>
    </w:p>
    <w:bookmarkStart w:id="4" w:name="page5"/>
    <w:bookmarkEnd w:id="4"/>
    <w:p>
      <w:pPr>
        <w:ind w:left="3800"/>
        <w:spacing w:after="0"/>
        <w:rPr>
          <w:sz w:val="20"/>
          <w:szCs w:val="20"/>
          <w:color w:val="auto"/>
        </w:rPr>
      </w:pPr>
      <w:r>
        <w:rPr>
          <w:rFonts w:ascii="Arial" w:cs="Arial" w:eastAsia="Arial" w:hAnsi="Arial"/>
          <w:sz w:val="32"/>
          <w:szCs w:val="32"/>
          <w:b w:val="1"/>
          <w:bCs w:val="1"/>
          <w:color w:val="0E191E"/>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-210185</wp:posOffset>
            </wp:positionV>
            <wp:extent cx="299720"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192" w:lineRule="exact"/>
        <w:rPr>
          <w:sz w:val="20"/>
          <w:szCs w:val="20"/>
          <w:color w:val="auto"/>
        </w:rPr>
      </w:pPr>
    </w:p>
    <w:p>
      <w:pPr>
        <w:jc w:val="both"/>
        <w:ind w:left="3800" w:right="200"/>
        <w:spacing w:after="0" w:line="331" w:lineRule="auto"/>
        <w:rPr>
          <w:sz w:val="20"/>
          <w:szCs w:val="20"/>
          <w:color w:val="auto"/>
        </w:rPr>
      </w:pPr>
      <w:r>
        <w:rPr>
          <w:rFonts w:ascii="Arial" w:cs="Arial" w:eastAsia="Arial" w:hAnsi="Arial"/>
          <w:sz w:val="18"/>
          <w:szCs w:val="18"/>
          <w:b w:val="1"/>
          <w:bCs w:val="1"/>
          <w:color w:val="00739D"/>
        </w:rPr>
        <w:t>The information provided in this Proxy Summary is for your convenience only and is merely a summary of the information contained in this proxy statement. You should read this entire proxy statement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285115</wp:posOffset>
            </wp:positionV>
            <wp:extent cx="325755"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0739D"/>
        </w:rPr>
        <w:t>Ways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2177415" cy="857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77415" cy="857250"/>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0E191E"/>
        </w:rPr>
        <w:t>Voting is important.</w:t>
      </w:r>
    </w:p>
    <w:p>
      <w:pPr>
        <w:spacing w:after="0" w:line="30" w:lineRule="exact"/>
        <w:rPr>
          <w:sz w:val="20"/>
          <w:szCs w:val="20"/>
          <w:color w:val="auto"/>
        </w:rPr>
      </w:pPr>
    </w:p>
    <w:p>
      <w:pPr>
        <w:ind w:left="360" w:right="100"/>
        <w:spacing w:after="0" w:line="285" w:lineRule="auto"/>
        <w:rPr>
          <w:sz w:val="20"/>
          <w:szCs w:val="20"/>
          <w:color w:val="auto"/>
        </w:rPr>
      </w:pPr>
      <w:r>
        <w:rPr>
          <w:rFonts w:ascii="Arial" w:cs="Arial" w:eastAsia="Arial" w:hAnsi="Arial"/>
          <w:sz w:val="15"/>
          <w:szCs w:val="15"/>
          <w:b w:val="1"/>
          <w:bCs w:val="1"/>
          <w:color w:val="0E191E"/>
        </w:rPr>
        <w:t>Please find here the many different ways you can submit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396240</wp:posOffset>
            </wp:positionV>
            <wp:extent cx="325755"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spacing w:after="0" w:line="307" w:lineRule="auto"/>
        <w:rPr>
          <w:sz w:val="20"/>
          <w:szCs w:val="20"/>
          <w:color w:val="auto"/>
        </w:rPr>
      </w:pPr>
      <w:r>
        <w:rPr>
          <w:rFonts w:ascii="Arial" w:cs="Arial" w:eastAsia="Arial" w:hAnsi="Arial"/>
          <w:sz w:val="15"/>
          <w:szCs w:val="15"/>
          <w:b w:val="1"/>
          <w:bCs w:val="1"/>
          <w:color w:val="00739D"/>
        </w:rPr>
        <w:t xml:space="preserve">By Written Proxy: </w:t>
      </w:r>
      <w:r>
        <w:rPr>
          <w:rFonts w:ascii="Arial" w:cs="Arial" w:eastAsia="Arial" w:hAnsi="Arial"/>
          <w:sz w:val="15"/>
          <w:szCs w:val="15"/>
          <w:color w:val="0E191E"/>
        </w:rPr>
        <w:t>Stockholders of record</w:t>
      </w:r>
      <w:r>
        <w:rPr>
          <w:rFonts w:ascii="Arial" w:cs="Arial" w:eastAsia="Arial" w:hAnsi="Arial"/>
          <w:sz w:val="15"/>
          <w:szCs w:val="15"/>
          <w:b w:val="1"/>
          <w:bCs w:val="1"/>
          <w:color w:val="00739D"/>
        </w:rPr>
        <w:t xml:space="preserve"> </w:t>
      </w:r>
      <w:r>
        <w:rPr>
          <w:rFonts w:ascii="Arial" w:cs="Arial" w:eastAsia="Arial" w:hAnsi="Arial"/>
          <w:sz w:val="15"/>
          <w:szCs w:val="15"/>
          <w:color w:val="0E191E"/>
        </w:rPr>
        <w:t>can vote their shares by marking, signing, and timely returning the enclosed proxy card. Beneficial owners must follow the directions provided by their broker, bank, or other nominee in order to direct such broker, bank, or nominee as to how to vote their shares.</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ind w:right="180"/>
        <w:spacing w:after="0" w:line="306" w:lineRule="auto"/>
        <w:rPr>
          <w:sz w:val="20"/>
          <w:szCs w:val="20"/>
          <w:color w:val="auto"/>
        </w:rPr>
      </w:pPr>
      <w:r>
        <w:rPr>
          <w:rFonts w:ascii="Arial" w:cs="Arial" w:eastAsia="Arial" w:hAnsi="Arial"/>
          <w:sz w:val="15"/>
          <w:szCs w:val="15"/>
          <w:b w:val="1"/>
          <w:bCs w:val="1"/>
          <w:color w:val="00739D"/>
        </w:rPr>
        <w:t xml:space="preserve">By Telephone and Internet before the annual meeting: </w:t>
      </w:r>
      <w:r>
        <w:rPr>
          <w:rFonts w:ascii="Arial" w:cs="Arial" w:eastAsia="Arial" w:hAnsi="Arial"/>
          <w:sz w:val="15"/>
          <w:szCs w:val="15"/>
          <w:color w:val="0E191E"/>
        </w:rPr>
        <w:t>Stockholders of record who received</w:t>
      </w:r>
      <w:r>
        <w:rPr>
          <w:rFonts w:ascii="Arial" w:cs="Arial" w:eastAsia="Arial" w:hAnsi="Arial"/>
          <w:sz w:val="15"/>
          <w:szCs w:val="15"/>
          <w:b w:val="1"/>
          <w:bCs w:val="1"/>
          <w:color w:val="00739D"/>
        </w:rPr>
        <w:t xml:space="preserve"> </w:t>
      </w:r>
      <w:r>
        <w:rPr>
          <w:rFonts w:ascii="Arial" w:cs="Arial" w:eastAsia="Arial" w:hAnsi="Arial"/>
          <w:sz w:val="15"/>
          <w:szCs w:val="15"/>
          <w:color w:val="0E191E"/>
        </w:rPr>
        <w:t xml:space="preserve">printed proxy materials can vote their shares by telephone at </w:t>
      </w:r>
      <w:r>
        <w:rPr>
          <w:rFonts w:ascii="Arial" w:cs="Arial" w:eastAsia="Arial" w:hAnsi="Arial"/>
          <w:sz w:val="15"/>
          <w:szCs w:val="15"/>
          <w:b w:val="1"/>
          <w:bCs w:val="1"/>
          <w:color w:val="00739D"/>
        </w:rPr>
        <w:t>1-800-690-6903</w:t>
      </w:r>
      <w:r>
        <w:rPr>
          <w:rFonts w:ascii="Arial" w:cs="Arial" w:eastAsia="Arial" w:hAnsi="Arial"/>
          <w:sz w:val="15"/>
          <w:szCs w:val="15"/>
          <w:color w:val="0E191E"/>
        </w:rPr>
        <w:t xml:space="preserve"> until 11:59 p.m.</w:t>
      </w:r>
    </w:p>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15"/>
          <w:szCs w:val="15"/>
          <w:color w:val="0E191E"/>
        </w:rPr>
        <w:t xml:space="preserve">Eastern Time on December 13, 2021 or via the Internet at </w:t>
      </w:r>
      <w:r>
        <w:rPr>
          <w:rFonts w:ascii="Arial" w:cs="Arial" w:eastAsia="Arial" w:hAnsi="Arial"/>
          <w:sz w:val="15"/>
          <w:szCs w:val="15"/>
          <w:b w:val="1"/>
          <w:bCs w:val="1"/>
          <w:i w:val="1"/>
          <w:iCs w:val="1"/>
          <w:color w:val="00739D"/>
        </w:rPr>
        <w:t>www.proxyvote.com</w:t>
      </w:r>
      <w:r>
        <w:rPr>
          <w:rFonts w:ascii="Arial" w:cs="Arial" w:eastAsia="Arial" w:hAnsi="Arial"/>
          <w:sz w:val="15"/>
          <w:szCs w:val="15"/>
          <w:color w:val="0E191E"/>
        </w:rPr>
        <w:t xml:space="preserve"> 24 hours a day, seven days a week, until 11:59 p.m. Eastern Time on December 13, 2021, in each case by using the 16-digit control number, which is on the proxy card or in the instructions accompanying the proxy materials. Beneficial owners may also vote by telephone or the Internet before the annual meeting by using the 16-digit control number, which is on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1067435</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b w:val="1"/>
          <w:bCs w:val="1"/>
          <w:color w:val="00739D"/>
        </w:rPr>
        <w:t>By Internet during the annual meeting:</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0E191E"/>
        </w:rPr>
        <w:t>Stockholders of record may vote by Internet during</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0E191E"/>
        </w:rPr>
        <w:t>the annual meeting at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739D"/>
        </w:rPr>
        <w:t>www.virtualshareholdermeeting.com/GWRE2021</w:t>
      </w:r>
      <w:r>
        <w:rPr>
          <w:rFonts w:ascii="Arial" w:cs="Arial" w:eastAsia="Arial" w:hAnsi="Arial"/>
          <w:sz w:val="15"/>
          <w:szCs w:val="15"/>
          <w:i w:val="1"/>
          <w:iCs w:val="1"/>
          <w:color w:val="0E191E"/>
        </w:rPr>
        <w:t>.</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0E191E"/>
        </w:rPr>
        <w:t>Beneficial owners may also vote by Internet during</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0E191E"/>
        </w:rPr>
        <w:t>the annual meeting at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739D"/>
        </w:rPr>
        <w:t>www.virtualshareholdermeeting.com/GWRE2021</w:t>
      </w:r>
      <w:r>
        <w:rPr>
          <w:rFonts w:ascii="Arial" w:cs="Arial" w:eastAsia="Arial" w:hAnsi="Arial"/>
          <w:sz w:val="15"/>
          <w:szCs w:val="15"/>
          <w:i w:val="1"/>
          <w:iCs w:val="1"/>
          <w:color w:val="0E191E"/>
        </w:rPr>
        <w:t>.</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0E191E"/>
        </w:rPr>
        <w:t>Instructions on how to attend and vote during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0E191E"/>
        </w:rPr>
        <w:t>annual meeting are described at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739D"/>
        </w:rPr>
        <w:t xml:space="preserve">www.proxyvote.com </w:t>
      </w:r>
      <w:r>
        <w:rPr>
          <w:rFonts w:ascii="Arial" w:cs="Arial" w:eastAsia="Arial" w:hAnsi="Arial"/>
          <w:sz w:val="15"/>
          <w:szCs w:val="15"/>
          <w:color w:val="0E191E"/>
        </w:rPr>
        <w:t>and stockholders will need</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0E191E"/>
        </w:rPr>
        <w:t>their 16-digit control number which is on the proxy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0E191E"/>
        </w:rPr>
        <w:t>card or in the instructions accompanying the proxy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0E191E"/>
        </w:rPr>
        <w:t>materials in order to vote.</w:t>
      </w:r>
    </w:p>
    <w:p>
      <w:pPr>
        <w:spacing w:after="0" w:line="1202" w:lineRule="exact"/>
        <w:rPr>
          <w:sz w:val="20"/>
          <w:szCs w:val="20"/>
          <w:color w:val="auto"/>
        </w:rPr>
      </w:pPr>
    </w:p>
    <w:p>
      <w:pPr>
        <w:sectPr>
          <w:pgSz w:w="11900" w:h="16838" w:orient="portrait"/>
          <w:cols w:equalWidth="0" w:num="3">
            <w:col w:w="3400" w:space="400"/>
            <w:col w:w="3420" w:space="400"/>
            <w:col w:w="3620"/>
          </w:cols>
          <w:pgMar w:left="320" w:top="127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Voting Recommendations</w:t>
      </w:r>
    </w:p>
    <w:p>
      <w:pPr>
        <w:spacing w:after="0" w:line="136" w:lineRule="exact"/>
        <w:rPr>
          <w:sz w:val="20"/>
          <w:szCs w:val="20"/>
          <w:color w:val="auto"/>
        </w:rPr>
      </w:pPr>
    </w:p>
    <w:p>
      <w:pPr>
        <w:ind w:right="360"/>
        <w:spacing w:after="0" w:line="317" w:lineRule="auto"/>
        <w:rPr>
          <w:sz w:val="20"/>
          <w:szCs w:val="20"/>
          <w:color w:val="auto"/>
        </w:rPr>
      </w:pPr>
      <w:r>
        <w:rPr>
          <w:rFonts w:ascii="Arial" w:cs="Arial" w:eastAsia="Arial" w:hAnsi="Arial"/>
          <w:sz w:val="15"/>
          <w:szCs w:val="15"/>
          <w:color w:val="0E191E"/>
        </w:rPr>
        <w:t>The following table sets forth the recommendations of our board of directors in respect of each of the proposals to be presented to our stockholders at the annual meeting, as well as the applicable voting requirement for each of such proposals: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20" w:type="dxa"/>
            <w:vAlign w:val="bottom"/>
            <w:vMerge w:val="restart"/>
            <w:shd w:val="clear" w:color="auto" w:fill="00739D"/>
          </w:tcPr>
          <w:p>
            <w:pPr>
              <w:jc w:val="right"/>
              <w:ind w:right="310"/>
              <w:spacing w:after="0"/>
              <w:rPr>
                <w:sz w:val="20"/>
                <w:szCs w:val="20"/>
                <w:color w:val="auto"/>
              </w:rPr>
            </w:pPr>
            <w:r>
              <w:rPr>
                <w:rFonts w:ascii="Arial" w:cs="Arial" w:eastAsia="Arial" w:hAnsi="Arial"/>
                <w:sz w:val="18"/>
                <w:szCs w:val="18"/>
                <w:b w:val="1"/>
                <w:bCs w:val="1"/>
                <w:color w:val="FFFFFF"/>
              </w:rPr>
              <w:t>1</w:t>
            </w:r>
          </w:p>
        </w:tc>
        <w:tc>
          <w:tcPr>
            <w:tcW w:w="4640" w:type="dxa"/>
            <w:vAlign w:val="bottom"/>
            <w:shd w:val="clear" w:color="auto" w:fill="E7F1F5"/>
          </w:tcPr>
          <w:p>
            <w:pPr>
              <w:ind w:left="180"/>
              <w:spacing w:after="0"/>
              <w:rPr>
                <w:sz w:val="20"/>
                <w:szCs w:val="20"/>
                <w:color w:val="auto"/>
              </w:rPr>
            </w:pPr>
            <w:r>
              <w:rPr>
                <w:rFonts w:ascii="Arial" w:cs="Arial" w:eastAsia="Arial" w:hAnsi="Arial"/>
                <w:sz w:val="15"/>
                <w:szCs w:val="15"/>
                <w:b w:val="1"/>
                <w:bCs w:val="1"/>
                <w:color w:val="0E191E"/>
              </w:rPr>
              <w:t xml:space="preserve">Proposal One </w:t>
            </w:r>
            <w:r>
              <w:rPr>
                <w:rFonts w:ascii="Arial" w:cs="Arial" w:eastAsia="Arial" w:hAnsi="Arial"/>
                <w:sz w:val="15"/>
                <w:szCs w:val="15"/>
                <w:color w:val="0E191E"/>
              </w:rPr>
              <w:t>– Election of directors</w:t>
            </w:r>
          </w:p>
        </w:tc>
        <w:tc>
          <w:tcPr>
            <w:tcW w:w="740" w:type="dxa"/>
            <w:vAlign w:val="bottom"/>
            <w:shd w:val="clear" w:color="auto" w:fill="E7F1F5"/>
          </w:tcPr>
          <w:p>
            <w:pPr>
              <w:spacing w:after="0"/>
              <w:rPr>
                <w:sz w:val="17"/>
                <w:szCs w:val="17"/>
                <w:color w:val="auto"/>
              </w:rPr>
            </w:pPr>
          </w:p>
        </w:tc>
        <w:tc>
          <w:tcPr>
            <w:tcW w:w="880" w:type="dxa"/>
            <w:vAlign w:val="bottom"/>
            <w:vMerge w:val="restart"/>
            <w:shd w:val="clear" w:color="auto" w:fill="E7F1F5"/>
          </w:tcPr>
          <w:p>
            <w:pPr>
              <w:ind w:left="400"/>
              <w:spacing w:after="0"/>
              <w:rPr>
                <w:sz w:val="20"/>
                <w:szCs w:val="20"/>
                <w:color w:val="auto"/>
              </w:rPr>
            </w:pPr>
            <w:r>
              <w:rPr>
                <w:rFonts w:ascii="Arial" w:cs="Arial" w:eastAsia="Arial" w:hAnsi="Arial"/>
                <w:sz w:val="15"/>
                <w:szCs w:val="15"/>
                <w:b w:val="1"/>
                <w:bCs w:val="1"/>
                <w:color w:val="0E191E"/>
              </w:rPr>
              <w:t>FOR</w:t>
            </w:r>
          </w:p>
        </w:tc>
        <w:tc>
          <w:tcPr>
            <w:tcW w:w="3140" w:type="dxa"/>
            <w:vAlign w:val="bottom"/>
            <w:vMerge w:val="restart"/>
            <w:shd w:val="clear" w:color="auto" w:fill="E7F1F5"/>
          </w:tcPr>
          <w:p>
            <w:pPr>
              <w:ind w:left="160"/>
              <w:spacing w:after="0"/>
              <w:rPr>
                <w:sz w:val="20"/>
                <w:szCs w:val="20"/>
                <w:color w:val="auto"/>
              </w:rPr>
            </w:pPr>
            <w:r>
              <w:rPr>
                <w:rFonts w:ascii="Arial" w:cs="Arial" w:eastAsia="Arial" w:hAnsi="Arial"/>
                <w:sz w:val="15"/>
                <w:szCs w:val="15"/>
                <w:color w:val="0E191E"/>
              </w:rPr>
              <w:t>Majority of the votes cast</w:t>
            </w:r>
          </w:p>
        </w:tc>
        <w:tc>
          <w:tcPr>
            <w:tcW w:w="92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Page</w:t>
            </w:r>
          </w:p>
        </w:tc>
        <w:tc>
          <w:tcPr>
            <w:tcW w:w="0" w:type="dxa"/>
            <w:vAlign w:val="bottom"/>
          </w:tcPr>
          <w:p>
            <w:pPr>
              <w:spacing w:after="0"/>
              <w:rPr>
                <w:sz w:val="1"/>
                <w:szCs w:val="1"/>
                <w:color w:val="auto"/>
              </w:rPr>
            </w:pPr>
          </w:p>
        </w:tc>
      </w:tr>
      <w:tr>
        <w:trPr>
          <w:trHeight w:val="109"/>
        </w:trPr>
        <w:tc>
          <w:tcPr>
            <w:tcW w:w="920" w:type="dxa"/>
            <w:vAlign w:val="bottom"/>
            <w:vMerge w:val="continue"/>
            <w:shd w:val="clear" w:color="auto" w:fill="00739D"/>
          </w:tcPr>
          <w:p>
            <w:pPr>
              <w:spacing w:after="0"/>
              <w:rPr>
                <w:sz w:val="9"/>
                <w:szCs w:val="9"/>
                <w:color w:val="auto"/>
              </w:rPr>
            </w:pPr>
          </w:p>
        </w:tc>
        <w:tc>
          <w:tcPr>
            <w:tcW w:w="4640" w:type="dxa"/>
            <w:vAlign w:val="bottom"/>
            <w:shd w:val="clear" w:color="auto" w:fill="E7F1F5"/>
          </w:tcPr>
          <w:p>
            <w:pPr>
              <w:spacing w:after="0"/>
              <w:rPr>
                <w:sz w:val="9"/>
                <w:szCs w:val="9"/>
                <w:color w:val="auto"/>
              </w:rPr>
            </w:pPr>
          </w:p>
        </w:tc>
        <w:tc>
          <w:tcPr>
            <w:tcW w:w="740" w:type="dxa"/>
            <w:vAlign w:val="bottom"/>
            <w:shd w:val="clear" w:color="auto" w:fill="E7F1F5"/>
          </w:tcPr>
          <w:p>
            <w:pPr>
              <w:spacing w:after="0"/>
              <w:rPr>
                <w:sz w:val="9"/>
                <w:szCs w:val="9"/>
                <w:color w:val="auto"/>
              </w:rPr>
            </w:pPr>
          </w:p>
        </w:tc>
        <w:tc>
          <w:tcPr>
            <w:tcW w:w="880" w:type="dxa"/>
            <w:vAlign w:val="bottom"/>
            <w:vMerge w:val="continue"/>
            <w:shd w:val="clear" w:color="auto" w:fill="E7F1F5"/>
          </w:tcPr>
          <w:p>
            <w:pPr>
              <w:spacing w:after="0"/>
              <w:rPr>
                <w:sz w:val="9"/>
                <w:szCs w:val="9"/>
                <w:color w:val="auto"/>
              </w:rPr>
            </w:pPr>
          </w:p>
        </w:tc>
        <w:tc>
          <w:tcPr>
            <w:tcW w:w="3140" w:type="dxa"/>
            <w:vAlign w:val="bottom"/>
            <w:vMerge w:val="continue"/>
            <w:shd w:val="clear" w:color="auto" w:fill="E7F1F5"/>
          </w:tcPr>
          <w:p>
            <w:pPr>
              <w:spacing w:after="0"/>
              <w:rPr>
                <w:sz w:val="9"/>
                <w:szCs w:val="9"/>
                <w:color w:val="auto"/>
              </w:rPr>
            </w:pPr>
          </w:p>
        </w:tc>
        <w:tc>
          <w:tcPr>
            <w:tcW w:w="92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10</w:t>
            </w:r>
          </w:p>
        </w:tc>
        <w:tc>
          <w:tcPr>
            <w:tcW w:w="0" w:type="dxa"/>
            <w:vAlign w:val="bottom"/>
          </w:tcPr>
          <w:p>
            <w:pPr>
              <w:spacing w:after="0"/>
              <w:rPr>
                <w:sz w:val="1"/>
                <w:szCs w:val="1"/>
                <w:color w:val="auto"/>
              </w:rPr>
            </w:pPr>
          </w:p>
        </w:tc>
      </w:tr>
      <w:tr>
        <w:trPr>
          <w:trHeight w:val="88"/>
        </w:trPr>
        <w:tc>
          <w:tcPr>
            <w:tcW w:w="920" w:type="dxa"/>
            <w:vAlign w:val="bottom"/>
            <w:tcBorders>
              <w:bottom w:val="single" w:sz="8" w:color="00739D"/>
            </w:tcBorders>
            <w:shd w:val="clear" w:color="auto" w:fill="00739D"/>
          </w:tcPr>
          <w:p>
            <w:pPr>
              <w:spacing w:after="0"/>
              <w:rPr>
                <w:sz w:val="7"/>
                <w:szCs w:val="7"/>
                <w:color w:val="auto"/>
              </w:rPr>
            </w:pPr>
          </w:p>
        </w:tc>
        <w:tc>
          <w:tcPr>
            <w:tcW w:w="4640" w:type="dxa"/>
            <w:vAlign w:val="bottom"/>
            <w:tcBorders>
              <w:bottom w:val="single" w:sz="8" w:color="E7F1F5"/>
            </w:tcBorders>
            <w:shd w:val="clear" w:color="auto" w:fill="E7F1F5"/>
          </w:tcPr>
          <w:p>
            <w:pPr>
              <w:spacing w:after="0"/>
              <w:rPr>
                <w:sz w:val="7"/>
                <w:szCs w:val="7"/>
                <w:color w:val="auto"/>
              </w:rPr>
            </w:pPr>
          </w:p>
        </w:tc>
        <w:tc>
          <w:tcPr>
            <w:tcW w:w="740" w:type="dxa"/>
            <w:vAlign w:val="bottom"/>
            <w:tcBorders>
              <w:bottom w:val="single" w:sz="8" w:color="E7F1F5"/>
            </w:tcBorders>
            <w:shd w:val="clear" w:color="auto" w:fill="E7F1F5"/>
          </w:tcPr>
          <w:p>
            <w:pPr>
              <w:spacing w:after="0"/>
              <w:rPr>
                <w:sz w:val="7"/>
                <w:szCs w:val="7"/>
                <w:color w:val="auto"/>
              </w:rPr>
            </w:pPr>
          </w:p>
        </w:tc>
        <w:tc>
          <w:tcPr>
            <w:tcW w:w="880" w:type="dxa"/>
            <w:vAlign w:val="bottom"/>
            <w:tcBorders>
              <w:bottom w:val="single" w:sz="8" w:color="E7F1F5"/>
            </w:tcBorders>
            <w:shd w:val="clear" w:color="auto" w:fill="E7F1F5"/>
          </w:tcPr>
          <w:p>
            <w:pPr>
              <w:spacing w:after="0"/>
              <w:rPr>
                <w:sz w:val="7"/>
                <w:szCs w:val="7"/>
                <w:color w:val="auto"/>
              </w:rPr>
            </w:pPr>
          </w:p>
        </w:tc>
        <w:tc>
          <w:tcPr>
            <w:tcW w:w="3140" w:type="dxa"/>
            <w:vAlign w:val="bottom"/>
            <w:tcBorders>
              <w:bottom w:val="single" w:sz="8" w:color="E7F1F5"/>
            </w:tcBorders>
            <w:shd w:val="clear" w:color="auto" w:fill="E7F1F5"/>
          </w:tcPr>
          <w:p>
            <w:pPr>
              <w:spacing w:after="0"/>
              <w:rPr>
                <w:sz w:val="7"/>
                <w:szCs w:val="7"/>
                <w:color w:val="auto"/>
              </w:rPr>
            </w:pPr>
          </w:p>
        </w:tc>
        <w:tc>
          <w:tcPr>
            <w:tcW w:w="920" w:type="dxa"/>
            <w:vAlign w:val="bottom"/>
            <w:tcBorders>
              <w:bottom w:val="single" w:sz="8" w:color="E7F1F5"/>
            </w:tcBorders>
            <w:vMerge w:val="continue"/>
            <w:shd w:val="clear" w:color="auto" w:fill="E7F1F5"/>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920" w:type="dxa"/>
            <w:vAlign w:val="bottom"/>
            <w:vMerge w:val="restart"/>
            <w:shd w:val="clear" w:color="auto" w:fill="00739D"/>
          </w:tcPr>
          <w:p>
            <w:pPr>
              <w:jc w:val="right"/>
              <w:ind w:right="310"/>
              <w:spacing w:after="0"/>
              <w:rPr>
                <w:sz w:val="20"/>
                <w:szCs w:val="20"/>
                <w:color w:val="auto"/>
              </w:rPr>
            </w:pPr>
            <w:r>
              <w:rPr>
                <w:rFonts w:ascii="Arial" w:cs="Arial" w:eastAsia="Arial" w:hAnsi="Arial"/>
                <w:sz w:val="18"/>
                <w:szCs w:val="18"/>
                <w:b w:val="1"/>
                <w:bCs w:val="1"/>
                <w:color w:val="FFFFFF"/>
              </w:rPr>
              <w:t>2</w:t>
            </w:r>
          </w:p>
        </w:tc>
        <w:tc>
          <w:tcPr>
            <w:tcW w:w="5380" w:type="dxa"/>
            <w:vAlign w:val="bottom"/>
            <w:gridSpan w:val="2"/>
          </w:tcPr>
          <w:p>
            <w:pPr>
              <w:ind w:left="180"/>
              <w:spacing w:after="0"/>
              <w:rPr>
                <w:sz w:val="20"/>
                <w:szCs w:val="20"/>
                <w:color w:val="auto"/>
              </w:rPr>
            </w:pPr>
            <w:r>
              <w:rPr>
                <w:rFonts w:ascii="Arial" w:cs="Arial" w:eastAsia="Arial" w:hAnsi="Arial"/>
                <w:sz w:val="15"/>
                <w:szCs w:val="15"/>
                <w:b w:val="1"/>
                <w:bCs w:val="1"/>
                <w:color w:val="0E191E"/>
              </w:rPr>
              <w:t xml:space="preserve">Proposal Two </w:t>
            </w:r>
            <w:r>
              <w:rPr>
                <w:rFonts w:ascii="Arial" w:cs="Arial" w:eastAsia="Arial" w:hAnsi="Arial"/>
                <w:sz w:val="15"/>
                <w:szCs w:val="15"/>
                <w:color w:val="0E191E"/>
              </w:rPr>
              <w:t>– Ratification of appointment of independent registered public</w:t>
            </w:r>
          </w:p>
        </w:tc>
        <w:tc>
          <w:tcPr>
            <w:tcW w:w="880" w:type="dxa"/>
            <w:vAlign w:val="bottom"/>
            <w:vMerge w:val="restart"/>
          </w:tcPr>
          <w:p>
            <w:pPr>
              <w:ind w:left="400"/>
              <w:spacing w:after="0"/>
              <w:rPr>
                <w:sz w:val="20"/>
                <w:szCs w:val="20"/>
                <w:color w:val="auto"/>
              </w:rPr>
            </w:pPr>
            <w:r>
              <w:rPr>
                <w:rFonts w:ascii="Arial" w:cs="Arial" w:eastAsia="Arial" w:hAnsi="Arial"/>
                <w:sz w:val="15"/>
                <w:szCs w:val="15"/>
                <w:b w:val="1"/>
                <w:bCs w:val="1"/>
                <w:color w:val="0E191E"/>
              </w:rPr>
              <w:t>FOR</w:t>
            </w:r>
          </w:p>
        </w:tc>
        <w:tc>
          <w:tcPr>
            <w:tcW w:w="3140" w:type="dxa"/>
            <w:vAlign w:val="bottom"/>
            <w:vMerge w:val="restart"/>
          </w:tcPr>
          <w:p>
            <w:pPr>
              <w:ind w:left="160"/>
              <w:spacing w:after="0"/>
              <w:rPr>
                <w:sz w:val="20"/>
                <w:szCs w:val="20"/>
                <w:color w:val="auto"/>
              </w:rPr>
            </w:pPr>
            <w:r>
              <w:rPr>
                <w:rFonts w:ascii="Arial" w:cs="Arial" w:eastAsia="Arial" w:hAnsi="Arial"/>
                <w:sz w:val="15"/>
                <w:szCs w:val="15"/>
                <w:color w:val="0E191E"/>
              </w:rPr>
              <w:t>Majority of the shares represented</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0E191E"/>
              </w:rPr>
              <w:t>Page</w:t>
            </w:r>
          </w:p>
        </w:tc>
        <w:tc>
          <w:tcPr>
            <w:tcW w:w="0" w:type="dxa"/>
            <w:vAlign w:val="bottom"/>
          </w:tcPr>
          <w:p>
            <w:pPr>
              <w:spacing w:after="0"/>
              <w:rPr>
                <w:sz w:val="1"/>
                <w:szCs w:val="1"/>
                <w:color w:val="auto"/>
              </w:rPr>
            </w:pPr>
          </w:p>
        </w:tc>
      </w:tr>
      <w:tr>
        <w:trPr>
          <w:trHeight w:val="75"/>
        </w:trPr>
        <w:tc>
          <w:tcPr>
            <w:tcW w:w="920" w:type="dxa"/>
            <w:vAlign w:val="bottom"/>
            <w:vMerge w:val="continue"/>
            <w:shd w:val="clear" w:color="auto" w:fill="00739D"/>
          </w:tcPr>
          <w:p>
            <w:pPr>
              <w:spacing w:after="0"/>
              <w:rPr>
                <w:sz w:val="6"/>
                <w:szCs w:val="6"/>
                <w:color w:val="auto"/>
              </w:rPr>
            </w:pPr>
          </w:p>
        </w:tc>
        <w:tc>
          <w:tcPr>
            <w:tcW w:w="4640" w:type="dxa"/>
            <w:vAlign w:val="bottom"/>
            <w:vMerge w:val="restart"/>
          </w:tcPr>
          <w:p>
            <w:pPr>
              <w:ind w:left="180"/>
              <w:spacing w:after="0"/>
              <w:rPr>
                <w:sz w:val="20"/>
                <w:szCs w:val="20"/>
                <w:color w:val="auto"/>
              </w:rPr>
            </w:pPr>
            <w:r>
              <w:rPr>
                <w:rFonts w:ascii="Arial" w:cs="Arial" w:eastAsia="Arial" w:hAnsi="Arial"/>
                <w:sz w:val="15"/>
                <w:szCs w:val="15"/>
                <w:color w:val="0E191E"/>
              </w:rPr>
              <w:t>accounting firm</w:t>
            </w:r>
          </w:p>
        </w:tc>
        <w:tc>
          <w:tcPr>
            <w:tcW w:w="7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31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920" w:type="dxa"/>
            <w:vAlign w:val="bottom"/>
            <w:vMerge w:val="continue"/>
            <w:shd w:val="clear" w:color="auto" w:fill="00739D"/>
          </w:tcPr>
          <w:p>
            <w:pPr>
              <w:spacing w:after="0"/>
              <w:rPr>
                <w:sz w:val="9"/>
                <w:szCs w:val="9"/>
                <w:color w:val="auto"/>
              </w:rPr>
            </w:pPr>
          </w:p>
        </w:tc>
        <w:tc>
          <w:tcPr>
            <w:tcW w:w="46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3140" w:type="dxa"/>
            <w:vAlign w:val="bottom"/>
            <w:vMerge w:val="continue"/>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0E191E"/>
              </w:rPr>
              <w:t>16</w:t>
            </w:r>
          </w:p>
        </w:tc>
        <w:tc>
          <w:tcPr>
            <w:tcW w:w="0" w:type="dxa"/>
            <w:vAlign w:val="bottom"/>
          </w:tcPr>
          <w:p>
            <w:pPr>
              <w:spacing w:after="0"/>
              <w:rPr>
                <w:sz w:val="1"/>
                <w:szCs w:val="1"/>
                <w:color w:val="auto"/>
              </w:rPr>
            </w:pPr>
          </w:p>
        </w:tc>
      </w:tr>
      <w:tr>
        <w:trPr>
          <w:trHeight w:val="48"/>
        </w:trPr>
        <w:tc>
          <w:tcPr>
            <w:tcW w:w="920" w:type="dxa"/>
            <w:vAlign w:val="bottom"/>
            <w:shd w:val="clear" w:color="auto" w:fill="00739D"/>
          </w:tcPr>
          <w:p>
            <w:pPr>
              <w:spacing w:after="0"/>
              <w:rPr>
                <w:sz w:val="4"/>
                <w:szCs w:val="4"/>
                <w:color w:val="auto"/>
              </w:rPr>
            </w:pPr>
          </w:p>
        </w:tc>
        <w:tc>
          <w:tcPr>
            <w:tcW w:w="4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920" w:type="dxa"/>
            <w:vAlign w:val="bottom"/>
            <w:shd w:val="clear" w:color="auto" w:fill="00739D"/>
          </w:tcPr>
          <w:p>
            <w:pPr>
              <w:spacing w:after="0"/>
              <w:rPr>
                <w:sz w:val="12"/>
                <w:szCs w:val="12"/>
                <w:color w:val="auto"/>
              </w:rPr>
            </w:pPr>
          </w:p>
        </w:tc>
        <w:tc>
          <w:tcPr>
            <w:tcW w:w="6260" w:type="dxa"/>
            <w:vAlign w:val="bottom"/>
            <w:gridSpan w:val="3"/>
          </w:tcPr>
          <w:p>
            <w:pPr>
              <w:spacing w:after="0"/>
              <w:rPr>
                <w:sz w:val="12"/>
                <w:szCs w:val="12"/>
                <w:color w:val="auto"/>
              </w:rPr>
            </w:pPr>
          </w:p>
        </w:tc>
        <w:tc>
          <w:tcPr>
            <w:tcW w:w="3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920" w:type="dxa"/>
            <w:vAlign w:val="bottom"/>
            <w:vMerge w:val="restart"/>
            <w:shd w:val="clear" w:color="auto" w:fill="00739D"/>
          </w:tcPr>
          <w:p>
            <w:pPr>
              <w:jc w:val="right"/>
              <w:ind w:right="310"/>
              <w:spacing w:after="0"/>
              <w:rPr>
                <w:sz w:val="20"/>
                <w:szCs w:val="20"/>
                <w:color w:val="auto"/>
              </w:rPr>
            </w:pPr>
            <w:r>
              <w:rPr>
                <w:rFonts w:ascii="Arial" w:cs="Arial" w:eastAsia="Arial" w:hAnsi="Arial"/>
                <w:sz w:val="18"/>
                <w:szCs w:val="18"/>
                <w:b w:val="1"/>
                <w:bCs w:val="1"/>
                <w:color w:val="FFFFFF"/>
              </w:rPr>
              <w:t>3</w:t>
            </w:r>
          </w:p>
        </w:tc>
        <w:tc>
          <w:tcPr>
            <w:tcW w:w="6260" w:type="dxa"/>
            <w:vAlign w:val="bottom"/>
            <w:gridSpan w:val="3"/>
            <w:shd w:val="clear" w:color="auto" w:fill="E7F1F5"/>
          </w:tcPr>
          <w:p>
            <w:pPr>
              <w:ind w:left="180"/>
              <w:spacing w:after="0"/>
              <w:rPr>
                <w:sz w:val="20"/>
                <w:szCs w:val="20"/>
                <w:color w:val="auto"/>
              </w:rPr>
            </w:pPr>
            <w:r>
              <w:rPr>
                <w:rFonts w:ascii="Arial" w:cs="Arial" w:eastAsia="Arial" w:hAnsi="Arial"/>
                <w:sz w:val="15"/>
                <w:szCs w:val="15"/>
                <w:b w:val="1"/>
                <w:bCs w:val="1"/>
                <w:color w:val="0E191E"/>
              </w:rPr>
              <w:t xml:space="preserve">Proposal Three </w:t>
            </w:r>
            <w:r>
              <w:rPr>
                <w:rFonts w:ascii="Arial" w:cs="Arial" w:eastAsia="Arial" w:hAnsi="Arial"/>
                <w:sz w:val="15"/>
                <w:szCs w:val="15"/>
                <w:color w:val="0E191E"/>
              </w:rPr>
              <w:t>– Non-binding advisory vote to approve the compensation of</w:t>
            </w:r>
          </w:p>
        </w:tc>
        <w:tc>
          <w:tcPr>
            <w:tcW w:w="3140" w:type="dxa"/>
            <w:vAlign w:val="bottom"/>
            <w:shd w:val="clear" w:color="auto" w:fill="E7F1F5"/>
          </w:tcPr>
          <w:p>
            <w:pPr>
              <w:spacing w:after="0"/>
              <w:rPr>
                <w:sz w:val="19"/>
                <w:szCs w:val="19"/>
                <w:color w:val="auto"/>
              </w:rPr>
            </w:pPr>
          </w:p>
        </w:tc>
        <w:tc>
          <w:tcPr>
            <w:tcW w:w="92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Page</w:t>
            </w:r>
          </w:p>
        </w:tc>
        <w:tc>
          <w:tcPr>
            <w:tcW w:w="0" w:type="dxa"/>
            <w:vAlign w:val="bottom"/>
          </w:tcPr>
          <w:p>
            <w:pPr>
              <w:spacing w:after="0"/>
              <w:rPr>
                <w:sz w:val="1"/>
                <w:szCs w:val="1"/>
                <w:color w:val="auto"/>
              </w:rPr>
            </w:pPr>
          </w:p>
        </w:tc>
      </w:tr>
      <w:tr>
        <w:trPr>
          <w:trHeight w:val="102"/>
        </w:trPr>
        <w:tc>
          <w:tcPr>
            <w:tcW w:w="920" w:type="dxa"/>
            <w:vAlign w:val="bottom"/>
            <w:vMerge w:val="continue"/>
            <w:shd w:val="clear" w:color="auto" w:fill="00739D"/>
          </w:tcPr>
          <w:p>
            <w:pPr>
              <w:spacing w:after="0"/>
              <w:rPr>
                <w:sz w:val="8"/>
                <w:szCs w:val="8"/>
                <w:color w:val="auto"/>
              </w:rPr>
            </w:pPr>
          </w:p>
        </w:tc>
        <w:tc>
          <w:tcPr>
            <w:tcW w:w="4640" w:type="dxa"/>
            <w:vAlign w:val="bottom"/>
            <w:vMerge w:val="restart"/>
            <w:shd w:val="clear" w:color="auto" w:fill="E7F1F5"/>
          </w:tcPr>
          <w:p>
            <w:pPr>
              <w:ind w:left="180"/>
              <w:spacing w:after="0"/>
              <w:rPr>
                <w:sz w:val="20"/>
                <w:szCs w:val="20"/>
                <w:color w:val="auto"/>
              </w:rPr>
            </w:pPr>
            <w:r>
              <w:rPr>
                <w:rFonts w:ascii="Arial" w:cs="Arial" w:eastAsia="Arial" w:hAnsi="Arial"/>
                <w:sz w:val="15"/>
                <w:szCs w:val="15"/>
                <w:color w:val="0E191E"/>
              </w:rPr>
              <w:t>the Company's named executive officers</w:t>
            </w:r>
          </w:p>
        </w:tc>
        <w:tc>
          <w:tcPr>
            <w:tcW w:w="740" w:type="dxa"/>
            <w:vAlign w:val="bottom"/>
            <w:shd w:val="clear" w:color="auto" w:fill="E7F1F5"/>
          </w:tcPr>
          <w:p>
            <w:pPr>
              <w:spacing w:after="0"/>
              <w:rPr>
                <w:sz w:val="8"/>
                <w:szCs w:val="8"/>
                <w:color w:val="auto"/>
              </w:rPr>
            </w:pPr>
          </w:p>
        </w:tc>
        <w:tc>
          <w:tcPr>
            <w:tcW w:w="880" w:type="dxa"/>
            <w:vAlign w:val="bottom"/>
            <w:vMerge w:val="restart"/>
            <w:shd w:val="clear" w:color="auto" w:fill="E7F1F5"/>
          </w:tcPr>
          <w:p>
            <w:pPr>
              <w:ind w:left="400"/>
              <w:spacing w:after="0"/>
              <w:rPr>
                <w:sz w:val="20"/>
                <w:szCs w:val="20"/>
                <w:color w:val="auto"/>
              </w:rPr>
            </w:pPr>
            <w:r>
              <w:rPr>
                <w:rFonts w:ascii="Arial" w:cs="Arial" w:eastAsia="Arial" w:hAnsi="Arial"/>
                <w:sz w:val="15"/>
                <w:szCs w:val="15"/>
                <w:b w:val="1"/>
                <w:bCs w:val="1"/>
                <w:color w:val="0E191E"/>
              </w:rPr>
              <w:t>FOR</w:t>
            </w:r>
          </w:p>
        </w:tc>
        <w:tc>
          <w:tcPr>
            <w:tcW w:w="3140" w:type="dxa"/>
            <w:vAlign w:val="bottom"/>
            <w:vMerge w:val="restart"/>
            <w:shd w:val="clear" w:color="auto" w:fill="E7F1F5"/>
          </w:tcPr>
          <w:p>
            <w:pPr>
              <w:ind w:left="160"/>
              <w:spacing w:after="0"/>
              <w:rPr>
                <w:sz w:val="20"/>
                <w:szCs w:val="20"/>
                <w:color w:val="auto"/>
              </w:rPr>
            </w:pPr>
            <w:r>
              <w:rPr>
                <w:rFonts w:ascii="Arial" w:cs="Arial" w:eastAsia="Arial" w:hAnsi="Arial"/>
                <w:sz w:val="15"/>
                <w:szCs w:val="15"/>
                <w:color w:val="0E191E"/>
              </w:rPr>
              <w:t>Majority of the shares represented</w:t>
            </w:r>
          </w:p>
        </w:tc>
        <w:tc>
          <w:tcPr>
            <w:tcW w:w="920" w:type="dxa"/>
            <w:vAlign w:val="bottom"/>
            <w:vMerge w:val="continue"/>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920" w:type="dxa"/>
            <w:vAlign w:val="bottom"/>
            <w:vMerge w:val="continue"/>
            <w:shd w:val="clear" w:color="auto" w:fill="00739D"/>
          </w:tcPr>
          <w:p>
            <w:pPr>
              <w:spacing w:after="0"/>
              <w:rPr>
                <w:sz w:val="9"/>
                <w:szCs w:val="9"/>
                <w:color w:val="auto"/>
              </w:rPr>
            </w:pPr>
          </w:p>
        </w:tc>
        <w:tc>
          <w:tcPr>
            <w:tcW w:w="4640" w:type="dxa"/>
            <w:vAlign w:val="bottom"/>
            <w:vMerge w:val="continue"/>
            <w:shd w:val="clear" w:color="auto" w:fill="E7F1F5"/>
          </w:tcPr>
          <w:p>
            <w:pPr>
              <w:spacing w:after="0"/>
              <w:rPr>
                <w:sz w:val="9"/>
                <w:szCs w:val="9"/>
                <w:color w:val="auto"/>
              </w:rPr>
            </w:pPr>
          </w:p>
        </w:tc>
        <w:tc>
          <w:tcPr>
            <w:tcW w:w="740" w:type="dxa"/>
            <w:vAlign w:val="bottom"/>
            <w:shd w:val="clear" w:color="auto" w:fill="E7F1F5"/>
          </w:tcPr>
          <w:p>
            <w:pPr>
              <w:spacing w:after="0"/>
              <w:rPr>
                <w:sz w:val="9"/>
                <w:szCs w:val="9"/>
                <w:color w:val="auto"/>
              </w:rPr>
            </w:pPr>
          </w:p>
        </w:tc>
        <w:tc>
          <w:tcPr>
            <w:tcW w:w="880" w:type="dxa"/>
            <w:vAlign w:val="bottom"/>
            <w:vMerge w:val="continue"/>
            <w:shd w:val="clear" w:color="auto" w:fill="E7F1F5"/>
          </w:tcPr>
          <w:p>
            <w:pPr>
              <w:spacing w:after="0"/>
              <w:rPr>
                <w:sz w:val="9"/>
                <w:szCs w:val="9"/>
                <w:color w:val="auto"/>
              </w:rPr>
            </w:pPr>
          </w:p>
        </w:tc>
        <w:tc>
          <w:tcPr>
            <w:tcW w:w="3140" w:type="dxa"/>
            <w:vAlign w:val="bottom"/>
            <w:vMerge w:val="continue"/>
            <w:shd w:val="clear" w:color="auto" w:fill="E7F1F5"/>
          </w:tcPr>
          <w:p>
            <w:pPr>
              <w:spacing w:after="0"/>
              <w:rPr>
                <w:sz w:val="9"/>
                <w:szCs w:val="9"/>
                <w:color w:val="auto"/>
              </w:rPr>
            </w:pPr>
          </w:p>
        </w:tc>
        <w:tc>
          <w:tcPr>
            <w:tcW w:w="92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17</w:t>
            </w:r>
          </w:p>
        </w:tc>
        <w:tc>
          <w:tcPr>
            <w:tcW w:w="0" w:type="dxa"/>
            <w:vAlign w:val="bottom"/>
          </w:tcPr>
          <w:p>
            <w:pPr>
              <w:spacing w:after="0"/>
              <w:rPr>
                <w:sz w:val="1"/>
                <w:szCs w:val="1"/>
                <w:color w:val="auto"/>
              </w:rPr>
            </w:pPr>
          </w:p>
        </w:tc>
      </w:tr>
      <w:tr>
        <w:trPr>
          <w:trHeight w:val="48"/>
        </w:trPr>
        <w:tc>
          <w:tcPr>
            <w:tcW w:w="920" w:type="dxa"/>
            <w:vAlign w:val="bottom"/>
            <w:shd w:val="clear" w:color="auto" w:fill="00739D"/>
          </w:tcPr>
          <w:p>
            <w:pPr>
              <w:spacing w:after="0"/>
              <w:rPr>
                <w:sz w:val="4"/>
                <w:szCs w:val="4"/>
                <w:color w:val="auto"/>
              </w:rPr>
            </w:pPr>
          </w:p>
        </w:tc>
        <w:tc>
          <w:tcPr>
            <w:tcW w:w="4640" w:type="dxa"/>
            <w:vAlign w:val="bottom"/>
            <w:shd w:val="clear" w:color="auto" w:fill="E7F1F5"/>
          </w:tcPr>
          <w:p>
            <w:pPr>
              <w:spacing w:after="0"/>
              <w:rPr>
                <w:sz w:val="4"/>
                <w:szCs w:val="4"/>
                <w:color w:val="auto"/>
              </w:rPr>
            </w:pPr>
          </w:p>
        </w:tc>
        <w:tc>
          <w:tcPr>
            <w:tcW w:w="740" w:type="dxa"/>
            <w:vAlign w:val="bottom"/>
            <w:shd w:val="clear" w:color="auto" w:fill="E7F1F5"/>
          </w:tcPr>
          <w:p>
            <w:pPr>
              <w:spacing w:after="0"/>
              <w:rPr>
                <w:sz w:val="4"/>
                <w:szCs w:val="4"/>
                <w:color w:val="auto"/>
              </w:rPr>
            </w:pPr>
          </w:p>
        </w:tc>
        <w:tc>
          <w:tcPr>
            <w:tcW w:w="880" w:type="dxa"/>
            <w:vAlign w:val="bottom"/>
            <w:shd w:val="clear" w:color="auto" w:fill="E7F1F5"/>
          </w:tcPr>
          <w:p>
            <w:pPr>
              <w:spacing w:after="0"/>
              <w:rPr>
                <w:sz w:val="4"/>
                <w:szCs w:val="4"/>
                <w:color w:val="auto"/>
              </w:rPr>
            </w:pPr>
          </w:p>
        </w:tc>
        <w:tc>
          <w:tcPr>
            <w:tcW w:w="3140" w:type="dxa"/>
            <w:vAlign w:val="bottom"/>
            <w:shd w:val="clear" w:color="auto" w:fill="E7F1F5"/>
          </w:tcPr>
          <w:p>
            <w:pPr>
              <w:spacing w:after="0"/>
              <w:rPr>
                <w:sz w:val="4"/>
                <w:szCs w:val="4"/>
                <w:color w:val="auto"/>
              </w:rPr>
            </w:pPr>
          </w:p>
        </w:tc>
        <w:tc>
          <w:tcPr>
            <w:tcW w:w="920" w:type="dxa"/>
            <w:vAlign w:val="bottom"/>
            <w:vMerge w:val="continue"/>
            <w:shd w:val="clear" w:color="auto" w:fill="E7F1F5"/>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920" w:type="dxa"/>
            <w:vAlign w:val="bottom"/>
            <w:shd w:val="clear" w:color="auto" w:fill="00739D"/>
          </w:tcPr>
          <w:p>
            <w:pPr>
              <w:spacing w:after="0"/>
              <w:rPr>
                <w:sz w:val="12"/>
                <w:szCs w:val="12"/>
                <w:color w:val="auto"/>
              </w:rPr>
            </w:pPr>
          </w:p>
        </w:tc>
        <w:tc>
          <w:tcPr>
            <w:tcW w:w="5380" w:type="dxa"/>
            <w:vAlign w:val="bottom"/>
            <w:gridSpan w:val="2"/>
            <w:shd w:val="clear" w:color="auto" w:fill="E7F1F5"/>
          </w:tcPr>
          <w:p>
            <w:pPr>
              <w:spacing w:after="0"/>
              <w:rPr>
                <w:sz w:val="12"/>
                <w:szCs w:val="12"/>
                <w:color w:val="auto"/>
              </w:rPr>
            </w:pPr>
          </w:p>
        </w:tc>
        <w:tc>
          <w:tcPr>
            <w:tcW w:w="880" w:type="dxa"/>
            <w:vAlign w:val="bottom"/>
            <w:shd w:val="clear" w:color="auto" w:fill="E7F1F5"/>
          </w:tcPr>
          <w:p>
            <w:pPr>
              <w:spacing w:after="0"/>
              <w:rPr>
                <w:sz w:val="12"/>
                <w:szCs w:val="12"/>
                <w:color w:val="auto"/>
              </w:rPr>
            </w:pPr>
          </w:p>
        </w:tc>
        <w:tc>
          <w:tcPr>
            <w:tcW w:w="3140" w:type="dxa"/>
            <w:vAlign w:val="bottom"/>
            <w:shd w:val="clear" w:color="auto" w:fill="E7F1F5"/>
          </w:tcPr>
          <w:p>
            <w:pPr>
              <w:spacing w:after="0"/>
              <w:rPr>
                <w:sz w:val="12"/>
                <w:szCs w:val="12"/>
                <w:color w:val="auto"/>
              </w:rPr>
            </w:pPr>
          </w:p>
        </w:tc>
        <w:tc>
          <w:tcPr>
            <w:tcW w:w="920" w:type="dxa"/>
            <w:vAlign w:val="bottom"/>
            <w:shd w:val="clear" w:color="auto" w:fill="E7F1F5"/>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920" w:type="dxa"/>
            <w:vAlign w:val="bottom"/>
            <w:vMerge w:val="restart"/>
            <w:shd w:val="clear" w:color="auto" w:fill="00739D"/>
          </w:tcPr>
          <w:p>
            <w:pPr>
              <w:jc w:val="right"/>
              <w:ind w:right="310"/>
              <w:spacing w:after="0"/>
              <w:rPr>
                <w:sz w:val="20"/>
                <w:szCs w:val="20"/>
                <w:color w:val="auto"/>
              </w:rPr>
            </w:pPr>
            <w:r>
              <w:rPr>
                <w:rFonts w:ascii="Arial" w:cs="Arial" w:eastAsia="Arial" w:hAnsi="Arial"/>
                <w:sz w:val="18"/>
                <w:szCs w:val="18"/>
                <w:b w:val="1"/>
                <w:bCs w:val="1"/>
                <w:color w:val="FFFFFF"/>
              </w:rPr>
              <w:t>4</w:t>
            </w:r>
          </w:p>
        </w:tc>
        <w:tc>
          <w:tcPr>
            <w:tcW w:w="5380" w:type="dxa"/>
            <w:vAlign w:val="bottom"/>
            <w:gridSpan w:val="2"/>
          </w:tcPr>
          <w:p>
            <w:pPr>
              <w:ind w:left="180"/>
              <w:spacing w:after="0"/>
              <w:rPr>
                <w:sz w:val="20"/>
                <w:szCs w:val="20"/>
                <w:color w:val="auto"/>
              </w:rPr>
            </w:pPr>
            <w:r>
              <w:rPr>
                <w:rFonts w:ascii="Arial" w:cs="Arial" w:eastAsia="Arial" w:hAnsi="Arial"/>
                <w:sz w:val="15"/>
                <w:szCs w:val="15"/>
                <w:b w:val="1"/>
                <w:bCs w:val="1"/>
                <w:color w:val="0E191E"/>
              </w:rPr>
              <w:t xml:space="preserve">Proposal Four </w:t>
            </w:r>
            <w:r>
              <w:rPr>
                <w:rFonts w:ascii="Arial" w:cs="Arial" w:eastAsia="Arial" w:hAnsi="Arial"/>
                <w:sz w:val="15"/>
                <w:szCs w:val="15"/>
                <w:color w:val="0E191E"/>
              </w:rPr>
              <w:t>– Amendment and restatement of our certificate of</w:t>
            </w:r>
          </w:p>
        </w:tc>
        <w:tc>
          <w:tcPr>
            <w:tcW w:w="880" w:type="dxa"/>
            <w:vAlign w:val="bottom"/>
            <w:vMerge w:val="restart"/>
          </w:tcPr>
          <w:p>
            <w:pPr>
              <w:ind w:left="400"/>
              <w:spacing w:after="0"/>
              <w:rPr>
                <w:sz w:val="20"/>
                <w:szCs w:val="20"/>
                <w:color w:val="auto"/>
              </w:rPr>
            </w:pPr>
            <w:r>
              <w:rPr>
                <w:rFonts w:ascii="Arial" w:cs="Arial" w:eastAsia="Arial" w:hAnsi="Arial"/>
                <w:sz w:val="15"/>
                <w:szCs w:val="15"/>
                <w:b w:val="1"/>
                <w:bCs w:val="1"/>
                <w:color w:val="0E191E"/>
              </w:rPr>
              <w:t>FOR</w:t>
            </w:r>
          </w:p>
        </w:tc>
        <w:tc>
          <w:tcPr>
            <w:tcW w:w="3140" w:type="dxa"/>
            <w:vAlign w:val="bottom"/>
            <w:vMerge w:val="restart"/>
          </w:tcPr>
          <w:p>
            <w:pPr>
              <w:ind w:left="160"/>
              <w:spacing w:after="0"/>
              <w:rPr>
                <w:sz w:val="20"/>
                <w:szCs w:val="20"/>
                <w:color w:val="auto"/>
              </w:rPr>
            </w:pPr>
            <w:r>
              <w:rPr>
                <w:rFonts w:ascii="Arial" w:cs="Arial" w:eastAsia="Arial" w:hAnsi="Arial"/>
                <w:sz w:val="15"/>
                <w:szCs w:val="15"/>
                <w:color w:val="0E191E"/>
              </w:rPr>
              <w:t>At least 66 2/3rd percent of outstanding</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0E191E"/>
              </w:rPr>
              <w:t>Page</w:t>
            </w:r>
          </w:p>
        </w:tc>
        <w:tc>
          <w:tcPr>
            <w:tcW w:w="0" w:type="dxa"/>
            <w:vAlign w:val="bottom"/>
          </w:tcPr>
          <w:p>
            <w:pPr>
              <w:spacing w:after="0"/>
              <w:rPr>
                <w:sz w:val="1"/>
                <w:szCs w:val="1"/>
                <w:color w:val="auto"/>
              </w:rPr>
            </w:pPr>
          </w:p>
        </w:tc>
      </w:tr>
      <w:tr>
        <w:trPr>
          <w:trHeight w:val="75"/>
        </w:trPr>
        <w:tc>
          <w:tcPr>
            <w:tcW w:w="920" w:type="dxa"/>
            <w:vAlign w:val="bottom"/>
            <w:vMerge w:val="continue"/>
            <w:shd w:val="clear" w:color="auto" w:fill="00739D"/>
          </w:tcPr>
          <w:p>
            <w:pPr>
              <w:spacing w:after="0"/>
              <w:rPr>
                <w:sz w:val="6"/>
                <w:szCs w:val="6"/>
                <w:color w:val="auto"/>
              </w:rPr>
            </w:pPr>
          </w:p>
        </w:tc>
        <w:tc>
          <w:tcPr>
            <w:tcW w:w="4640" w:type="dxa"/>
            <w:vAlign w:val="bottom"/>
            <w:vMerge w:val="restart"/>
          </w:tcPr>
          <w:p>
            <w:pPr>
              <w:ind w:left="180"/>
              <w:spacing w:after="0"/>
              <w:rPr>
                <w:sz w:val="20"/>
                <w:szCs w:val="20"/>
                <w:color w:val="auto"/>
              </w:rPr>
            </w:pPr>
            <w:r>
              <w:rPr>
                <w:rFonts w:ascii="Arial" w:cs="Arial" w:eastAsia="Arial" w:hAnsi="Arial"/>
                <w:sz w:val="15"/>
                <w:szCs w:val="15"/>
                <w:color w:val="0E191E"/>
              </w:rPr>
              <w:t>incorporation to remove the supermajority voting provision therein</w:t>
            </w:r>
          </w:p>
        </w:tc>
        <w:tc>
          <w:tcPr>
            <w:tcW w:w="7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31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920" w:type="dxa"/>
            <w:vAlign w:val="bottom"/>
            <w:vMerge w:val="continue"/>
            <w:shd w:val="clear" w:color="auto" w:fill="00739D"/>
          </w:tcPr>
          <w:p>
            <w:pPr>
              <w:spacing w:after="0"/>
              <w:rPr>
                <w:sz w:val="9"/>
                <w:szCs w:val="9"/>
                <w:color w:val="auto"/>
              </w:rPr>
            </w:pPr>
          </w:p>
        </w:tc>
        <w:tc>
          <w:tcPr>
            <w:tcW w:w="46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3140" w:type="dxa"/>
            <w:vAlign w:val="bottom"/>
            <w:vMerge w:val="restart"/>
          </w:tcPr>
          <w:p>
            <w:pPr>
              <w:ind w:left="160"/>
              <w:spacing w:after="0"/>
              <w:rPr>
                <w:sz w:val="20"/>
                <w:szCs w:val="20"/>
                <w:color w:val="auto"/>
              </w:rPr>
            </w:pPr>
            <w:r>
              <w:rPr>
                <w:rFonts w:ascii="Arial" w:cs="Arial" w:eastAsia="Arial" w:hAnsi="Arial"/>
                <w:sz w:val="15"/>
                <w:szCs w:val="15"/>
                <w:color w:val="0E191E"/>
              </w:rPr>
              <w:t>shares</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0E191E"/>
              </w:rPr>
              <w:t>18</w:t>
            </w:r>
          </w:p>
        </w:tc>
        <w:tc>
          <w:tcPr>
            <w:tcW w:w="0" w:type="dxa"/>
            <w:vAlign w:val="bottom"/>
          </w:tcPr>
          <w:p>
            <w:pPr>
              <w:spacing w:after="0"/>
              <w:rPr>
                <w:sz w:val="1"/>
                <w:szCs w:val="1"/>
                <w:color w:val="auto"/>
              </w:rPr>
            </w:pPr>
          </w:p>
        </w:tc>
      </w:tr>
      <w:tr>
        <w:trPr>
          <w:trHeight w:val="95"/>
        </w:trPr>
        <w:tc>
          <w:tcPr>
            <w:tcW w:w="920" w:type="dxa"/>
            <w:vAlign w:val="bottom"/>
            <w:shd w:val="clear" w:color="auto" w:fill="00739D"/>
          </w:tcPr>
          <w:p>
            <w:pPr>
              <w:spacing w:after="0"/>
              <w:rPr>
                <w:sz w:val="8"/>
                <w:szCs w:val="8"/>
                <w:color w:val="auto"/>
              </w:rPr>
            </w:pPr>
          </w:p>
        </w:tc>
        <w:tc>
          <w:tcPr>
            <w:tcW w:w="4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1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920" w:type="dxa"/>
            <w:vAlign w:val="bottom"/>
            <w:tcBorders>
              <w:bottom w:val="single" w:sz="8" w:color="auto"/>
            </w:tcBorders>
            <w:shd w:val="clear" w:color="auto" w:fill="00739D"/>
          </w:tcPr>
          <w:p>
            <w:pPr>
              <w:spacing w:after="0"/>
              <w:rPr>
                <w:sz w:val="7"/>
                <w:szCs w:val="7"/>
                <w:color w:val="auto"/>
              </w:rPr>
            </w:pPr>
          </w:p>
        </w:tc>
        <w:tc>
          <w:tcPr>
            <w:tcW w:w="46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01"/>
        </w:trPr>
        <w:tc>
          <w:tcPr>
            <w:tcW w:w="920" w:type="dxa"/>
            <w:vAlign w:val="bottom"/>
          </w:tcPr>
          <w:p>
            <w:pPr>
              <w:spacing w:after="0"/>
              <w:rPr>
                <w:sz w:val="24"/>
                <w:szCs w:val="24"/>
                <w:color w:val="auto"/>
              </w:rPr>
            </w:pPr>
          </w:p>
        </w:tc>
        <w:tc>
          <w:tcPr>
            <w:tcW w:w="4640" w:type="dxa"/>
            <w:vAlign w:val="bottom"/>
            <w:vMerge w:val="restart"/>
          </w:tcPr>
          <w:p>
            <w:pPr>
              <w:ind w:left="2620"/>
              <w:spacing w:after="0"/>
              <w:rPr>
                <w:sz w:val="20"/>
                <w:szCs w:val="20"/>
                <w:color w:val="auto"/>
              </w:rPr>
            </w:pPr>
            <w:r>
              <w:rPr>
                <w:rFonts w:ascii="Arial" w:cs="Arial" w:eastAsia="Arial" w:hAnsi="Arial"/>
                <w:sz w:val="13"/>
                <w:szCs w:val="13"/>
                <w:color w:val="0E191E"/>
              </w:rPr>
              <w:t>Guidewire Software, Inc.</w:t>
            </w:r>
          </w:p>
        </w:tc>
        <w:tc>
          <w:tcPr>
            <w:tcW w:w="740" w:type="dxa"/>
            <w:vAlign w:val="bottom"/>
          </w:tcPr>
          <w:p>
            <w:pPr>
              <w:jc w:val="right"/>
              <w:ind w:right="564"/>
              <w:spacing w:after="0"/>
              <w:rPr>
                <w:sz w:val="20"/>
                <w:szCs w:val="20"/>
                <w:color w:val="auto"/>
              </w:rPr>
            </w:pPr>
            <w:r>
              <w:rPr>
                <w:rFonts w:ascii="Arial" w:cs="Arial" w:eastAsia="Arial" w:hAnsi="Arial"/>
                <w:sz w:val="15"/>
                <w:szCs w:val="15"/>
                <w:b w:val="1"/>
                <w:bCs w:val="1"/>
                <w:color w:val="00739D"/>
                <w:w w:val="95"/>
              </w:rPr>
              <w:t>1</w:t>
            </w:r>
          </w:p>
        </w:tc>
        <w:tc>
          <w:tcPr>
            <w:tcW w:w="4020" w:type="dxa"/>
            <w:vAlign w:val="bottom"/>
            <w:gridSpan w:val="2"/>
            <w:vMerge w:val="restart"/>
          </w:tcPr>
          <w:p>
            <w:pPr>
              <w:ind w:left="20"/>
              <w:spacing w:after="0"/>
              <w:rPr>
                <w:sz w:val="20"/>
                <w:szCs w:val="20"/>
                <w:color w:val="auto"/>
              </w:rPr>
            </w:pPr>
            <w:r>
              <w:rPr>
                <w:rFonts w:ascii="Arial" w:cs="Arial" w:eastAsia="Arial" w:hAnsi="Arial"/>
                <w:sz w:val="13"/>
                <w:szCs w:val="13"/>
                <w:color w:val="0E191E"/>
              </w:rPr>
              <w:t>2021 Proxy Statement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920" w:type="dxa"/>
            <w:vAlign w:val="bottom"/>
          </w:tcPr>
          <w:p>
            <w:pPr>
              <w:spacing w:after="0"/>
              <w:rPr>
                <w:sz w:val="4"/>
                <w:szCs w:val="4"/>
                <w:color w:val="auto"/>
              </w:rPr>
            </w:pPr>
          </w:p>
        </w:tc>
        <w:tc>
          <w:tcPr>
            <w:tcW w:w="46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402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-889000</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-1292225</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-1694815</wp:posOffset>
            </wp:positionV>
            <wp:extent cx="71323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00739D"/>
        </w:rPr>
        <w:t>Board of Director Nominees</w:t>
      </w:r>
    </w:p>
    <w:p>
      <w:pPr>
        <w:spacing w:after="0" w:line="136" w:lineRule="exact"/>
        <w:rPr>
          <w:sz w:val="20"/>
          <w:szCs w:val="20"/>
          <w:color w:val="auto"/>
        </w:rPr>
      </w:pPr>
    </w:p>
    <w:p>
      <w:pPr>
        <w:ind w:right="340"/>
        <w:spacing w:after="0" w:line="317" w:lineRule="auto"/>
        <w:rPr>
          <w:sz w:val="20"/>
          <w:szCs w:val="20"/>
          <w:color w:val="auto"/>
        </w:rPr>
      </w:pPr>
      <w:r>
        <w:rPr>
          <w:rFonts w:ascii="Arial" w:cs="Arial" w:eastAsia="Arial" w:hAnsi="Arial"/>
          <w:sz w:val="15"/>
          <w:szCs w:val="15"/>
          <w:color w:val="0E191E"/>
        </w:rPr>
        <w:t>Our board of directors believes that directors who provide a significant breadth of experience, diversity, knowledge, and abilities in areas relevant to our business, contribute to a well-balanced and effective board.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Borders>
              <w:bottom w:val="single" w:sz="8" w:color="1EB7DF"/>
            </w:tcBorders>
            <w:shd w:val="clear" w:color="auto" w:fill="1EB7DF"/>
          </w:tcPr>
          <w:p>
            <w:pPr>
              <w:spacing w:after="0"/>
              <w:rPr>
                <w:sz w:val="18"/>
                <w:szCs w:val="18"/>
                <w:color w:val="auto"/>
              </w:rPr>
            </w:pPr>
          </w:p>
        </w:tc>
        <w:tc>
          <w:tcPr>
            <w:tcW w:w="1340" w:type="dxa"/>
            <w:vAlign w:val="bottom"/>
            <w:tcBorders>
              <w:bottom w:val="single" w:sz="8" w:color="1EB7DF"/>
            </w:tcBorders>
            <w:shd w:val="clear" w:color="auto" w:fill="1EB7DF"/>
          </w:tcPr>
          <w:p>
            <w:pPr>
              <w:spacing w:after="0"/>
              <w:rPr>
                <w:sz w:val="18"/>
                <w:szCs w:val="18"/>
                <w:color w:val="auto"/>
              </w:rPr>
            </w:pPr>
          </w:p>
        </w:tc>
        <w:tc>
          <w:tcPr>
            <w:tcW w:w="2360" w:type="dxa"/>
            <w:vAlign w:val="bottom"/>
            <w:tcBorders>
              <w:bottom w:val="single" w:sz="8" w:color="1EB7DF"/>
            </w:tcBorders>
            <w:shd w:val="clear" w:color="auto" w:fill="1EB7DF"/>
          </w:tcPr>
          <w:p>
            <w:pPr>
              <w:ind w:left="160"/>
              <w:spacing w:after="0"/>
              <w:rPr>
                <w:sz w:val="20"/>
                <w:szCs w:val="20"/>
                <w:color w:val="auto"/>
              </w:rPr>
            </w:pPr>
            <w:r>
              <w:rPr>
                <w:rFonts w:ascii="Arial" w:cs="Arial" w:eastAsia="Arial" w:hAnsi="Arial"/>
                <w:sz w:val="13"/>
                <w:szCs w:val="13"/>
                <w:b w:val="1"/>
                <w:bCs w:val="1"/>
                <w:color w:val="0E191E"/>
              </w:rPr>
              <w:t>Committees</w:t>
            </w:r>
          </w:p>
        </w:tc>
        <w:tc>
          <w:tcPr>
            <w:tcW w:w="980" w:type="dxa"/>
            <w:vAlign w:val="bottom"/>
            <w:tcBorders>
              <w:bottom w:val="single" w:sz="8" w:color="1EB7DF"/>
            </w:tcBorders>
            <w:shd w:val="clear" w:color="auto" w:fill="1EB7D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460" w:type="dxa"/>
            <w:vAlign w:val="bottom"/>
            <w:shd w:val="clear" w:color="auto" w:fill="00739D"/>
          </w:tcPr>
          <w:p>
            <w:pPr>
              <w:spacing w:after="0"/>
              <w:rPr>
                <w:sz w:val="17"/>
                <w:szCs w:val="17"/>
                <w:color w:val="auto"/>
              </w:rPr>
            </w:pPr>
          </w:p>
        </w:tc>
        <w:tc>
          <w:tcPr>
            <w:tcW w:w="740" w:type="dxa"/>
            <w:vAlign w:val="bottom"/>
            <w:shd w:val="clear" w:color="auto" w:fill="00739D"/>
          </w:tcPr>
          <w:p>
            <w:pPr>
              <w:spacing w:after="0"/>
              <w:rPr>
                <w:sz w:val="17"/>
                <w:szCs w:val="17"/>
                <w:color w:val="auto"/>
              </w:rPr>
            </w:pPr>
          </w:p>
        </w:tc>
        <w:tc>
          <w:tcPr>
            <w:tcW w:w="1260" w:type="dxa"/>
            <w:vAlign w:val="bottom"/>
            <w:shd w:val="clear" w:color="auto" w:fill="00739D"/>
          </w:tcPr>
          <w:p>
            <w:pPr>
              <w:spacing w:after="0"/>
              <w:rPr>
                <w:sz w:val="17"/>
                <w:szCs w:val="17"/>
                <w:color w:val="auto"/>
              </w:rPr>
            </w:pPr>
          </w:p>
        </w:tc>
        <w:tc>
          <w:tcPr>
            <w:tcW w:w="1200" w:type="dxa"/>
            <w:vAlign w:val="bottom"/>
            <w:shd w:val="clear" w:color="auto" w:fill="00739D"/>
          </w:tcPr>
          <w:p>
            <w:pPr>
              <w:spacing w:after="0"/>
              <w:rPr>
                <w:sz w:val="17"/>
                <w:szCs w:val="17"/>
                <w:color w:val="auto"/>
              </w:rPr>
            </w:pPr>
          </w:p>
        </w:tc>
        <w:tc>
          <w:tcPr>
            <w:tcW w:w="900" w:type="dxa"/>
            <w:vAlign w:val="bottom"/>
            <w:shd w:val="clear" w:color="auto" w:fill="00739D"/>
          </w:tcPr>
          <w:p>
            <w:pPr>
              <w:spacing w:after="0"/>
              <w:rPr>
                <w:sz w:val="17"/>
                <w:szCs w:val="17"/>
                <w:color w:val="auto"/>
              </w:rPr>
            </w:pPr>
          </w:p>
        </w:tc>
        <w:tc>
          <w:tcPr>
            <w:tcW w:w="1340" w:type="dxa"/>
            <w:vAlign w:val="bottom"/>
            <w:shd w:val="clear" w:color="auto" w:fill="00739D"/>
          </w:tcPr>
          <w:p>
            <w:pPr>
              <w:spacing w:after="0"/>
              <w:rPr>
                <w:sz w:val="17"/>
                <w:szCs w:val="17"/>
                <w:color w:val="auto"/>
              </w:rPr>
            </w:pPr>
          </w:p>
        </w:tc>
        <w:tc>
          <w:tcPr>
            <w:tcW w:w="2360" w:type="dxa"/>
            <w:vAlign w:val="bottom"/>
            <w:shd w:val="clear" w:color="auto" w:fill="00739D"/>
          </w:tcPr>
          <w:p>
            <w:pPr>
              <w:jc w:val="center"/>
              <w:ind w:left="53"/>
              <w:spacing w:after="0"/>
              <w:rPr>
                <w:sz w:val="20"/>
                <w:szCs w:val="20"/>
                <w:color w:val="auto"/>
              </w:rPr>
            </w:pPr>
            <w:r>
              <w:rPr>
                <w:rFonts w:ascii="Arial" w:cs="Arial" w:eastAsia="Arial" w:hAnsi="Arial"/>
                <w:sz w:val="13"/>
                <w:szCs w:val="13"/>
                <w:b w:val="1"/>
                <w:bCs w:val="1"/>
                <w:color w:val="FFFFFF"/>
              </w:rPr>
              <w:t>Nominating and</w:t>
            </w:r>
          </w:p>
        </w:tc>
        <w:tc>
          <w:tcPr>
            <w:tcW w:w="980" w:type="dxa"/>
            <w:vAlign w:val="bottom"/>
            <w:shd w:val="clear" w:color="auto" w:fill="00739D"/>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46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w:t>
            </w:r>
          </w:p>
        </w:tc>
        <w:tc>
          <w:tcPr>
            <w:tcW w:w="740" w:type="dxa"/>
            <w:vAlign w:val="bottom"/>
            <w:shd w:val="clear" w:color="auto" w:fill="00739D"/>
          </w:tcPr>
          <w:p>
            <w:pPr>
              <w:jc w:val="center"/>
              <w:ind w:left="13"/>
              <w:spacing w:after="0"/>
              <w:rPr>
                <w:sz w:val="20"/>
                <w:szCs w:val="20"/>
                <w:color w:val="auto"/>
              </w:rPr>
            </w:pPr>
            <w:r>
              <w:rPr>
                <w:rFonts w:ascii="Arial" w:cs="Arial" w:eastAsia="Arial" w:hAnsi="Arial"/>
                <w:sz w:val="13"/>
                <w:szCs w:val="13"/>
                <w:b w:val="1"/>
                <w:bCs w:val="1"/>
                <w:color w:val="FFFFFF"/>
              </w:rPr>
              <w:t>Age</w:t>
            </w:r>
          </w:p>
        </w:tc>
        <w:tc>
          <w:tcPr>
            <w:tcW w:w="12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Director Since</w:t>
            </w:r>
          </w:p>
        </w:tc>
        <w:tc>
          <w:tcPr>
            <w:tcW w:w="1200" w:type="dxa"/>
            <w:vAlign w:val="bottom"/>
            <w:shd w:val="clear" w:color="auto" w:fill="00739D"/>
          </w:tcPr>
          <w:p>
            <w:pPr>
              <w:ind w:left="160"/>
              <w:spacing w:after="0"/>
              <w:rPr>
                <w:sz w:val="20"/>
                <w:szCs w:val="20"/>
                <w:color w:val="auto"/>
              </w:rPr>
            </w:pPr>
            <w:r>
              <w:rPr>
                <w:rFonts w:ascii="Arial" w:cs="Arial" w:eastAsia="Arial" w:hAnsi="Arial"/>
                <w:sz w:val="13"/>
                <w:szCs w:val="13"/>
                <w:b w:val="1"/>
                <w:bCs w:val="1"/>
                <w:color w:val="FFFFFF"/>
              </w:rPr>
              <w:t>Independent</w:t>
            </w:r>
          </w:p>
        </w:tc>
        <w:tc>
          <w:tcPr>
            <w:tcW w:w="9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Audit</w:t>
            </w:r>
          </w:p>
        </w:tc>
        <w:tc>
          <w:tcPr>
            <w:tcW w:w="1340" w:type="dxa"/>
            <w:vAlign w:val="bottom"/>
            <w:shd w:val="clear" w:color="auto" w:fill="00739D"/>
          </w:tcPr>
          <w:p>
            <w:pPr>
              <w:ind w:left="260"/>
              <w:spacing w:after="0"/>
              <w:rPr>
                <w:sz w:val="20"/>
                <w:szCs w:val="20"/>
                <w:color w:val="auto"/>
              </w:rPr>
            </w:pPr>
            <w:r>
              <w:rPr>
                <w:rFonts w:ascii="Arial" w:cs="Arial" w:eastAsia="Arial" w:hAnsi="Arial"/>
                <w:sz w:val="13"/>
                <w:szCs w:val="13"/>
                <w:b w:val="1"/>
                <w:bCs w:val="1"/>
                <w:color w:val="FFFFFF"/>
              </w:rPr>
              <w:t>Compensation</w:t>
            </w:r>
          </w:p>
        </w:tc>
        <w:tc>
          <w:tcPr>
            <w:tcW w:w="2360" w:type="dxa"/>
            <w:vAlign w:val="bottom"/>
            <w:shd w:val="clear" w:color="auto" w:fill="00739D"/>
          </w:tcPr>
          <w:p>
            <w:pPr>
              <w:jc w:val="center"/>
              <w:ind w:left="93"/>
              <w:spacing w:after="0"/>
              <w:rPr>
                <w:sz w:val="20"/>
                <w:szCs w:val="20"/>
                <w:color w:val="auto"/>
              </w:rPr>
            </w:pPr>
            <w:r>
              <w:rPr>
                <w:rFonts w:ascii="Arial" w:cs="Arial" w:eastAsia="Arial" w:hAnsi="Arial"/>
                <w:sz w:val="13"/>
                <w:szCs w:val="13"/>
                <w:b w:val="1"/>
                <w:bCs w:val="1"/>
                <w:color w:val="FFFFFF"/>
              </w:rPr>
              <w:t>Corporate Governance</w:t>
            </w:r>
          </w:p>
        </w:tc>
        <w:tc>
          <w:tcPr>
            <w:tcW w:w="980" w:type="dxa"/>
            <w:vAlign w:val="bottom"/>
            <w:shd w:val="clear" w:color="auto" w:fill="00739D"/>
          </w:tcPr>
          <w:p>
            <w:pPr>
              <w:ind w:left="380"/>
              <w:spacing w:after="0"/>
              <w:rPr>
                <w:sz w:val="20"/>
                <w:szCs w:val="20"/>
                <w:color w:val="auto"/>
              </w:rPr>
            </w:pPr>
            <w:r>
              <w:rPr>
                <w:rFonts w:ascii="Arial" w:cs="Arial" w:eastAsia="Arial" w:hAnsi="Arial"/>
                <w:sz w:val="13"/>
                <w:szCs w:val="13"/>
                <w:b w:val="1"/>
                <w:bCs w:val="1"/>
                <w:color w:val="FFFFFF"/>
              </w:rPr>
              <w:t>Risk</w:t>
            </w:r>
          </w:p>
        </w:tc>
        <w:tc>
          <w:tcPr>
            <w:tcW w:w="0" w:type="dxa"/>
            <w:vAlign w:val="bottom"/>
          </w:tcPr>
          <w:p>
            <w:pPr>
              <w:spacing w:after="0"/>
              <w:rPr>
                <w:sz w:val="1"/>
                <w:szCs w:val="1"/>
                <w:color w:val="auto"/>
              </w:rPr>
            </w:pPr>
          </w:p>
        </w:tc>
      </w:tr>
      <w:tr>
        <w:trPr>
          <w:trHeight w:val="122"/>
        </w:trPr>
        <w:tc>
          <w:tcPr>
            <w:tcW w:w="2460" w:type="dxa"/>
            <w:vAlign w:val="bottom"/>
            <w:shd w:val="clear" w:color="auto" w:fill="00739D"/>
          </w:tcPr>
          <w:p>
            <w:pPr>
              <w:spacing w:after="0"/>
              <w:rPr>
                <w:sz w:val="10"/>
                <w:szCs w:val="10"/>
                <w:color w:val="auto"/>
              </w:rPr>
            </w:pPr>
          </w:p>
        </w:tc>
        <w:tc>
          <w:tcPr>
            <w:tcW w:w="740" w:type="dxa"/>
            <w:vAlign w:val="bottom"/>
            <w:shd w:val="clear" w:color="auto" w:fill="00739D"/>
          </w:tcPr>
          <w:p>
            <w:pPr>
              <w:spacing w:after="0"/>
              <w:rPr>
                <w:sz w:val="10"/>
                <w:szCs w:val="10"/>
                <w:color w:val="auto"/>
              </w:rPr>
            </w:pPr>
          </w:p>
        </w:tc>
        <w:tc>
          <w:tcPr>
            <w:tcW w:w="1260" w:type="dxa"/>
            <w:vAlign w:val="bottom"/>
            <w:shd w:val="clear" w:color="auto" w:fill="00739D"/>
          </w:tcPr>
          <w:p>
            <w:pPr>
              <w:spacing w:after="0"/>
              <w:rPr>
                <w:sz w:val="10"/>
                <w:szCs w:val="10"/>
                <w:color w:val="auto"/>
              </w:rPr>
            </w:pPr>
          </w:p>
        </w:tc>
        <w:tc>
          <w:tcPr>
            <w:tcW w:w="1200" w:type="dxa"/>
            <w:vAlign w:val="bottom"/>
            <w:shd w:val="clear" w:color="auto" w:fill="00739D"/>
          </w:tcPr>
          <w:p>
            <w:pPr>
              <w:spacing w:after="0"/>
              <w:rPr>
                <w:sz w:val="10"/>
                <w:szCs w:val="10"/>
                <w:color w:val="auto"/>
              </w:rPr>
            </w:pPr>
          </w:p>
        </w:tc>
        <w:tc>
          <w:tcPr>
            <w:tcW w:w="900" w:type="dxa"/>
            <w:vAlign w:val="bottom"/>
            <w:shd w:val="clear" w:color="auto" w:fill="00739D"/>
          </w:tcPr>
          <w:p>
            <w:pPr>
              <w:spacing w:after="0"/>
              <w:rPr>
                <w:sz w:val="10"/>
                <w:szCs w:val="10"/>
                <w:color w:val="auto"/>
              </w:rPr>
            </w:pPr>
          </w:p>
        </w:tc>
        <w:tc>
          <w:tcPr>
            <w:tcW w:w="1340" w:type="dxa"/>
            <w:vAlign w:val="bottom"/>
            <w:shd w:val="clear" w:color="auto" w:fill="00739D"/>
          </w:tcPr>
          <w:p>
            <w:pPr>
              <w:spacing w:after="0"/>
              <w:rPr>
                <w:sz w:val="10"/>
                <w:szCs w:val="10"/>
                <w:color w:val="auto"/>
              </w:rPr>
            </w:pPr>
          </w:p>
        </w:tc>
        <w:tc>
          <w:tcPr>
            <w:tcW w:w="2360" w:type="dxa"/>
            <w:vAlign w:val="bottom"/>
            <w:shd w:val="clear" w:color="auto" w:fill="00739D"/>
          </w:tcPr>
          <w:p>
            <w:pPr>
              <w:spacing w:after="0"/>
              <w:rPr>
                <w:sz w:val="10"/>
                <w:szCs w:val="10"/>
                <w:color w:val="auto"/>
              </w:rPr>
            </w:pPr>
          </w:p>
        </w:tc>
        <w:tc>
          <w:tcPr>
            <w:tcW w:w="980" w:type="dxa"/>
            <w:vAlign w:val="bottom"/>
            <w:shd w:val="clear" w:color="auto" w:fill="00739D"/>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460" w:type="dxa"/>
            <w:vAlign w:val="bottom"/>
          </w:tcPr>
          <w:p>
            <w:pPr>
              <w:ind w:left="100"/>
              <w:spacing w:after="0"/>
              <w:rPr>
                <w:sz w:val="20"/>
                <w:szCs w:val="20"/>
                <w:color w:val="auto"/>
              </w:rPr>
            </w:pPr>
            <w:r>
              <w:rPr>
                <w:rFonts w:ascii="Arial" w:cs="Arial" w:eastAsia="Arial" w:hAnsi="Arial"/>
                <w:sz w:val="13"/>
                <w:szCs w:val="13"/>
                <w:b w:val="1"/>
                <w:bCs w:val="1"/>
                <w:color w:val="0E191E"/>
              </w:rPr>
              <w:t>Marcus S. Ryu</w:t>
            </w:r>
          </w:p>
        </w:tc>
        <w:tc>
          <w:tcPr>
            <w:tcW w:w="740" w:type="dxa"/>
            <w:vAlign w:val="bottom"/>
            <w:vMerge w:val="restart"/>
          </w:tcPr>
          <w:p>
            <w:pPr>
              <w:jc w:val="center"/>
              <w:ind w:left="33"/>
              <w:spacing w:after="0"/>
              <w:rPr>
                <w:sz w:val="20"/>
                <w:szCs w:val="20"/>
                <w:color w:val="auto"/>
              </w:rPr>
            </w:pPr>
            <w:r>
              <w:rPr>
                <w:rFonts w:ascii="Arial" w:cs="Arial" w:eastAsia="Arial" w:hAnsi="Arial"/>
                <w:sz w:val="13"/>
                <w:szCs w:val="13"/>
                <w:color w:val="0E191E"/>
              </w:rPr>
              <w:t>48</w:t>
            </w:r>
          </w:p>
        </w:tc>
        <w:tc>
          <w:tcPr>
            <w:tcW w:w="1260" w:type="dxa"/>
            <w:vAlign w:val="bottom"/>
            <w:vMerge w:val="restart"/>
          </w:tcPr>
          <w:p>
            <w:pPr>
              <w:jc w:val="center"/>
              <w:spacing w:after="0"/>
              <w:rPr>
                <w:sz w:val="20"/>
                <w:szCs w:val="20"/>
                <w:color w:val="auto"/>
              </w:rPr>
            </w:pPr>
            <w:r>
              <w:rPr>
                <w:rFonts w:ascii="Arial" w:cs="Arial" w:eastAsia="Arial" w:hAnsi="Arial"/>
                <w:sz w:val="13"/>
                <w:szCs w:val="13"/>
                <w:color w:val="0E191E"/>
              </w:rPr>
              <w:t>2001</w:t>
            </w: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460" w:type="dxa"/>
            <w:vAlign w:val="bottom"/>
            <w:vMerge w:val="restart"/>
          </w:tcPr>
          <w:p>
            <w:pPr>
              <w:ind w:left="100"/>
              <w:spacing w:after="0"/>
              <w:rPr>
                <w:sz w:val="20"/>
                <w:szCs w:val="20"/>
                <w:color w:val="auto"/>
              </w:rPr>
            </w:pPr>
            <w:r>
              <w:rPr>
                <w:rFonts w:ascii="Arial" w:cs="Arial" w:eastAsia="Arial" w:hAnsi="Arial"/>
                <w:sz w:val="13"/>
                <w:szCs w:val="13"/>
                <w:i w:val="1"/>
                <w:iCs w:val="1"/>
                <w:color w:val="0E191E"/>
              </w:rPr>
              <w:t>Chairman and Directo</w:t>
            </w:r>
            <w:r>
              <w:rPr>
                <w:rFonts w:ascii="Arial" w:cs="Arial" w:eastAsia="Arial" w:hAnsi="Arial"/>
                <w:sz w:val="13"/>
                <w:szCs w:val="13"/>
                <w:color w:val="0E191E"/>
              </w:rPr>
              <w:t>r</w:t>
            </w:r>
          </w:p>
        </w:tc>
        <w:tc>
          <w:tcPr>
            <w:tcW w:w="7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4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46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Paul Lavin</w:t>
            </w:r>
          </w:p>
        </w:tc>
        <w:tc>
          <w:tcPr>
            <w:tcW w:w="740" w:type="dxa"/>
            <w:vAlign w:val="bottom"/>
            <w:vMerge w:val="restart"/>
            <w:shd w:val="clear" w:color="auto" w:fill="E7F1F5"/>
          </w:tcPr>
          <w:p>
            <w:pPr>
              <w:jc w:val="center"/>
              <w:ind w:left="33"/>
              <w:spacing w:after="0"/>
              <w:rPr>
                <w:sz w:val="20"/>
                <w:szCs w:val="20"/>
                <w:color w:val="auto"/>
              </w:rPr>
            </w:pPr>
            <w:r>
              <w:rPr>
                <w:rFonts w:ascii="Arial" w:cs="Arial" w:eastAsia="Arial" w:hAnsi="Arial"/>
                <w:sz w:val="13"/>
                <w:szCs w:val="13"/>
                <w:color w:val="0E191E"/>
              </w:rPr>
              <w:t>59</w:t>
            </w:r>
          </w:p>
        </w:tc>
        <w:tc>
          <w:tcPr>
            <w:tcW w:w="126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2014</w:t>
            </w:r>
          </w:p>
        </w:tc>
        <w:tc>
          <w:tcPr>
            <w:tcW w:w="1200" w:type="dxa"/>
            <w:vAlign w:val="bottom"/>
            <w:shd w:val="clear" w:color="auto" w:fill="E7F1F5"/>
          </w:tcPr>
          <w:p>
            <w:pPr>
              <w:spacing w:after="0"/>
              <w:rPr>
                <w:sz w:val="19"/>
                <w:szCs w:val="19"/>
                <w:color w:val="auto"/>
              </w:rPr>
            </w:pPr>
          </w:p>
        </w:tc>
        <w:tc>
          <w:tcPr>
            <w:tcW w:w="900" w:type="dxa"/>
            <w:vAlign w:val="bottom"/>
            <w:vMerge w:val="restart"/>
            <w:shd w:val="clear" w:color="auto" w:fill="E7F1F5"/>
          </w:tcPr>
          <w:p>
            <w:pPr>
              <w:jc w:val="center"/>
              <w:spacing w:after="0"/>
              <w:rPr>
                <w:sz w:val="20"/>
                <w:szCs w:val="20"/>
                <w:color w:val="auto"/>
              </w:rPr>
            </w:pPr>
            <w:r>
              <w:rPr>
                <w:rFonts w:ascii="Arial" w:cs="Arial" w:eastAsia="Arial" w:hAnsi="Arial"/>
                <w:sz w:val="29"/>
                <w:szCs w:val="29"/>
                <w:b w:val="1"/>
                <w:bCs w:val="1"/>
                <w:color w:val="1EB7DF"/>
              </w:rPr>
              <w:t>n</w:t>
            </w:r>
          </w:p>
        </w:tc>
        <w:tc>
          <w:tcPr>
            <w:tcW w:w="1340" w:type="dxa"/>
            <w:vAlign w:val="bottom"/>
            <w:shd w:val="clear" w:color="auto" w:fill="E7F1F5"/>
          </w:tcPr>
          <w:p>
            <w:pPr>
              <w:spacing w:after="0"/>
              <w:rPr>
                <w:sz w:val="19"/>
                <w:szCs w:val="19"/>
                <w:color w:val="auto"/>
              </w:rPr>
            </w:pPr>
          </w:p>
        </w:tc>
        <w:tc>
          <w:tcPr>
            <w:tcW w:w="2360" w:type="dxa"/>
            <w:vAlign w:val="bottom"/>
            <w:vMerge w:val="restart"/>
            <w:shd w:val="clear" w:color="auto" w:fill="E7F1F5"/>
          </w:tcPr>
          <w:p>
            <w:pPr>
              <w:jc w:val="center"/>
              <w:ind w:left="93"/>
              <w:spacing w:after="0"/>
              <w:rPr>
                <w:sz w:val="20"/>
                <w:szCs w:val="20"/>
                <w:color w:val="auto"/>
              </w:rPr>
            </w:pPr>
            <w:r>
              <w:rPr>
                <w:rFonts w:ascii="Arial" w:cs="Arial" w:eastAsia="Arial" w:hAnsi="Arial"/>
                <w:sz w:val="29"/>
                <w:szCs w:val="29"/>
                <w:b w:val="1"/>
                <w:bCs w:val="1"/>
                <w:color w:val="1EB7DF"/>
              </w:rPr>
              <w:t>n</w:t>
            </w:r>
          </w:p>
        </w:tc>
        <w:tc>
          <w:tcPr>
            <w:tcW w:w="980" w:type="dxa"/>
            <w:vAlign w:val="bottom"/>
            <w:shd w:val="clear" w:color="auto" w:fill="E7F1F5"/>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460" w:type="dxa"/>
            <w:vAlign w:val="bottom"/>
            <w:vMerge w:val="restart"/>
            <w:shd w:val="clear" w:color="auto" w:fill="E7F1F5"/>
          </w:tcPr>
          <w:p>
            <w:pPr>
              <w:ind w:left="100"/>
              <w:spacing w:after="0"/>
              <w:rPr>
                <w:sz w:val="20"/>
                <w:szCs w:val="20"/>
                <w:color w:val="auto"/>
              </w:rPr>
            </w:pPr>
            <w:r>
              <w:rPr>
                <w:rFonts w:ascii="Arial" w:cs="Arial" w:eastAsia="Arial" w:hAnsi="Arial"/>
                <w:sz w:val="13"/>
                <w:szCs w:val="13"/>
                <w:i w:val="1"/>
                <w:iCs w:val="1"/>
                <w:color w:val="0E191E"/>
              </w:rPr>
              <w:t>Lead Independent Director</w:t>
            </w:r>
          </w:p>
        </w:tc>
        <w:tc>
          <w:tcPr>
            <w:tcW w:w="740" w:type="dxa"/>
            <w:vAlign w:val="bottom"/>
            <w:vMerge w:val="continue"/>
            <w:shd w:val="clear" w:color="auto" w:fill="E7F1F5"/>
          </w:tcPr>
          <w:p>
            <w:pPr>
              <w:spacing w:after="0"/>
              <w:rPr>
                <w:sz w:val="8"/>
                <w:szCs w:val="8"/>
                <w:color w:val="auto"/>
              </w:rPr>
            </w:pPr>
          </w:p>
        </w:tc>
        <w:tc>
          <w:tcPr>
            <w:tcW w:w="1260" w:type="dxa"/>
            <w:vAlign w:val="bottom"/>
            <w:vMerge w:val="continue"/>
            <w:shd w:val="clear" w:color="auto" w:fill="E7F1F5"/>
          </w:tcPr>
          <w:p>
            <w:pPr>
              <w:spacing w:after="0"/>
              <w:rPr>
                <w:sz w:val="8"/>
                <w:szCs w:val="8"/>
                <w:color w:val="auto"/>
              </w:rPr>
            </w:pPr>
          </w:p>
        </w:tc>
        <w:tc>
          <w:tcPr>
            <w:tcW w:w="1200" w:type="dxa"/>
            <w:vAlign w:val="bottom"/>
            <w:shd w:val="clear" w:color="auto" w:fill="E7F1F5"/>
          </w:tcPr>
          <w:p>
            <w:pPr>
              <w:spacing w:after="0"/>
              <w:rPr>
                <w:sz w:val="8"/>
                <w:szCs w:val="8"/>
                <w:color w:val="auto"/>
              </w:rPr>
            </w:pPr>
          </w:p>
        </w:tc>
        <w:tc>
          <w:tcPr>
            <w:tcW w:w="900" w:type="dxa"/>
            <w:vAlign w:val="bottom"/>
            <w:vMerge w:val="continue"/>
            <w:shd w:val="clear" w:color="auto" w:fill="E7F1F5"/>
          </w:tcPr>
          <w:p>
            <w:pPr>
              <w:spacing w:after="0"/>
              <w:rPr>
                <w:sz w:val="8"/>
                <w:szCs w:val="8"/>
                <w:color w:val="auto"/>
              </w:rPr>
            </w:pPr>
          </w:p>
        </w:tc>
        <w:tc>
          <w:tcPr>
            <w:tcW w:w="1340" w:type="dxa"/>
            <w:vAlign w:val="bottom"/>
            <w:shd w:val="clear" w:color="auto" w:fill="E7F1F5"/>
          </w:tcPr>
          <w:p>
            <w:pPr>
              <w:spacing w:after="0"/>
              <w:rPr>
                <w:sz w:val="8"/>
                <w:szCs w:val="8"/>
                <w:color w:val="auto"/>
              </w:rPr>
            </w:pPr>
          </w:p>
        </w:tc>
        <w:tc>
          <w:tcPr>
            <w:tcW w:w="2360" w:type="dxa"/>
            <w:vAlign w:val="bottom"/>
            <w:vMerge w:val="continue"/>
            <w:shd w:val="clear" w:color="auto" w:fill="E7F1F5"/>
          </w:tcPr>
          <w:p>
            <w:pPr>
              <w:spacing w:after="0"/>
              <w:rPr>
                <w:sz w:val="8"/>
                <w:szCs w:val="8"/>
                <w:color w:val="auto"/>
              </w:rPr>
            </w:pPr>
          </w:p>
        </w:tc>
        <w:tc>
          <w:tcPr>
            <w:tcW w:w="980" w:type="dxa"/>
            <w:vAlign w:val="bottom"/>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60" w:type="dxa"/>
            <w:vAlign w:val="bottom"/>
            <w:vMerge w:val="continue"/>
            <w:shd w:val="clear" w:color="auto" w:fill="E7F1F5"/>
          </w:tcPr>
          <w:p>
            <w:pPr>
              <w:spacing w:after="0"/>
              <w:rPr>
                <w:sz w:val="8"/>
                <w:szCs w:val="8"/>
                <w:color w:val="auto"/>
              </w:rPr>
            </w:pPr>
          </w:p>
        </w:tc>
        <w:tc>
          <w:tcPr>
            <w:tcW w:w="740" w:type="dxa"/>
            <w:vAlign w:val="bottom"/>
            <w:shd w:val="clear" w:color="auto" w:fill="E7F1F5"/>
          </w:tcPr>
          <w:p>
            <w:pPr>
              <w:spacing w:after="0"/>
              <w:rPr>
                <w:sz w:val="8"/>
                <w:szCs w:val="8"/>
                <w:color w:val="auto"/>
              </w:rPr>
            </w:pPr>
          </w:p>
        </w:tc>
        <w:tc>
          <w:tcPr>
            <w:tcW w:w="1260" w:type="dxa"/>
            <w:vAlign w:val="bottom"/>
            <w:shd w:val="clear" w:color="auto" w:fill="E7F1F5"/>
          </w:tcPr>
          <w:p>
            <w:pPr>
              <w:spacing w:after="0"/>
              <w:rPr>
                <w:sz w:val="8"/>
                <w:szCs w:val="8"/>
                <w:color w:val="auto"/>
              </w:rPr>
            </w:pPr>
          </w:p>
        </w:tc>
        <w:tc>
          <w:tcPr>
            <w:tcW w:w="1200" w:type="dxa"/>
            <w:vAlign w:val="bottom"/>
            <w:shd w:val="clear" w:color="auto" w:fill="E7F1F5"/>
          </w:tcPr>
          <w:p>
            <w:pPr>
              <w:spacing w:after="0"/>
              <w:rPr>
                <w:sz w:val="8"/>
                <w:szCs w:val="8"/>
                <w:color w:val="auto"/>
              </w:rPr>
            </w:pPr>
          </w:p>
        </w:tc>
        <w:tc>
          <w:tcPr>
            <w:tcW w:w="900" w:type="dxa"/>
            <w:vAlign w:val="bottom"/>
            <w:vMerge w:val="continue"/>
            <w:shd w:val="clear" w:color="auto" w:fill="E7F1F5"/>
          </w:tcPr>
          <w:p>
            <w:pPr>
              <w:spacing w:after="0"/>
              <w:rPr>
                <w:sz w:val="8"/>
                <w:szCs w:val="8"/>
                <w:color w:val="auto"/>
              </w:rPr>
            </w:pPr>
          </w:p>
        </w:tc>
        <w:tc>
          <w:tcPr>
            <w:tcW w:w="1340" w:type="dxa"/>
            <w:vAlign w:val="bottom"/>
            <w:shd w:val="clear" w:color="auto" w:fill="E7F1F5"/>
          </w:tcPr>
          <w:p>
            <w:pPr>
              <w:spacing w:after="0"/>
              <w:rPr>
                <w:sz w:val="8"/>
                <w:szCs w:val="8"/>
                <w:color w:val="auto"/>
              </w:rPr>
            </w:pPr>
          </w:p>
        </w:tc>
        <w:tc>
          <w:tcPr>
            <w:tcW w:w="2360" w:type="dxa"/>
            <w:vAlign w:val="bottom"/>
            <w:vMerge w:val="continue"/>
            <w:shd w:val="clear" w:color="auto" w:fill="E7F1F5"/>
          </w:tcPr>
          <w:p>
            <w:pPr>
              <w:spacing w:after="0"/>
              <w:rPr>
                <w:sz w:val="8"/>
                <w:szCs w:val="8"/>
                <w:color w:val="auto"/>
              </w:rPr>
            </w:pPr>
          </w:p>
        </w:tc>
        <w:tc>
          <w:tcPr>
            <w:tcW w:w="980" w:type="dxa"/>
            <w:vAlign w:val="bottom"/>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460" w:type="dxa"/>
            <w:vAlign w:val="bottom"/>
            <w:shd w:val="clear" w:color="auto" w:fill="E7F1F5"/>
          </w:tcPr>
          <w:p>
            <w:pPr>
              <w:spacing w:after="0"/>
              <w:rPr>
                <w:sz w:val="6"/>
                <w:szCs w:val="6"/>
                <w:color w:val="auto"/>
              </w:rPr>
            </w:pPr>
          </w:p>
        </w:tc>
        <w:tc>
          <w:tcPr>
            <w:tcW w:w="740" w:type="dxa"/>
            <w:vAlign w:val="bottom"/>
            <w:shd w:val="clear" w:color="auto" w:fill="E7F1F5"/>
          </w:tcPr>
          <w:p>
            <w:pPr>
              <w:spacing w:after="0"/>
              <w:rPr>
                <w:sz w:val="6"/>
                <w:szCs w:val="6"/>
                <w:color w:val="auto"/>
              </w:rPr>
            </w:pPr>
          </w:p>
        </w:tc>
        <w:tc>
          <w:tcPr>
            <w:tcW w:w="1260" w:type="dxa"/>
            <w:vAlign w:val="bottom"/>
            <w:shd w:val="clear" w:color="auto" w:fill="E7F1F5"/>
          </w:tcPr>
          <w:p>
            <w:pPr>
              <w:spacing w:after="0"/>
              <w:rPr>
                <w:sz w:val="6"/>
                <w:szCs w:val="6"/>
                <w:color w:val="auto"/>
              </w:rPr>
            </w:pPr>
          </w:p>
        </w:tc>
        <w:tc>
          <w:tcPr>
            <w:tcW w:w="1200" w:type="dxa"/>
            <w:vAlign w:val="bottom"/>
            <w:shd w:val="clear" w:color="auto" w:fill="E7F1F5"/>
          </w:tcPr>
          <w:p>
            <w:pPr>
              <w:spacing w:after="0"/>
              <w:rPr>
                <w:sz w:val="6"/>
                <w:szCs w:val="6"/>
                <w:color w:val="auto"/>
              </w:rPr>
            </w:pPr>
          </w:p>
        </w:tc>
        <w:tc>
          <w:tcPr>
            <w:tcW w:w="900" w:type="dxa"/>
            <w:vAlign w:val="bottom"/>
            <w:shd w:val="clear" w:color="auto" w:fill="E7F1F5"/>
          </w:tcPr>
          <w:p>
            <w:pPr>
              <w:spacing w:after="0"/>
              <w:rPr>
                <w:sz w:val="6"/>
                <w:szCs w:val="6"/>
                <w:color w:val="auto"/>
              </w:rPr>
            </w:pPr>
          </w:p>
        </w:tc>
        <w:tc>
          <w:tcPr>
            <w:tcW w:w="1340" w:type="dxa"/>
            <w:vAlign w:val="bottom"/>
            <w:shd w:val="clear" w:color="auto" w:fill="E7F1F5"/>
          </w:tcPr>
          <w:p>
            <w:pPr>
              <w:spacing w:after="0"/>
              <w:rPr>
                <w:sz w:val="6"/>
                <w:szCs w:val="6"/>
                <w:color w:val="auto"/>
              </w:rPr>
            </w:pPr>
          </w:p>
        </w:tc>
        <w:tc>
          <w:tcPr>
            <w:tcW w:w="2360" w:type="dxa"/>
            <w:vAlign w:val="bottom"/>
            <w:shd w:val="clear" w:color="auto" w:fill="E7F1F5"/>
          </w:tcPr>
          <w:p>
            <w:pPr>
              <w:spacing w:after="0"/>
              <w:rPr>
                <w:sz w:val="6"/>
                <w:szCs w:val="6"/>
                <w:color w:val="auto"/>
              </w:rPr>
            </w:pPr>
          </w:p>
        </w:tc>
        <w:tc>
          <w:tcPr>
            <w:tcW w:w="980" w:type="dxa"/>
            <w:vAlign w:val="bottom"/>
            <w:shd w:val="clear" w:color="auto" w:fill="E7F1F5"/>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460" w:type="dxa"/>
            <w:vAlign w:val="bottom"/>
          </w:tcPr>
          <w:p>
            <w:pPr>
              <w:ind w:left="100"/>
              <w:spacing w:after="0"/>
              <w:rPr>
                <w:sz w:val="20"/>
                <w:szCs w:val="20"/>
                <w:color w:val="auto"/>
              </w:rPr>
            </w:pPr>
            <w:r>
              <w:rPr>
                <w:rFonts w:ascii="Arial" w:cs="Arial" w:eastAsia="Arial" w:hAnsi="Arial"/>
                <w:sz w:val="13"/>
                <w:szCs w:val="13"/>
                <w:b w:val="1"/>
                <w:bCs w:val="1"/>
                <w:color w:val="0E191E"/>
              </w:rPr>
              <w:t>Mike Rosenbaum</w:t>
            </w:r>
          </w:p>
        </w:tc>
        <w:tc>
          <w:tcPr>
            <w:tcW w:w="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100"/>
              <w:spacing w:after="0"/>
              <w:rPr>
                <w:sz w:val="20"/>
                <w:szCs w:val="20"/>
                <w:color w:val="auto"/>
              </w:rPr>
            </w:pPr>
            <w:r>
              <w:rPr>
                <w:rFonts w:ascii="Arial" w:cs="Arial" w:eastAsia="Arial" w:hAnsi="Arial"/>
                <w:sz w:val="13"/>
                <w:szCs w:val="13"/>
                <w:i w:val="1"/>
                <w:iCs w:val="1"/>
                <w:color w:val="0E191E"/>
              </w:rPr>
              <w:t>Chief Executive Officer</w:t>
            </w:r>
          </w:p>
        </w:tc>
        <w:tc>
          <w:tcPr>
            <w:tcW w:w="740" w:type="dxa"/>
            <w:vAlign w:val="bottom"/>
          </w:tcPr>
          <w:p>
            <w:pPr>
              <w:jc w:val="center"/>
              <w:ind w:left="33"/>
              <w:spacing w:after="0"/>
              <w:rPr>
                <w:sz w:val="20"/>
                <w:szCs w:val="20"/>
                <w:color w:val="auto"/>
              </w:rPr>
            </w:pPr>
            <w:r>
              <w:rPr>
                <w:rFonts w:ascii="Arial" w:cs="Arial" w:eastAsia="Arial" w:hAnsi="Arial"/>
                <w:sz w:val="13"/>
                <w:szCs w:val="13"/>
                <w:color w:val="0E191E"/>
              </w:rPr>
              <w:t>50</w:t>
            </w:r>
          </w:p>
        </w:tc>
        <w:tc>
          <w:tcPr>
            <w:tcW w:w="1260" w:type="dxa"/>
            <w:vAlign w:val="bottom"/>
          </w:tcPr>
          <w:p>
            <w:pPr>
              <w:jc w:val="center"/>
              <w:spacing w:after="0"/>
              <w:rPr>
                <w:sz w:val="20"/>
                <w:szCs w:val="20"/>
                <w:color w:val="auto"/>
              </w:rPr>
            </w:pPr>
            <w:r>
              <w:rPr>
                <w:rFonts w:ascii="Arial" w:cs="Arial" w:eastAsia="Arial" w:hAnsi="Arial"/>
                <w:sz w:val="13"/>
                <w:szCs w:val="13"/>
                <w:color w:val="0E191E"/>
              </w:rPr>
              <w:t>2019</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100"/>
              <w:spacing w:after="0"/>
              <w:rPr>
                <w:sz w:val="20"/>
                <w:szCs w:val="20"/>
                <w:color w:val="auto"/>
              </w:rPr>
            </w:pPr>
            <w:r>
              <w:rPr>
                <w:rFonts w:ascii="Arial" w:cs="Arial" w:eastAsia="Arial" w:hAnsi="Arial"/>
                <w:sz w:val="13"/>
                <w:szCs w:val="13"/>
                <w:i w:val="1"/>
                <w:iCs w:val="1"/>
                <w:color w:val="0E191E"/>
              </w:rPr>
              <w:t>and Director</w:t>
            </w:r>
          </w:p>
        </w:tc>
        <w:tc>
          <w:tcPr>
            <w:tcW w:w="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-1207770</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-641985</wp:posOffset>
            </wp:positionV>
            <wp:extent cx="325755"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75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740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7404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78"/>
        </w:trPr>
        <w:tc>
          <w:tcPr>
            <w:tcW w:w="2120" w:type="dxa"/>
            <w:vAlign w:val="bottom"/>
          </w:tcPr>
          <w:p>
            <w:pPr>
              <w:spacing w:after="0"/>
              <w:rPr>
                <w:sz w:val="20"/>
                <w:szCs w:val="20"/>
                <w:color w:val="auto"/>
              </w:rPr>
            </w:pPr>
            <w:r>
              <w:rPr>
                <w:rFonts w:ascii="Arial" w:cs="Arial" w:eastAsia="Arial" w:hAnsi="Arial"/>
                <w:sz w:val="13"/>
                <w:szCs w:val="13"/>
                <w:b w:val="1"/>
                <w:bCs w:val="1"/>
                <w:color w:val="0E191E"/>
              </w:rPr>
              <w:t>Andrew Brown</w:t>
            </w:r>
          </w:p>
        </w:tc>
        <w:tc>
          <w:tcPr>
            <w:tcW w:w="1100" w:type="dxa"/>
            <w:vAlign w:val="bottom"/>
          </w:tcPr>
          <w:p>
            <w:pPr>
              <w:jc w:val="right"/>
              <w:ind w:right="293"/>
              <w:spacing w:after="0"/>
              <w:rPr>
                <w:sz w:val="20"/>
                <w:szCs w:val="20"/>
                <w:color w:val="auto"/>
              </w:rPr>
            </w:pPr>
            <w:r>
              <w:rPr>
                <w:rFonts w:ascii="Arial" w:cs="Arial" w:eastAsia="Arial" w:hAnsi="Arial"/>
                <w:sz w:val="13"/>
                <w:szCs w:val="13"/>
                <w:color w:val="0E191E"/>
              </w:rPr>
              <w:t>58</w:t>
            </w:r>
          </w:p>
        </w:tc>
        <w:tc>
          <w:tcPr>
            <w:tcW w:w="660" w:type="dxa"/>
            <w:vAlign w:val="bottom"/>
          </w:tcPr>
          <w:p>
            <w:pPr>
              <w:jc w:val="right"/>
              <w:spacing w:after="0"/>
              <w:rPr>
                <w:sz w:val="20"/>
                <w:szCs w:val="20"/>
                <w:color w:val="auto"/>
              </w:rPr>
            </w:pPr>
            <w:r>
              <w:rPr>
                <w:rFonts w:ascii="Arial" w:cs="Arial" w:eastAsia="Arial" w:hAnsi="Arial"/>
                <w:sz w:val="13"/>
                <w:szCs w:val="13"/>
                <w:color w:val="0E191E"/>
              </w:rPr>
              <w:t>2013</w:t>
            </w:r>
          </w:p>
        </w:tc>
        <w:tc>
          <w:tcPr>
            <w:tcW w:w="0" w:type="dxa"/>
            <w:vAlign w:val="bottom"/>
          </w:tcPr>
          <w:p>
            <w:pPr>
              <w:spacing w:after="0"/>
              <w:rPr>
                <w:sz w:val="1"/>
                <w:szCs w:val="1"/>
                <w:color w:val="auto"/>
              </w:rPr>
            </w:pPr>
          </w:p>
        </w:tc>
      </w:tr>
      <w:tr>
        <w:trPr>
          <w:trHeight w:val="500"/>
        </w:trPr>
        <w:tc>
          <w:tcPr>
            <w:tcW w:w="2120" w:type="dxa"/>
            <w:vAlign w:val="bottom"/>
          </w:tcPr>
          <w:p>
            <w:pPr>
              <w:spacing w:after="0"/>
              <w:rPr>
                <w:sz w:val="20"/>
                <w:szCs w:val="20"/>
                <w:color w:val="auto"/>
              </w:rPr>
            </w:pPr>
            <w:r>
              <w:rPr>
                <w:rFonts w:ascii="Arial" w:cs="Arial" w:eastAsia="Arial" w:hAnsi="Arial"/>
                <w:sz w:val="13"/>
                <w:szCs w:val="13"/>
                <w:b w:val="1"/>
                <w:bCs w:val="1"/>
                <w:color w:val="0E191E"/>
              </w:rPr>
              <w:t>Margaret Dillon</w:t>
            </w:r>
          </w:p>
        </w:tc>
        <w:tc>
          <w:tcPr>
            <w:tcW w:w="1100" w:type="dxa"/>
            <w:vAlign w:val="bottom"/>
          </w:tcPr>
          <w:p>
            <w:pPr>
              <w:jc w:val="right"/>
              <w:ind w:right="293"/>
              <w:spacing w:after="0"/>
              <w:rPr>
                <w:sz w:val="20"/>
                <w:szCs w:val="20"/>
                <w:color w:val="auto"/>
              </w:rPr>
            </w:pPr>
            <w:r>
              <w:rPr>
                <w:rFonts w:ascii="Arial" w:cs="Arial" w:eastAsia="Arial" w:hAnsi="Arial"/>
                <w:sz w:val="13"/>
                <w:szCs w:val="13"/>
                <w:color w:val="0E191E"/>
              </w:rPr>
              <w:t>62</w:t>
            </w:r>
          </w:p>
        </w:tc>
        <w:tc>
          <w:tcPr>
            <w:tcW w:w="660" w:type="dxa"/>
            <w:vAlign w:val="bottom"/>
          </w:tcPr>
          <w:p>
            <w:pPr>
              <w:jc w:val="right"/>
              <w:spacing w:after="0"/>
              <w:rPr>
                <w:sz w:val="20"/>
                <w:szCs w:val="20"/>
                <w:color w:val="auto"/>
              </w:rPr>
            </w:pPr>
            <w:r>
              <w:rPr>
                <w:rFonts w:ascii="Arial" w:cs="Arial" w:eastAsia="Arial" w:hAnsi="Arial"/>
                <w:sz w:val="13"/>
                <w:szCs w:val="13"/>
                <w:color w:val="0E191E"/>
              </w:rPr>
              <w:t>2019</w:t>
            </w:r>
          </w:p>
        </w:tc>
        <w:tc>
          <w:tcPr>
            <w:tcW w:w="0" w:type="dxa"/>
            <w:vAlign w:val="bottom"/>
          </w:tcPr>
          <w:p>
            <w:pPr>
              <w:spacing w:after="0"/>
              <w:rPr>
                <w:sz w:val="1"/>
                <w:szCs w:val="1"/>
                <w:color w:val="auto"/>
              </w:rPr>
            </w:pPr>
          </w:p>
        </w:tc>
      </w:tr>
      <w:tr>
        <w:trPr>
          <w:trHeight w:val="404"/>
        </w:trPr>
        <w:tc>
          <w:tcPr>
            <w:tcW w:w="2120" w:type="dxa"/>
            <w:vAlign w:val="bottom"/>
          </w:tcPr>
          <w:p>
            <w:pPr>
              <w:spacing w:after="0"/>
              <w:rPr>
                <w:sz w:val="20"/>
                <w:szCs w:val="20"/>
                <w:color w:val="auto"/>
              </w:rPr>
            </w:pPr>
            <w:r>
              <w:rPr>
                <w:rFonts w:ascii="Arial" w:cs="Arial" w:eastAsia="Arial" w:hAnsi="Arial"/>
                <w:sz w:val="13"/>
                <w:szCs w:val="13"/>
                <w:b w:val="1"/>
                <w:bCs w:val="1"/>
                <w:color w:val="0E191E"/>
              </w:rPr>
              <w:t>Michael Keller</w:t>
            </w:r>
          </w:p>
        </w:tc>
        <w:tc>
          <w:tcPr>
            <w:tcW w:w="1100" w:type="dxa"/>
            <w:vAlign w:val="bottom"/>
            <w:vMerge w:val="restart"/>
          </w:tcPr>
          <w:p>
            <w:pPr>
              <w:jc w:val="right"/>
              <w:ind w:right="293"/>
              <w:spacing w:after="0"/>
              <w:rPr>
                <w:sz w:val="20"/>
                <w:szCs w:val="20"/>
                <w:color w:val="auto"/>
              </w:rPr>
            </w:pPr>
            <w:r>
              <w:rPr>
                <w:rFonts w:ascii="Arial" w:cs="Arial" w:eastAsia="Arial" w:hAnsi="Arial"/>
                <w:sz w:val="13"/>
                <w:szCs w:val="13"/>
                <w:color w:val="0E191E"/>
              </w:rPr>
              <w:t>61</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0E191E"/>
              </w:rPr>
              <w:t>2019</w:t>
            </w:r>
          </w:p>
        </w:tc>
        <w:tc>
          <w:tcPr>
            <w:tcW w:w="0" w:type="dxa"/>
            <w:vAlign w:val="bottom"/>
          </w:tcPr>
          <w:p>
            <w:pPr>
              <w:spacing w:after="0"/>
              <w:rPr>
                <w:sz w:val="1"/>
                <w:szCs w:val="1"/>
                <w:color w:val="auto"/>
              </w:rPr>
            </w:pPr>
          </w:p>
        </w:tc>
      </w:tr>
      <w:tr>
        <w:trPr>
          <w:trHeight w:val="95"/>
        </w:trPr>
        <w:tc>
          <w:tcPr>
            <w:tcW w:w="2120" w:type="dxa"/>
            <w:vAlign w:val="bottom"/>
            <w:vMerge w:val="restart"/>
          </w:tcPr>
          <w:p>
            <w:pPr>
              <w:spacing w:after="0"/>
              <w:rPr>
                <w:sz w:val="20"/>
                <w:szCs w:val="20"/>
                <w:color w:val="auto"/>
              </w:rPr>
            </w:pPr>
            <w:r>
              <w:rPr>
                <w:rFonts w:ascii="Arial" w:cs="Arial" w:eastAsia="Arial" w:hAnsi="Arial"/>
                <w:sz w:val="13"/>
                <w:szCs w:val="13"/>
                <w:i w:val="1"/>
                <w:iCs w:val="1"/>
                <w:color w:val="0E191E"/>
              </w:rPr>
              <w:t>Lead Customer Advocate</w:t>
            </w:r>
          </w:p>
        </w:tc>
        <w:tc>
          <w:tcPr>
            <w:tcW w:w="11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2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9"/>
        </w:trPr>
        <w:tc>
          <w:tcPr>
            <w:tcW w:w="2120" w:type="dxa"/>
            <w:vAlign w:val="bottom"/>
          </w:tcPr>
          <w:p>
            <w:pPr>
              <w:spacing w:after="0"/>
              <w:rPr>
                <w:sz w:val="20"/>
                <w:szCs w:val="20"/>
                <w:color w:val="auto"/>
              </w:rPr>
            </w:pPr>
            <w:r>
              <w:rPr>
                <w:rFonts w:ascii="Arial" w:cs="Arial" w:eastAsia="Arial" w:hAnsi="Arial"/>
                <w:sz w:val="13"/>
                <w:szCs w:val="13"/>
                <w:b w:val="1"/>
                <w:bCs w:val="1"/>
                <w:color w:val="0E191E"/>
              </w:rPr>
              <w:t>Catherine P. Lego</w:t>
            </w:r>
          </w:p>
        </w:tc>
        <w:tc>
          <w:tcPr>
            <w:tcW w:w="1100" w:type="dxa"/>
            <w:vAlign w:val="bottom"/>
          </w:tcPr>
          <w:p>
            <w:pPr>
              <w:jc w:val="right"/>
              <w:ind w:right="293"/>
              <w:spacing w:after="0"/>
              <w:rPr>
                <w:sz w:val="20"/>
                <w:szCs w:val="20"/>
                <w:color w:val="auto"/>
              </w:rPr>
            </w:pPr>
            <w:r>
              <w:rPr>
                <w:rFonts w:ascii="Arial" w:cs="Arial" w:eastAsia="Arial" w:hAnsi="Arial"/>
                <w:sz w:val="13"/>
                <w:szCs w:val="13"/>
                <w:color w:val="0E191E"/>
              </w:rPr>
              <w:t>65</w:t>
            </w:r>
          </w:p>
        </w:tc>
        <w:tc>
          <w:tcPr>
            <w:tcW w:w="660" w:type="dxa"/>
            <w:vAlign w:val="bottom"/>
          </w:tcPr>
          <w:p>
            <w:pPr>
              <w:jc w:val="right"/>
              <w:spacing w:after="0"/>
              <w:rPr>
                <w:sz w:val="20"/>
                <w:szCs w:val="20"/>
                <w:color w:val="auto"/>
              </w:rPr>
            </w:pPr>
            <w:r>
              <w:rPr>
                <w:rFonts w:ascii="Arial" w:cs="Arial" w:eastAsia="Arial" w:hAnsi="Arial"/>
                <w:sz w:val="13"/>
                <w:szCs w:val="13"/>
                <w:color w:val="0E191E"/>
              </w:rPr>
              <w:t>2019</w:t>
            </w:r>
          </w:p>
        </w:tc>
        <w:tc>
          <w:tcPr>
            <w:tcW w:w="0" w:type="dxa"/>
            <w:vAlign w:val="bottom"/>
          </w:tcPr>
          <w:p>
            <w:pPr>
              <w:spacing w:after="0"/>
              <w:rPr>
                <w:sz w:val="1"/>
                <w:szCs w:val="1"/>
                <w:color w:val="auto"/>
              </w:rPr>
            </w:pPr>
          </w:p>
        </w:tc>
      </w:tr>
      <w:tr>
        <w:trPr>
          <w:trHeight w:val="499"/>
        </w:trPr>
        <w:tc>
          <w:tcPr>
            <w:tcW w:w="2120" w:type="dxa"/>
            <w:vAlign w:val="bottom"/>
          </w:tcPr>
          <w:p>
            <w:pPr>
              <w:spacing w:after="0"/>
              <w:rPr>
                <w:sz w:val="20"/>
                <w:szCs w:val="20"/>
                <w:color w:val="auto"/>
              </w:rPr>
            </w:pPr>
            <w:r>
              <w:rPr>
                <w:rFonts w:ascii="Arial" w:cs="Arial" w:eastAsia="Arial" w:hAnsi="Arial"/>
                <w:sz w:val="13"/>
                <w:szCs w:val="13"/>
                <w:b w:val="1"/>
                <w:bCs w:val="1"/>
                <w:color w:val="0E191E"/>
              </w:rPr>
              <w:t>Rajani Ramanathan</w:t>
            </w:r>
          </w:p>
        </w:tc>
        <w:tc>
          <w:tcPr>
            <w:tcW w:w="1100" w:type="dxa"/>
            <w:vAlign w:val="bottom"/>
          </w:tcPr>
          <w:p>
            <w:pPr>
              <w:jc w:val="right"/>
              <w:ind w:right="293"/>
              <w:spacing w:after="0"/>
              <w:rPr>
                <w:sz w:val="20"/>
                <w:szCs w:val="20"/>
                <w:color w:val="auto"/>
              </w:rPr>
            </w:pPr>
            <w:r>
              <w:rPr>
                <w:rFonts w:ascii="Arial" w:cs="Arial" w:eastAsia="Arial" w:hAnsi="Arial"/>
                <w:sz w:val="13"/>
                <w:szCs w:val="13"/>
                <w:color w:val="0E191E"/>
              </w:rPr>
              <w:t>54</w:t>
            </w:r>
          </w:p>
        </w:tc>
        <w:tc>
          <w:tcPr>
            <w:tcW w:w="660" w:type="dxa"/>
            <w:vAlign w:val="bottom"/>
          </w:tcPr>
          <w:p>
            <w:pPr>
              <w:jc w:val="right"/>
              <w:spacing w:after="0"/>
              <w:rPr>
                <w:sz w:val="20"/>
                <w:szCs w:val="20"/>
                <w:color w:val="auto"/>
              </w:rPr>
            </w:pPr>
            <w:r>
              <w:rPr>
                <w:rFonts w:ascii="Arial" w:cs="Arial" w:eastAsia="Arial" w:hAnsi="Arial"/>
                <w:sz w:val="13"/>
                <w:szCs w:val="13"/>
                <w:color w:val="0E191E"/>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248920</wp:posOffset>
            </wp:positionV>
            <wp:extent cx="18859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266065</wp:posOffset>
            </wp:positionV>
            <wp:extent cx="18034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34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right"/>
        <w:ind w:right="380"/>
        <w:spacing w:after="0"/>
        <w:rPr>
          <w:sz w:val="20"/>
          <w:szCs w:val="20"/>
          <w:color w:val="auto"/>
        </w:rPr>
      </w:pPr>
      <w:r>
        <w:rPr>
          <w:rFonts w:ascii="Arial" w:cs="Arial" w:eastAsia="Arial" w:hAnsi="Arial"/>
          <w:sz w:val="29"/>
          <w:szCs w:val="29"/>
          <w:b w:val="1"/>
          <w:bCs w:val="1"/>
          <w:color w:val="1EB7DF"/>
        </w:rPr>
        <w:t>n</w:t>
      </w:r>
    </w:p>
    <w:p>
      <w:pPr>
        <w:spacing w:after="0" w:line="166" w:lineRule="exact"/>
        <w:rPr>
          <w:sz w:val="20"/>
          <w:szCs w:val="20"/>
          <w:color w:val="auto"/>
        </w:rPr>
      </w:pPr>
    </w:p>
    <w:p>
      <w:pPr>
        <w:spacing w:after="0"/>
        <w:rPr>
          <w:sz w:val="20"/>
          <w:szCs w:val="20"/>
          <w:color w:val="auto"/>
        </w:rPr>
      </w:pPr>
      <w:r>
        <w:rPr>
          <w:rFonts w:ascii="Arial" w:cs="Arial" w:eastAsia="Arial" w:hAnsi="Arial"/>
          <w:sz w:val="29"/>
          <w:szCs w:val="29"/>
          <w:b w:val="1"/>
          <w:bCs w:val="1"/>
          <w:color w:val="1EB7DF"/>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79375</wp:posOffset>
            </wp:positionV>
            <wp:extent cx="7132320" cy="574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74675"/>
                    </a:xfrm>
                    <a:prstGeom prst="rect">
                      <a:avLst/>
                    </a:prstGeom>
                    <a:noFill/>
                  </pic:spPr>
                </pic:pic>
              </a:graphicData>
            </a:graphic>
          </wp:anchor>
        </w:drawing>
      </w:r>
    </w:p>
    <w:p>
      <w:pPr>
        <w:spacing w:after="0" w:line="146" w:lineRule="exact"/>
        <w:rPr>
          <w:sz w:val="20"/>
          <w:szCs w:val="20"/>
          <w:color w:val="auto"/>
        </w:rPr>
      </w:pPr>
    </w:p>
    <w:p>
      <w:pPr>
        <w:ind w:left="1180"/>
        <w:spacing w:after="0"/>
        <w:rPr>
          <w:sz w:val="20"/>
          <w:szCs w:val="20"/>
          <w:color w:val="auto"/>
        </w:rPr>
      </w:pPr>
      <w:r>
        <w:rPr>
          <w:rFonts w:ascii="Arial" w:cs="Arial" w:eastAsia="Arial" w:hAnsi="Arial"/>
          <w:sz w:val="29"/>
          <w:szCs w:val="29"/>
          <w:b w:val="1"/>
          <w:bCs w:val="1"/>
          <w:color w:val="1EB7DF"/>
        </w:rPr>
        <w:t>n</w:t>
      </w:r>
    </w:p>
    <w:p>
      <w:pPr>
        <w:spacing w:after="0" w:line="166" w:lineRule="exact"/>
        <w:rPr>
          <w:sz w:val="20"/>
          <w:szCs w:val="20"/>
          <w:color w:val="auto"/>
        </w:rPr>
      </w:pPr>
    </w:p>
    <w:p>
      <w:pPr>
        <w:ind w:left="3060"/>
        <w:spacing w:after="0"/>
        <w:rPr>
          <w:sz w:val="20"/>
          <w:szCs w:val="20"/>
          <w:color w:val="auto"/>
        </w:rPr>
      </w:pPr>
      <w:r>
        <w:rPr>
          <w:rFonts w:ascii="Arial" w:cs="Arial" w:eastAsia="Arial" w:hAnsi="Arial"/>
          <w:sz w:val="29"/>
          <w:szCs w:val="29"/>
          <w:b w:val="1"/>
          <w:bCs w:val="1"/>
          <w:color w:val="1EB7DF"/>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79375</wp:posOffset>
            </wp:positionV>
            <wp:extent cx="7132320" cy="31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146" w:lineRule="exact"/>
        <w:rPr>
          <w:sz w:val="20"/>
          <w:szCs w:val="20"/>
          <w:color w:val="auto"/>
        </w:rPr>
      </w:pPr>
    </w:p>
    <w:p>
      <w:pPr>
        <w:jc w:val="both"/>
        <w:ind w:left="1180"/>
        <w:spacing w:after="0"/>
        <w:tabs>
          <w:tab w:leader="none" w:pos="4660" w:val="left"/>
        </w:tabs>
        <w:rPr>
          <w:sz w:val="20"/>
          <w:szCs w:val="20"/>
          <w:color w:val="auto"/>
        </w:rPr>
      </w:pPr>
      <w:r>
        <w:rPr>
          <w:rFonts w:ascii="Arial" w:cs="Arial" w:eastAsia="Arial" w:hAnsi="Arial"/>
          <w:sz w:val="29"/>
          <w:szCs w:val="29"/>
          <w:b w:val="1"/>
          <w:bCs w:val="1"/>
          <w:color w:val="1EB7DF"/>
        </w:rPr>
        <w:t>n</w:t>
      </w:r>
      <w:r>
        <w:rPr>
          <w:sz w:val="20"/>
          <w:szCs w:val="20"/>
          <w:color w:val="auto"/>
        </w:rPr>
        <w:tab/>
      </w:r>
      <w:r>
        <w:rPr>
          <w:rFonts w:ascii="Arial" w:cs="Arial" w:eastAsia="Arial" w:hAnsi="Arial"/>
          <w:sz w:val="29"/>
          <w:szCs w:val="29"/>
          <w:b w:val="1"/>
          <w:bCs w:val="1"/>
          <w:color w:val="1EB7DF"/>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113665</wp:posOffset>
            </wp:positionV>
            <wp:extent cx="3549015"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49015" cy="34290"/>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79375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720"/>
            <w:col w:w="5220"/>
          </w:cols>
          <w:pgMar w:left="320" w:top="900" w:right="339" w:bottom="1440" w:gutter="0" w:footer="0" w:header="0"/>
          <w:type w:val="continuous"/>
        </w:sectPr>
      </w:pPr>
    </w:p>
    <w:p>
      <w:pPr>
        <w:spacing w:after="0" w:line="273" w:lineRule="exact"/>
        <w:rPr>
          <w:sz w:val="20"/>
          <w:szCs w:val="20"/>
          <w:color w:val="auto"/>
        </w:rPr>
      </w:pPr>
    </w:p>
    <w:p>
      <w:pPr>
        <w:ind w:left="20"/>
        <w:spacing w:after="0"/>
        <w:tabs>
          <w:tab w:leader="none" w:pos="2360" w:val="left"/>
        </w:tabs>
        <w:rPr>
          <w:sz w:val="20"/>
          <w:szCs w:val="20"/>
          <w:color w:val="auto"/>
        </w:rPr>
      </w:pPr>
      <w:r>
        <w:rPr>
          <w:rFonts w:ascii="Arial" w:cs="Arial" w:eastAsia="Arial" w:hAnsi="Arial"/>
          <w:sz w:val="15"/>
          <w:szCs w:val="15"/>
          <w:color w:val="0E191E"/>
        </w:rPr>
        <w:t>Chairperson -</w:t>
      </w:r>
      <w:r>
        <w:rPr>
          <w:sz w:val="20"/>
          <w:szCs w:val="20"/>
          <w:color w:val="auto"/>
        </w:rPr>
        <w:tab/>
      </w:r>
      <w:r>
        <w:rPr>
          <w:rFonts w:ascii="Arial" w:cs="Arial" w:eastAsia="Arial" w:hAnsi="Arial"/>
          <w:sz w:val="14"/>
          <w:szCs w:val="14"/>
          <w:color w:val="0E191E"/>
        </w:rPr>
        <w:t>Member -</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Our Consideration of Corporate Sustainability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60"/>
        <w:spacing w:after="0" w:line="308" w:lineRule="auto"/>
        <w:rPr>
          <w:sz w:val="20"/>
          <w:szCs w:val="20"/>
          <w:color w:val="auto"/>
        </w:rPr>
      </w:pPr>
      <w:r>
        <w:rPr>
          <w:rFonts w:ascii="Arial" w:cs="Arial" w:eastAsia="Arial" w:hAnsi="Arial"/>
          <w:sz w:val="15"/>
          <w:szCs w:val="15"/>
          <w:color w:val="0E191E"/>
        </w:rPr>
        <w:t>Our board of directors and executive leadership team (“ELT”) recognize the importance of solid governance, environmental stewardship and social responsibility to our long-term business growth and value creation. We review and consider sustainable business practices and have implemented processes throughout our operations to effectively manage Environmental, Social, and Governance (“ESG”) matters relevant to our business over time.</w:t>
      </w:r>
    </w:p>
    <w:p>
      <w:pPr>
        <w:spacing w:after="0" w:line="146" w:lineRule="exact"/>
        <w:rPr>
          <w:sz w:val="20"/>
          <w:szCs w:val="20"/>
          <w:color w:val="auto"/>
        </w:rPr>
      </w:pPr>
    </w:p>
    <w:p>
      <w:pPr>
        <w:ind w:right="200"/>
        <w:spacing w:after="0" w:line="308" w:lineRule="auto"/>
        <w:rPr>
          <w:sz w:val="20"/>
          <w:szCs w:val="20"/>
          <w:color w:val="auto"/>
        </w:rPr>
      </w:pPr>
      <w:r>
        <w:rPr>
          <w:rFonts w:ascii="Arial" w:cs="Arial" w:eastAsia="Arial" w:hAnsi="Arial"/>
          <w:sz w:val="15"/>
          <w:szCs w:val="15"/>
          <w:color w:val="0E191E"/>
        </w:rPr>
        <w:t>While our entire Board engages on ESG matters that impact our business, it has assigned the responsibility to specific Board committees to oversee ESG risks and strategy in areas such as the environment, data security, diversity, equity, and inclusion, corporate citizenship, and risk management. For more information, please see the discussion of the Corporate Sustainability and Environmental, Social, and Governance Matters section within this proxy.</w:t>
      </w:r>
    </w:p>
    <w:p>
      <w:pPr>
        <w:spacing w:after="0" w:line="209"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70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00739D"/>
              </w:rPr>
              <w:t>2</w:t>
            </w:r>
          </w:p>
        </w:tc>
        <w:tc>
          <w:tcPr>
            <w:tcW w:w="1580" w:type="dxa"/>
            <w:vAlign w:val="bottom"/>
            <w:vMerge w:val="restart"/>
          </w:tcPr>
          <w:p>
            <w:pPr>
              <w:ind w:left="34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7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32"/>
          <w:szCs w:val="32"/>
          <w:b w:val="1"/>
          <w:bCs w:val="1"/>
          <w:color w:val="0E191E"/>
        </w:rPr>
        <w:t>GUIDEWIRE SOFTWARE, INC.</w:t>
      </w:r>
    </w:p>
    <w:p>
      <w:pPr>
        <w:spacing w:after="0" w:line="253"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Proxy Statement for the</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2021 Annual Meeting of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32"/>
          <w:szCs w:val="32"/>
          <w:b w:val="1"/>
          <w:bCs w:val="1"/>
          <w:color w:val="00739D"/>
        </w:rPr>
        <w:t>General Information</w:t>
      </w:r>
    </w:p>
    <w:p>
      <w:pPr>
        <w:spacing w:after="0" w:line="178" w:lineRule="exact"/>
        <w:rPr>
          <w:sz w:val="20"/>
          <w:szCs w:val="20"/>
          <w:color w:val="auto"/>
        </w:rPr>
      </w:pPr>
    </w:p>
    <w:p>
      <w:pPr>
        <w:ind w:right="360"/>
        <w:spacing w:after="0" w:line="317" w:lineRule="auto"/>
        <w:rPr>
          <w:sz w:val="20"/>
          <w:szCs w:val="20"/>
          <w:color w:val="auto"/>
        </w:rPr>
      </w:pPr>
      <w:r>
        <w:rPr>
          <w:rFonts w:ascii="Arial" w:cs="Arial" w:eastAsia="Arial" w:hAnsi="Arial"/>
          <w:sz w:val="15"/>
          <w:szCs w:val="15"/>
          <w:color w:val="0E191E"/>
        </w:rPr>
        <w:t>Our board of directors is soliciting proxies for our 2021 annual meeting of stockholders to be held on Tuesday, December 14, 2021 at 1:00 p.m. Pacific Time. The annual meeting will be held virtually via a live webcast at: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00739D"/>
        </w:rPr>
        <w:t>www.virtualshareholdermeeting.com/GWRE2021.</w:t>
      </w:r>
    </w:p>
    <w:p>
      <w:pPr>
        <w:spacing w:after="0" w:line="278"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0E191E"/>
        </w:rPr>
        <w:t xml:space="preserve">The Notice of Internet Availability of Proxy Materials containing instructions on how to access our proxy statement for the 2021 annual meeting of stockholders and our 2021 Annual Report on Form 10-K, which includes our audited consolidated financial statements for the fiscal year ended July 31, 2021, is first being mailed on or about November 3, 2021, to stockholders entitled to vote at the annual meeting. We have also made these materials available on our website at </w:t>
      </w:r>
      <w:r>
        <w:rPr>
          <w:rFonts w:ascii="Arial" w:cs="Arial" w:eastAsia="Arial" w:hAnsi="Arial"/>
          <w:sz w:val="15"/>
          <w:szCs w:val="15"/>
          <w:i w:val="1"/>
          <w:iCs w:val="1"/>
          <w:color w:val="0E191E"/>
        </w:rPr>
        <w:t>www.guidewire.com</w:t>
      </w:r>
      <w:r>
        <w:rPr>
          <w:rFonts w:ascii="Arial" w:cs="Arial" w:eastAsia="Arial" w:hAnsi="Arial"/>
          <w:sz w:val="15"/>
          <w:szCs w:val="15"/>
          <w:color w:val="0E191E"/>
        </w:rPr>
        <w:t xml:space="preserve"> under “About/Investor Relations” on or about November 3, 2021.</w:t>
      </w:r>
    </w:p>
    <w:p>
      <w:pPr>
        <w:spacing w:after="0" w:line="146"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0E191E"/>
        </w:rPr>
        <w:t>This proxy statement contains important information for you to consider when deciding how to vote on the matters brought before the 2021 annual meeting of stockholders. Please read it carefully. Unless the context requires otherwise, the words “Guidewire,” “we,” the “Company,” “us,” and “our” refer to Guidewire Software, Inc.</w:t>
      </w:r>
    </w:p>
    <w:p>
      <w:pPr>
        <w:spacing w:after="0" w:line="200" w:lineRule="exact"/>
        <w:rPr>
          <w:sz w:val="20"/>
          <w:szCs w:val="20"/>
          <w:color w:val="auto"/>
        </w:rPr>
      </w:pPr>
    </w:p>
    <w:p>
      <w:pPr>
        <w:spacing w:after="0" w:line="264" w:lineRule="exact"/>
        <w:rPr>
          <w:sz w:val="20"/>
          <w:szCs w:val="20"/>
          <w:color w:val="auto"/>
        </w:rPr>
      </w:pPr>
    </w:p>
    <w:p>
      <w:pPr>
        <w:ind w:right="3400"/>
        <w:spacing w:after="0" w:line="286" w:lineRule="auto"/>
        <w:rPr>
          <w:sz w:val="20"/>
          <w:szCs w:val="20"/>
          <w:color w:val="auto"/>
        </w:rPr>
      </w:pPr>
      <w:r>
        <w:rPr>
          <w:rFonts w:ascii="Arial" w:cs="Arial" w:eastAsia="Arial" w:hAnsi="Arial"/>
          <w:sz w:val="32"/>
          <w:szCs w:val="32"/>
          <w:b w:val="1"/>
          <w:bCs w:val="1"/>
          <w:color w:val="0E191E"/>
        </w:rPr>
        <w:t>Questions and Answers about the Annual Meeting, the Proxy Materials, and Voting Your Shares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Why did I receive a Notice of Internet Availability of Proxy Materials instead of a full set of proxy materials?</w:t>
      </w:r>
    </w:p>
    <w:p>
      <w:pPr>
        <w:spacing w:after="0" w:line="136" w:lineRule="exact"/>
        <w:rPr>
          <w:sz w:val="20"/>
          <w:szCs w:val="20"/>
          <w:color w:val="auto"/>
        </w:rPr>
      </w:pPr>
    </w:p>
    <w:p>
      <w:pPr>
        <w:spacing w:after="0" w:line="304" w:lineRule="auto"/>
        <w:rPr>
          <w:sz w:val="20"/>
          <w:szCs w:val="20"/>
          <w:color w:val="auto"/>
        </w:rPr>
      </w:pPr>
      <w:r>
        <w:rPr>
          <w:rFonts w:ascii="Arial" w:cs="Arial" w:eastAsia="Arial" w:hAnsi="Arial"/>
          <w:sz w:val="15"/>
          <w:szCs w:val="15"/>
          <w:color w:val="0E191E"/>
        </w:rPr>
        <w:t>We have elected to furnish our proxy materials, including our proxy statement for the 2021 annual meeting of stockholders and our 2021 Annual Report on Form 10-K, primarily via the Internet. The Notice of Internet Availability of Proxy Materials is being provided in accordance with Securities and Exchange Commission (“SEC”) rules and contains instructions on how to access our proxy materials. Stockholders may request to receive all future proxy materials in printed form by mail or electronically by e-mail by following the instructions contained in the Notice of Internet Availability of Proxy Materials. We encourage stockholders to take advantage of the availability of our proxy materials on the Internet to help reduce the environmental impact and cost of our annual meetings of stockholders.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items will be voted on at the annual meeting?</w:t>
      </w:r>
    </w:p>
    <w:p>
      <w:pPr>
        <w:spacing w:after="0" w:line="136" w:lineRule="exact"/>
        <w:rPr>
          <w:sz w:val="20"/>
          <w:szCs w:val="20"/>
          <w:color w:val="auto"/>
        </w:rPr>
      </w:pPr>
    </w:p>
    <w:p>
      <w:pPr>
        <w:ind w:left="80"/>
        <w:spacing w:after="0"/>
        <w:rPr>
          <w:sz w:val="20"/>
          <w:szCs w:val="20"/>
          <w:color w:val="auto"/>
        </w:rPr>
      </w:pPr>
      <w:r>
        <w:rPr>
          <w:rFonts w:ascii="Arial" w:cs="Arial" w:eastAsia="Arial" w:hAnsi="Arial"/>
          <w:sz w:val="15"/>
          <w:szCs w:val="15"/>
          <w:color w:val="0E191E"/>
        </w:rPr>
        <w:t>There are four items expected to be voted on at the annual meeting:</w:t>
      </w:r>
    </w:p>
    <w:p>
      <w:pPr>
        <w:spacing w:after="0" w:line="206" w:lineRule="exact"/>
        <w:rPr>
          <w:sz w:val="20"/>
          <w:szCs w:val="20"/>
          <w:color w:val="auto"/>
        </w:rPr>
      </w:pPr>
    </w:p>
    <w:p>
      <w:pPr>
        <w:ind w:left="560" w:hanging="228"/>
        <w:spacing w:after="0"/>
        <w:tabs>
          <w:tab w:leader="none" w:pos="560" w:val="left"/>
        </w:tabs>
        <w:numPr>
          <w:ilvl w:val="0"/>
          <w:numId w:val="6"/>
        </w:numPr>
        <w:rPr>
          <w:rFonts w:ascii="Arial" w:cs="Arial" w:eastAsia="Arial" w:hAnsi="Arial"/>
          <w:sz w:val="15"/>
          <w:szCs w:val="15"/>
          <w:color w:val="0E191E"/>
        </w:rPr>
      </w:pPr>
      <w:r>
        <w:rPr>
          <w:rFonts w:ascii="Arial" w:cs="Arial" w:eastAsia="Arial" w:hAnsi="Arial"/>
          <w:sz w:val="15"/>
          <w:szCs w:val="15"/>
          <w:color w:val="0E191E"/>
        </w:rPr>
        <w:t>The election of eight directors to serve for one-year terms expiring at the 2022 annual meeting;</w:t>
      </w:r>
    </w:p>
    <w:p>
      <w:pPr>
        <w:spacing w:after="0" w:line="205" w:lineRule="exact"/>
        <w:rPr>
          <w:rFonts w:ascii="Arial" w:cs="Arial" w:eastAsia="Arial" w:hAnsi="Arial"/>
          <w:sz w:val="15"/>
          <w:szCs w:val="15"/>
          <w:color w:val="0E191E"/>
        </w:rPr>
      </w:pPr>
    </w:p>
    <w:p>
      <w:pPr>
        <w:ind w:left="560" w:hanging="228"/>
        <w:spacing w:after="0"/>
        <w:tabs>
          <w:tab w:leader="none" w:pos="560" w:val="left"/>
        </w:tabs>
        <w:numPr>
          <w:ilvl w:val="0"/>
          <w:numId w:val="6"/>
        </w:numPr>
        <w:rPr>
          <w:rFonts w:ascii="Arial" w:cs="Arial" w:eastAsia="Arial" w:hAnsi="Arial"/>
          <w:sz w:val="15"/>
          <w:szCs w:val="15"/>
          <w:color w:val="0E191E"/>
        </w:rPr>
      </w:pPr>
      <w:r>
        <w:rPr>
          <w:rFonts w:ascii="Arial" w:cs="Arial" w:eastAsia="Arial" w:hAnsi="Arial"/>
          <w:sz w:val="15"/>
          <w:szCs w:val="15"/>
          <w:color w:val="0E191E"/>
        </w:rPr>
        <w:t>The ratification of the appointment of KPMG LLP as our independent registered public accounting firm for the fiscal year ending July 31, 2022;</w:t>
      </w:r>
    </w:p>
    <w:p>
      <w:pPr>
        <w:spacing w:after="0" w:line="205" w:lineRule="exact"/>
        <w:rPr>
          <w:rFonts w:ascii="Arial" w:cs="Arial" w:eastAsia="Arial" w:hAnsi="Arial"/>
          <w:sz w:val="15"/>
          <w:szCs w:val="15"/>
          <w:color w:val="0E191E"/>
        </w:rPr>
      </w:pPr>
    </w:p>
    <w:p>
      <w:pPr>
        <w:ind w:left="560" w:hanging="228"/>
        <w:spacing w:after="0"/>
        <w:tabs>
          <w:tab w:leader="none" w:pos="560" w:val="left"/>
        </w:tabs>
        <w:numPr>
          <w:ilvl w:val="0"/>
          <w:numId w:val="6"/>
        </w:numPr>
        <w:rPr>
          <w:rFonts w:ascii="Arial" w:cs="Arial" w:eastAsia="Arial" w:hAnsi="Arial"/>
          <w:sz w:val="15"/>
          <w:szCs w:val="15"/>
          <w:color w:val="0E191E"/>
        </w:rPr>
      </w:pPr>
      <w:r>
        <w:rPr>
          <w:rFonts w:ascii="Arial" w:cs="Arial" w:eastAsia="Arial" w:hAnsi="Arial"/>
          <w:sz w:val="15"/>
          <w:szCs w:val="15"/>
          <w:color w:val="0E191E"/>
        </w:rPr>
        <w:t>The non-binding, advisory vote to approve the compensation of our named executive officers; and</w:t>
      </w:r>
    </w:p>
    <w:p>
      <w:pPr>
        <w:spacing w:after="0" w:line="205" w:lineRule="exact"/>
        <w:rPr>
          <w:rFonts w:ascii="Arial" w:cs="Arial" w:eastAsia="Arial" w:hAnsi="Arial"/>
          <w:sz w:val="15"/>
          <w:szCs w:val="15"/>
          <w:color w:val="0E191E"/>
        </w:rPr>
      </w:pPr>
    </w:p>
    <w:p>
      <w:pPr>
        <w:ind w:left="580" w:right="80" w:hanging="248"/>
        <w:spacing w:after="0" w:line="308" w:lineRule="auto"/>
        <w:tabs>
          <w:tab w:leader="none" w:pos="572" w:val="left"/>
        </w:tabs>
        <w:numPr>
          <w:ilvl w:val="0"/>
          <w:numId w:val="6"/>
        </w:numPr>
        <w:rPr>
          <w:rFonts w:ascii="Arial" w:cs="Arial" w:eastAsia="Arial" w:hAnsi="Arial"/>
          <w:sz w:val="15"/>
          <w:szCs w:val="15"/>
          <w:color w:val="0E191E"/>
        </w:rPr>
      </w:pPr>
      <w:r>
        <w:rPr>
          <w:rFonts w:ascii="Arial" w:cs="Arial" w:eastAsia="Arial" w:hAnsi="Arial"/>
          <w:sz w:val="15"/>
          <w:szCs w:val="15"/>
          <w:color w:val="0E191E"/>
        </w:rPr>
        <w:t>The amendment of our certificate of incorporation to remove the provision requiring certain changes to our certificate of incorporation to be approved by the affirmative vote of at least 66 2/3% of the voting power of all then outstanding shares of capital stock of the Company entitled to vote generally in the election of directors (the “supermajority provision”).</w:t>
      </w:r>
    </w:p>
    <w:p>
      <w:pPr>
        <w:spacing w:after="0" w:line="357"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70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00739D"/>
              </w:rPr>
              <w:t>3</w:t>
            </w:r>
          </w:p>
        </w:tc>
        <w:tc>
          <w:tcPr>
            <w:tcW w:w="1580" w:type="dxa"/>
            <w:vAlign w:val="bottom"/>
            <w:vMerge w:val="restart"/>
          </w:tcPr>
          <w:p>
            <w:pPr>
              <w:ind w:left="34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7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00739D"/>
        </w:rPr>
        <w:t>What are our Board of Directors' voting recommendations?</w:t>
      </w:r>
    </w:p>
    <w:p>
      <w:pPr>
        <w:spacing w:after="0" w:line="136" w:lineRule="exact"/>
        <w:rPr>
          <w:sz w:val="20"/>
          <w:szCs w:val="20"/>
          <w:color w:val="auto"/>
        </w:rPr>
      </w:pPr>
    </w:p>
    <w:p>
      <w:pPr>
        <w:jc w:val="both"/>
        <w:ind w:right="340"/>
        <w:spacing w:after="0" w:line="308" w:lineRule="auto"/>
        <w:rPr>
          <w:sz w:val="20"/>
          <w:szCs w:val="20"/>
          <w:color w:val="auto"/>
        </w:rPr>
      </w:pPr>
      <w:r>
        <w:rPr>
          <w:rFonts w:ascii="Arial" w:cs="Arial" w:eastAsia="Arial" w:hAnsi="Arial"/>
          <w:sz w:val="15"/>
          <w:szCs w:val="15"/>
          <w:color w:val="0E191E"/>
        </w:rPr>
        <w:t>Our board of directors recommends that you vote your shares “FOR” each of the nominees to the board of directors, “FOR” the ratification of the appointment of KPMG LLP, “FOR” the approval of the compensation of our named executive officers, and “FOR” the amendment of our certificate of incorporation to remove the supermajority provision therein.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is a proxy?</w:t>
      </w:r>
    </w:p>
    <w:p>
      <w:pPr>
        <w:spacing w:after="0" w:line="136"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0E191E"/>
        </w:rPr>
        <w:t>Our board of directors is soliciting your vote at our 2021 annual meeting of stockholders. A proxy is your legal designation of another person to vote the stock you own. That other person is called a proxy. If you designate someone as your proxy in a written document, that document also is called a proxy or a proxy card. You may designate as your proxies Mike Rosenbaum, Jeff Cooper, and Winston King, who have been selected by our board of directors to serve as proxies for our 2021 annual meeting of stockholders.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Who can vote at the annual meeting?</w:t>
      </w:r>
    </w:p>
    <w:p>
      <w:pPr>
        <w:spacing w:after="0" w:line="136" w:lineRule="exact"/>
        <w:rPr>
          <w:sz w:val="20"/>
          <w:szCs w:val="20"/>
          <w:color w:val="auto"/>
        </w:rPr>
      </w:pPr>
    </w:p>
    <w:p>
      <w:pPr>
        <w:ind w:right="80"/>
        <w:spacing w:after="0" w:line="317" w:lineRule="auto"/>
        <w:rPr>
          <w:sz w:val="20"/>
          <w:szCs w:val="20"/>
          <w:color w:val="auto"/>
        </w:rPr>
      </w:pPr>
      <w:r>
        <w:rPr>
          <w:rFonts w:ascii="Arial" w:cs="Arial" w:eastAsia="Arial" w:hAnsi="Arial"/>
          <w:sz w:val="15"/>
          <w:szCs w:val="15"/>
          <w:color w:val="0E191E"/>
        </w:rPr>
        <w:t>The record date for our 2021 annual meeting of stockholders is October 19, 2021. The record date was established by our board of directors. Stockholders of record at the close of business on the record date are entitled to:</w:t>
      </w:r>
    </w:p>
    <w:p>
      <w:pPr>
        <w:spacing w:after="0" w:line="84" w:lineRule="exact"/>
        <w:rPr>
          <w:sz w:val="20"/>
          <w:szCs w:val="20"/>
          <w:color w:val="auto"/>
        </w:rPr>
      </w:pPr>
    </w:p>
    <w:p>
      <w:pPr>
        <w:ind w:left="500" w:hanging="168"/>
        <w:spacing w:after="0"/>
        <w:tabs>
          <w:tab w:leader="none" w:pos="500" w:val="left"/>
        </w:tabs>
        <w:numPr>
          <w:ilvl w:val="0"/>
          <w:numId w:val="7"/>
        </w:numPr>
        <w:rPr>
          <w:rFonts w:ascii="Arial" w:cs="Arial" w:eastAsia="Arial" w:hAnsi="Arial"/>
          <w:sz w:val="15"/>
          <w:szCs w:val="15"/>
          <w:color w:val="0E191E"/>
        </w:rPr>
      </w:pPr>
      <w:r>
        <w:rPr>
          <w:rFonts w:ascii="Arial" w:cs="Arial" w:eastAsia="Arial" w:hAnsi="Arial"/>
          <w:sz w:val="15"/>
          <w:szCs w:val="15"/>
          <w:color w:val="0E191E"/>
        </w:rPr>
        <w:t>Receive notice of the annual meeting; and</w:t>
      </w:r>
    </w:p>
    <w:p>
      <w:pPr>
        <w:spacing w:after="0" w:line="70" w:lineRule="exact"/>
        <w:rPr>
          <w:rFonts w:ascii="Arial" w:cs="Arial" w:eastAsia="Arial" w:hAnsi="Arial"/>
          <w:sz w:val="15"/>
          <w:szCs w:val="15"/>
          <w:color w:val="0E191E"/>
        </w:rPr>
      </w:pPr>
    </w:p>
    <w:p>
      <w:pPr>
        <w:ind w:left="500" w:hanging="168"/>
        <w:spacing w:after="0"/>
        <w:tabs>
          <w:tab w:leader="none" w:pos="500" w:val="left"/>
        </w:tabs>
        <w:numPr>
          <w:ilvl w:val="0"/>
          <w:numId w:val="7"/>
        </w:numPr>
        <w:rPr>
          <w:rFonts w:ascii="Arial" w:cs="Arial" w:eastAsia="Arial" w:hAnsi="Arial"/>
          <w:sz w:val="15"/>
          <w:szCs w:val="15"/>
          <w:color w:val="0E191E"/>
        </w:rPr>
      </w:pPr>
      <w:r>
        <w:rPr>
          <w:rFonts w:ascii="Arial" w:cs="Arial" w:eastAsia="Arial" w:hAnsi="Arial"/>
          <w:sz w:val="15"/>
          <w:szCs w:val="15"/>
          <w:color w:val="0E191E"/>
        </w:rPr>
        <w:t>Vote by written proxy, Internet or telephone before the annual meeting or by Internet during the annual meeting.</w:t>
      </w:r>
    </w:p>
    <w:p>
      <w:pPr>
        <w:spacing w:after="0" w:line="260" w:lineRule="exact"/>
        <w:rPr>
          <w:sz w:val="20"/>
          <w:szCs w:val="20"/>
          <w:color w:val="auto"/>
        </w:rPr>
      </w:pPr>
    </w:p>
    <w:p>
      <w:pPr>
        <w:ind w:right="20"/>
        <w:spacing w:after="0" w:line="317" w:lineRule="auto"/>
        <w:rPr>
          <w:sz w:val="20"/>
          <w:szCs w:val="20"/>
          <w:color w:val="auto"/>
        </w:rPr>
      </w:pPr>
      <w:r>
        <w:rPr>
          <w:rFonts w:ascii="Arial" w:cs="Arial" w:eastAsia="Arial" w:hAnsi="Arial"/>
          <w:sz w:val="15"/>
          <w:szCs w:val="15"/>
          <w:color w:val="0E191E"/>
        </w:rPr>
        <w:t>On the record date, [83,304,656] shares of our common stock were outstanding. Each stockholder is entitled to one vote for each share of common stock held on the record date.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do I need in order to attend the annual meeting online?</w:t>
      </w:r>
    </w:p>
    <w:p>
      <w:pPr>
        <w:spacing w:after="0" w:line="136" w:lineRule="exact"/>
        <w:rPr>
          <w:sz w:val="20"/>
          <w:szCs w:val="20"/>
          <w:color w:val="auto"/>
        </w:rPr>
      </w:pPr>
    </w:p>
    <w:p>
      <w:pPr>
        <w:spacing w:after="0" w:line="304" w:lineRule="auto"/>
        <w:rPr>
          <w:sz w:val="20"/>
          <w:szCs w:val="20"/>
          <w:color w:val="auto"/>
        </w:rPr>
      </w:pPr>
      <w:r>
        <w:rPr>
          <w:rFonts w:ascii="Arial" w:cs="Arial" w:eastAsia="Arial" w:hAnsi="Arial"/>
          <w:sz w:val="15"/>
          <w:szCs w:val="15"/>
          <w:color w:val="0E191E"/>
        </w:rPr>
        <w:t xml:space="preserve">We will be hosting our annual meeting via live webcast only. Any stockholder can attend the annual meeting of stockholders live online at </w:t>
      </w:r>
      <w:r>
        <w:rPr>
          <w:rFonts w:ascii="Arial" w:cs="Arial" w:eastAsia="Arial" w:hAnsi="Arial"/>
          <w:sz w:val="15"/>
          <w:szCs w:val="15"/>
          <w:b w:val="1"/>
          <w:bCs w:val="1"/>
          <w:i w:val="1"/>
          <w:iCs w:val="1"/>
          <w:color w:val="00739D"/>
        </w:rPr>
        <w:t>www.virtualshareholdermeeting.com/GWRE2021</w:t>
      </w:r>
      <w:r>
        <w:rPr>
          <w:rFonts w:ascii="Arial" w:cs="Arial" w:eastAsia="Arial" w:hAnsi="Arial"/>
          <w:sz w:val="15"/>
          <w:szCs w:val="15"/>
          <w:color w:val="0E191E"/>
        </w:rPr>
        <w:t>. The webcast will start at 1:00 p.m. Pacific Time on December 14, 2021. Stockholders may vote and ask</w:t>
      </w:r>
      <w:r>
        <w:rPr>
          <w:rFonts w:ascii="Arial" w:cs="Arial" w:eastAsia="Arial" w:hAnsi="Arial"/>
          <w:sz w:val="15"/>
          <w:szCs w:val="15"/>
          <w:b w:val="1"/>
          <w:bCs w:val="1"/>
          <w:i w:val="1"/>
          <w:iCs w:val="1"/>
          <w:color w:val="00739D"/>
        </w:rPr>
        <w:t xml:space="preserve"> </w:t>
      </w:r>
      <w:r>
        <w:rPr>
          <w:rFonts w:ascii="Arial" w:cs="Arial" w:eastAsia="Arial" w:hAnsi="Arial"/>
          <w:sz w:val="15"/>
          <w:szCs w:val="15"/>
          <w:color w:val="0E191E"/>
        </w:rPr>
        <w:t xml:space="preserve">questions while attending the annual meeting online. In order to be able to attend the annual meeting, you will need the 16-digit control number, which is on your proxy card or in the instructions accompanying your proxy materials. Instructions on how to participate in the annual meeting of stockholders are also posted online at </w:t>
      </w:r>
      <w:r>
        <w:rPr>
          <w:rFonts w:ascii="Arial" w:cs="Arial" w:eastAsia="Arial" w:hAnsi="Arial"/>
          <w:sz w:val="15"/>
          <w:szCs w:val="15"/>
          <w:b w:val="1"/>
          <w:bCs w:val="1"/>
          <w:i w:val="1"/>
          <w:iCs w:val="1"/>
          <w:color w:val="00739D"/>
        </w:rPr>
        <w:t>www.proxyvote.com</w:t>
      </w:r>
      <w:r>
        <w:rPr>
          <w:rFonts w:ascii="Arial" w:cs="Arial" w:eastAsia="Arial" w:hAnsi="Arial"/>
          <w:sz w:val="15"/>
          <w:szCs w:val="15"/>
          <w:color w:val="0E191E"/>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Why is this annual meeting being held virtually?</w:t>
      </w:r>
    </w:p>
    <w:p>
      <w:pPr>
        <w:spacing w:after="0" w:line="136" w:lineRule="exact"/>
        <w:rPr>
          <w:sz w:val="20"/>
          <w:szCs w:val="20"/>
          <w:color w:val="auto"/>
        </w:rPr>
      </w:pPr>
    </w:p>
    <w:p>
      <w:pPr>
        <w:jc w:val="both"/>
        <w:ind w:right="200"/>
        <w:spacing w:after="0" w:line="308" w:lineRule="auto"/>
        <w:rPr>
          <w:sz w:val="20"/>
          <w:szCs w:val="20"/>
          <w:color w:val="auto"/>
        </w:rPr>
      </w:pPr>
      <w:r>
        <w:rPr>
          <w:rFonts w:ascii="Arial" w:cs="Arial" w:eastAsia="Arial" w:hAnsi="Arial"/>
          <w:sz w:val="15"/>
          <w:szCs w:val="15"/>
          <w:color w:val="0E191E"/>
        </w:rPr>
        <w:t xml:space="preserve">We are excited to provide ease of access, real-time communication, and cost savings for our stockholders. We believe that hosting a virtual meeting provides easy access for our stockholders and facilitates participation since stockholders can participate from any location around the world. You will be able to participate in the annual meeting online and submit your questions during the meeting by visiting </w:t>
      </w:r>
      <w:r>
        <w:rPr>
          <w:rFonts w:ascii="Arial" w:cs="Arial" w:eastAsia="Arial" w:hAnsi="Arial"/>
          <w:sz w:val="15"/>
          <w:szCs w:val="15"/>
          <w:b w:val="1"/>
          <w:bCs w:val="1"/>
          <w:i w:val="1"/>
          <w:iCs w:val="1"/>
          <w:color w:val="00739D"/>
        </w:rPr>
        <w:t>www.virtualshareholdermeeting.com/GWRE2021</w:t>
      </w:r>
      <w:r>
        <w:rPr>
          <w:rFonts w:ascii="Arial" w:cs="Arial" w:eastAsia="Arial" w:hAnsi="Arial"/>
          <w:sz w:val="15"/>
          <w:szCs w:val="15"/>
          <w:color w:val="0E191E"/>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How can I submit a question at the annual meeting?</w:t>
      </w:r>
    </w:p>
    <w:p>
      <w:pPr>
        <w:spacing w:after="0" w:line="118" w:lineRule="exact"/>
        <w:rPr>
          <w:sz w:val="20"/>
          <w:szCs w:val="20"/>
          <w:color w:val="auto"/>
        </w:rPr>
      </w:pPr>
    </w:p>
    <w:p>
      <w:pPr>
        <w:spacing w:after="0" w:line="314" w:lineRule="auto"/>
        <w:rPr>
          <w:sz w:val="20"/>
          <w:szCs w:val="20"/>
          <w:color w:val="auto"/>
        </w:rPr>
      </w:pPr>
      <w:r>
        <w:rPr>
          <w:rFonts w:ascii="Arial" w:cs="Arial" w:eastAsia="Arial" w:hAnsi="Arial"/>
          <w:sz w:val="15"/>
          <w:szCs w:val="15"/>
          <w:color w:val="0E191E"/>
        </w:rPr>
        <w:t xml:space="preserve">If you would like to submit a question during the annual meeting, log into </w:t>
      </w:r>
      <w:r>
        <w:rPr>
          <w:rFonts w:ascii="Arial" w:cs="Arial" w:eastAsia="Arial" w:hAnsi="Arial"/>
          <w:sz w:val="15"/>
          <w:szCs w:val="15"/>
          <w:b w:val="1"/>
          <w:bCs w:val="1"/>
          <w:i w:val="1"/>
          <w:iCs w:val="1"/>
          <w:color w:val="00739D"/>
        </w:rPr>
        <w:t>www.virtualshareholdermeeting.com/GWRE2021</w:t>
      </w:r>
      <w:r>
        <w:rPr>
          <w:rFonts w:ascii="Arial" w:cs="Arial" w:eastAsia="Arial" w:hAnsi="Arial"/>
          <w:sz w:val="15"/>
          <w:szCs w:val="15"/>
          <w:color w:val="0E191E"/>
        </w:rPr>
        <w:t xml:space="preserve"> by using the 16-digit control number, which is on your proxy card or in the instructions accompanying your proxy materials, type your question into the “Ask a Question” field, and click “Submit.” Questions pertinent to meeting matters will be read and answered during the meeting, subject to time constraints. The questions and answers will be available as soon as practicable after the annual meeting at </w:t>
      </w:r>
      <w:r>
        <w:rPr>
          <w:rFonts w:ascii="Arial" w:cs="Arial" w:eastAsia="Arial" w:hAnsi="Arial"/>
          <w:sz w:val="15"/>
          <w:szCs w:val="15"/>
          <w:b w:val="1"/>
          <w:bCs w:val="1"/>
          <w:i w:val="1"/>
          <w:iCs w:val="1"/>
          <w:color w:val="00739D"/>
        </w:rPr>
        <w:t>www.virtualshareholdermeeting.com/GWRE2021</w:t>
      </w:r>
      <w:r>
        <w:rPr>
          <w:rFonts w:ascii="Arial" w:cs="Arial" w:eastAsia="Arial" w:hAnsi="Arial"/>
          <w:sz w:val="15"/>
          <w:szCs w:val="15"/>
          <w:color w:val="0E191E"/>
        </w:rPr>
        <w:t xml:space="preserve"> and will remain available for one week after posting.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if I have technical difficulties or trouble accessing the annual meeting?</w:t>
      </w:r>
    </w:p>
    <w:p>
      <w:pPr>
        <w:spacing w:after="0" w:line="136"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0E191E"/>
        </w:rPr>
        <w:t xml:space="preserve">If you encounter any technical difficulties with accessing the audio webcast on the meeting day, please call the technical support number that will be posted on </w:t>
      </w:r>
      <w:r>
        <w:rPr>
          <w:rFonts w:ascii="Arial" w:cs="Arial" w:eastAsia="Arial" w:hAnsi="Arial"/>
          <w:sz w:val="15"/>
          <w:szCs w:val="15"/>
          <w:b w:val="1"/>
          <w:bCs w:val="1"/>
          <w:i w:val="1"/>
          <w:iCs w:val="1"/>
          <w:color w:val="00739D"/>
        </w:rPr>
        <w:t>www.virtualshareholdermeeting.com/GWRE2021</w:t>
      </w:r>
      <w:r>
        <w:rPr>
          <w:rFonts w:ascii="Arial" w:cs="Arial" w:eastAsia="Arial" w:hAnsi="Arial"/>
          <w:sz w:val="15"/>
          <w:szCs w:val="15"/>
          <w:color w:val="0E191E"/>
        </w:rPr>
        <w:t>. Technical support will be available starting at 12:30 p.m. Pacific Time, 30 minutes before the meeting start time,</w:t>
      </w:r>
      <w:r>
        <w:rPr>
          <w:rFonts w:ascii="Arial" w:cs="Arial" w:eastAsia="Arial" w:hAnsi="Arial"/>
          <w:sz w:val="15"/>
          <w:szCs w:val="15"/>
          <w:b w:val="1"/>
          <w:bCs w:val="1"/>
          <w:i w:val="1"/>
          <w:iCs w:val="1"/>
          <w:color w:val="00739D"/>
        </w:rPr>
        <w:t xml:space="preserve"> </w:t>
      </w:r>
      <w:r>
        <w:rPr>
          <w:rFonts w:ascii="Arial" w:cs="Arial" w:eastAsia="Arial" w:hAnsi="Arial"/>
          <w:sz w:val="15"/>
          <w:szCs w:val="15"/>
          <w:color w:val="0E191E"/>
        </w:rPr>
        <w:t>on December 14, 2021, and will remain available until the annual meeting has ended.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Is my vote confidential?</w:t>
      </w:r>
    </w:p>
    <w:p>
      <w:pPr>
        <w:spacing w:after="0" w:line="136" w:lineRule="exact"/>
        <w:rPr>
          <w:sz w:val="20"/>
          <w:szCs w:val="20"/>
          <w:color w:val="auto"/>
        </w:rPr>
      </w:pPr>
    </w:p>
    <w:p>
      <w:pPr>
        <w:jc w:val="both"/>
        <w:ind w:right="120"/>
        <w:spacing w:after="0" w:line="306" w:lineRule="auto"/>
        <w:rPr>
          <w:sz w:val="20"/>
          <w:szCs w:val="20"/>
          <w:color w:val="auto"/>
        </w:rPr>
      </w:pPr>
      <w:r>
        <w:rPr>
          <w:rFonts w:ascii="Arial" w:cs="Arial" w:eastAsia="Arial" w:hAnsi="Arial"/>
          <w:sz w:val="15"/>
          <w:szCs w:val="15"/>
          <w:color w:val="0E191E"/>
        </w:rPr>
        <w:t>Proxy instructions, ballots, and voting tabulations that identify individual stockholders are handled in a manner that protects your voting privacy. Your vote will not be disclosed either among our employees or to third parties, except: (1) as necessary to meet applicable legal requirements, (2) to allow for the tabulation of votes and certification of the vote, and (3) to facilitate a successful proxy solicitation. Occasionally, stockholders provide written comments on their proxy card, which are then forwarded to our management.</w:t>
      </w:r>
    </w:p>
    <w:p>
      <w:pPr>
        <w:spacing w:after="0" w:line="358"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70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00739D"/>
              </w:rPr>
              <w:t>4</w:t>
            </w:r>
          </w:p>
        </w:tc>
        <w:tc>
          <w:tcPr>
            <w:tcW w:w="1580" w:type="dxa"/>
            <w:vAlign w:val="bottom"/>
            <w:vMerge w:val="restart"/>
          </w:tcPr>
          <w:p>
            <w:pPr>
              <w:ind w:left="34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7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900" w:right="399" w:bottom="1440" w:gutter="0" w:footer="0" w:header="0"/>
        </w:sectPr>
      </w:pPr>
    </w:p>
    <w:bookmarkStart w:id="8" w:name="page9"/>
    <w:bookmarkEnd w:id="8"/>
    <w:p>
      <w:pPr>
        <w:spacing w:after="0" w:line="350" w:lineRule="auto"/>
        <w:rPr>
          <w:sz w:val="20"/>
          <w:szCs w:val="20"/>
          <w:color w:val="auto"/>
        </w:rPr>
      </w:pPr>
      <w:r>
        <w:rPr>
          <w:rFonts w:ascii="Arial" w:cs="Arial" w:eastAsia="Arial" w:hAnsi="Arial"/>
          <w:sz w:val="18"/>
          <w:szCs w:val="18"/>
          <w:b w:val="1"/>
          <w:bCs w:val="1"/>
          <w:color w:val="00739D"/>
        </w:rPr>
        <w:t>What is the difference between holding shares as a “stockholder of record” and holding shares as “beneficial owner” (or in “street name”)?</w:t>
      </w:r>
    </w:p>
    <w:p>
      <w:pPr>
        <w:spacing w:after="0" w:line="10" w:lineRule="exact"/>
        <w:rPr>
          <w:sz w:val="20"/>
          <w:szCs w:val="20"/>
          <w:color w:val="auto"/>
        </w:rPr>
      </w:pPr>
    </w:p>
    <w:p>
      <w:pPr>
        <w:ind w:right="280"/>
        <w:spacing w:after="0" w:line="317" w:lineRule="auto"/>
        <w:rPr>
          <w:sz w:val="20"/>
          <w:szCs w:val="20"/>
          <w:color w:val="auto"/>
        </w:rPr>
      </w:pPr>
      <w:r>
        <w:rPr>
          <w:rFonts w:ascii="Arial" w:cs="Arial" w:eastAsia="Arial" w:hAnsi="Arial"/>
          <w:sz w:val="15"/>
          <w:szCs w:val="15"/>
          <w:color w:val="0E191E"/>
        </w:rPr>
        <w:t>Most stockholders are considered “beneficial owners” of their shares, that is, they hold their shares through a broker, bank, or other nominee rather than directly in their own name. As summarized below, there are some distinctions between shares held of record and those owned beneficially or in “street name.”</w:t>
      </w:r>
    </w:p>
    <w:p>
      <w:pPr>
        <w:spacing w:after="0" w:line="120" w:lineRule="exact"/>
        <w:rPr>
          <w:sz w:val="20"/>
          <w:szCs w:val="20"/>
          <w:color w:val="auto"/>
        </w:rPr>
      </w:pPr>
    </w:p>
    <w:p>
      <w:pPr>
        <w:jc w:val="both"/>
        <w:ind w:right="380"/>
        <w:spacing w:after="0" w:line="321" w:lineRule="auto"/>
        <w:rPr>
          <w:sz w:val="20"/>
          <w:szCs w:val="20"/>
          <w:color w:val="auto"/>
        </w:rPr>
      </w:pPr>
      <w:r>
        <w:rPr>
          <w:rFonts w:ascii="Arial" w:cs="Arial" w:eastAsia="Arial" w:hAnsi="Arial"/>
          <w:sz w:val="15"/>
          <w:szCs w:val="15"/>
          <w:b w:val="1"/>
          <w:bCs w:val="1"/>
          <w:i w:val="1"/>
          <w:iCs w:val="1"/>
          <w:color w:val="0E191E"/>
        </w:rPr>
        <w:t xml:space="preserve">Stockholder of record: </w:t>
      </w:r>
      <w:r>
        <w:rPr>
          <w:rFonts w:ascii="Arial" w:cs="Arial" w:eastAsia="Arial" w:hAnsi="Arial"/>
          <w:sz w:val="15"/>
          <w:szCs w:val="15"/>
          <w:color w:val="0E191E"/>
        </w:rPr>
        <w:t>If your shares are registered directly in your name with our transfer agent, you are considered the “stockholder of record” with respect to</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those shares and we are sending the proxy materials directly to you. As a stockholder of record, you have the right to vote by written proxy, Internet or telephone before the annual meeting or by Internet during the annual meeting.</w:t>
      </w:r>
    </w:p>
    <w:p>
      <w:pPr>
        <w:spacing w:after="0" w:line="118"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b w:val="1"/>
          <w:bCs w:val="1"/>
          <w:i w:val="1"/>
          <w:iCs w:val="1"/>
          <w:color w:val="0E191E"/>
        </w:rPr>
        <w:t xml:space="preserve">Beneficial owner: </w:t>
      </w:r>
      <w:r>
        <w:rPr>
          <w:rFonts w:ascii="Arial" w:cs="Arial" w:eastAsia="Arial" w:hAnsi="Arial"/>
          <w:sz w:val="15"/>
          <w:szCs w:val="15"/>
          <w:color w:val="0E191E"/>
        </w:rPr>
        <w:t>If your shares are held in a stock brokerage account or by a bank or other nominee, you are considered the “beneficial owner” of shares held in</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 xml:space="preserve">street name, and these proxy materials are being forwarded to you by your broker, bank, or nominee (who is considered the stockholder of record with respect to those shares). As a beneficial owner, you have the right to direct your broker, bank, or nominee as to how to vote your shares if you follow the instructions you receive from your broker, bank, or nominee. You are also invited to attend the annual meeting. Instructions on how to participate in the annual meeting of stockholders will be included in the materials you receive from your broker, bank, or nominee and are also posted online at </w:t>
      </w:r>
      <w:r>
        <w:rPr>
          <w:rFonts w:ascii="Arial" w:cs="Arial" w:eastAsia="Arial" w:hAnsi="Arial"/>
          <w:sz w:val="15"/>
          <w:szCs w:val="15"/>
          <w:b w:val="1"/>
          <w:bCs w:val="1"/>
          <w:i w:val="1"/>
          <w:iCs w:val="1"/>
          <w:color w:val="00739D"/>
        </w:rPr>
        <w:t>www.proxyvote.com.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are the different methods that I can use to vote my shares of common stock?</w:t>
      </w:r>
    </w:p>
    <w:p>
      <w:pPr>
        <w:spacing w:after="0" w:line="118" w:lineRule="exact"/>
        <w:rPr>
          <w:sz w:val="20"/>
          <w:szCs w:val="20"/>
          <w:color w:val="auto"/>
        </w:rPr>
      </w:pPr>
    </w:p>
    <w:p>
      <w:pPr>
        <w:jc w:val="both"/>
        <w:ind w:right="120"/>
        <w:spacing w:after="0" w:line="314" w:lineRule="auto"/>
        <w:rPr>
          <w:sz w:val="20"/>
          <w:szCs w:val="20"/>
          <w:color w:val="auto"/>
        </w:rPr>
      </w:pPr>
      <w:r>
        <w:rPr>
          <w:rFonts w:ascii="Arial" w:cs="Arial" w:eastAsia="Arial" w:hAnsi="Arial"/>
          <w:sz w:val="15"/>
          <w:szCs w:val="15"/>
          <w:b w:val="1"/>
          <w:bCs w:val="1"/>
          <w:i w:val="1"/>
          <w:iCs w:val="1"/>
          <w:color w:val="0E191E"/>
        </w:rPr>
        <w:t xml:space="preserve">By Internet before the annual meeting: </w:t>
      </w:r>
      <w:r>
        <w:rPr>
          <w:rFonts w:ascii="Arial" w:cs="Arial" w:eastAsia="Arial" w:hAnsi="Arial"/>
          <w:sz w:val="15"/>
          <w:szCs w:val="15"/>
          <w:color w:val="0E191E"/>
        </w:rPr>
        <w:t>Stockholders of record can vote their shares via the Internet at</w:t>
      </w:r>
      <w:r>
        <w:rPr>
          <w:rFonts w:ascii="Arial" w:cs="Arial" w:eastAsia="Arial" w:hAnsi="Arial"/>
          <w:sz w:val="15"/>
          <w:szCs w:val="15"/>
          <w:b w:val="1"/>
          <w:bCs w:val="1"/>
          <w:i w:val="1"/>
          <w:iCs w:val="1"/>
          <w:color w:val="0E191E"/>
        </w:rPr>
        <w:t xml:space="preserve"> </w:t>
      </w:r>
      <w:r>
        <w:rPr>
          <w:rFonts w:ascii="Arial" w:cs="Arial" w:eastAsia="Arial" w:hAnsi="Arial"/>
          <w:sz w:val="15"/>
          <w:szCs w:val="15"/>
          <w:b w:val="1"/>
          <w:bCs w:val="1"/>
          <w:i w:val="1"/>
          <w:iCs w:val="1"/>
          <w:color w:val="00739D"/>
        </w:rPr>
        <w:t>www.proxyvote.com</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24 hours a day, seven days a week,</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until 11:59 p.m. Eastern Time on December 13, 2021, by using the 16-digit control number, which is on the proxy card or in the instructions accompanying the Notice of Internet Availability of Proxy Materials. Beneficial owners may vote by telephone or the Internet if their banks, brokers or nominees make those methods available, by following the instructions provided to them with the proxy materials.</w:t>
      </w:r>
    </w:p>
    <w:p>
      <w:pPr>
        <w:spacing w:after="0" w:line="123"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b w:val="1"/>
          <w:bCs w:val="1"/>
          <w:i w:val="1"/>
          <w:iCs w:val="1"/>
          <w:color w:val="0E191E"/>
        </w:rPr>
        <w:t xml:space="preserve">By written proxy, telephone, or Internet before the annual meeting: </w:t>
      </w:r>
      <w:r>
        <w:rPr>
          <w:rFonts w:ascii="Arial" w:cs="Arial" w:eastAsia="Arial" w:hAnsi="Arial"/>
          <w:sz w:val="15"/>
          <w:szCs w:val="15"/>
          <w:color w:val="0E191E"/>
        </w:rPr>
        <w:t>Stockholders of record who received printed proxy materials can vote their shares by</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 xml:space="preserve">marking, signing, and timely returning the enclosed proxy card. Beneficial owners must follow the directions provided by their broker, bank, or other nominee in order to direct such broker, bank, or nominee as to how to vote their shares. Stockholders of record who received printed proxy materials can vote their shares by telephone at 1-800-690-6903 until 11:59 p.m. Eastern Time on December 13, 2021 or via the Internet at </w:t>
      </w:r>
      <w:r>
        <w:rPr>
          <w:rFonts w:ascii="Arial" w:cs="Arial" w:eastAsia="Arial" w:hAnsi="Arial"/>
          <w:sz w:val="15"/>
          <w:szCs w:val="15"/>
          <w:b w:val="1"/>
          <w:bCs w:val="1"/>
          <w:i w:val="1"/>
          <w:iCs w:val="1"/>
          <w:color w:val="00739D"/>
        </w:rPr>
        <w:t>www.proxyvote.com</w:t>
      </w:r>
      <w:r>
        <w:rPr>
          <w:rFonts w:ascii="Arial" w:cs="Arial" w:eastAsia="Arial" w:hAnsi="Arial"/>
          <w:sz w:val="15"/>
          <w:szCs w:val="15"/>
          <w:color w:val="0E191E"/>
        </w:rPr>
        <w:t xml:space="preserve"> 24 hours a day, seven days a week, until 11:59 p.m. Eastern Time on December 13, 2021, in each case by using the 16-digit control number, which is on the proxy card or in the instructions accompanying the proxy materials. Beneficial owners may also vote by telephone or the Internet before the annual meeting if their banks, brokers, or nominees make those methods available, by following the instructions provided to them with the proxy materials.</w:t>
      </w:r>
    </w:p>
    <w:p>
      <w:pPr>
        <w:spacing w:after="0" w:line="130"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b w:val="1"/>
          <w:bCs w:val="1"/>
          <w:i w:val="1"/>
          <w:iCs w:val="1"/>
          <w:color w:val="0E191E"/>
        </w:rPr>
        <w:t xml:space="preserve">By Internet during the annual meeting: </w:t>
      </w:r>
      <w:r>
        <w:rPr>
          <w:rFonts w:ascii="Arial" w:cs="Arial" w:eastAsia="Arial" w:hAnsi="Arial"/>
          <w:sz w:val="15"/>
          <w:szCs w:val="15"/>
          <w:color w:val="0E191E"/>
        </w:rPr>
        <w:t>Stockholders of record may vote by Internet during the annual meeting at</w:t>
      </w:r>
      <w:r>
        <w:rPr>
          <w:rFonts w:ascii="Arial" w:cs="Arial" w:eastAsia="Arial" w:hAnsi="Arial"/>
          <w:sz w:val="15"/>
          <w:szCs w:val="15"/>
          <w:b w:val="1"/>
          <w:bCs w:val="1"/>
          <w:i w:val="1"/>
          <w:iCs w:val="1"/>
          <w:color w:val="0E191E"/>
        </w:rPr>
        <w:t xml:space="preserve"> </w:t>
      </w:r>
      <w:r>
        <w:rPr>
          <w:rFonts w:ascii="Arial" w:cs="Arial" w:eastAsia="Arial" w:hAnsi="Arial"/>
          <w:sz w:val="15"/>
          <w:szCs w:val="15"/>
          <w:b w:val="1"/>
          <w:bCs w:val="1"/>
          <w:i w:val="1"/>
          <w:iCs w:val="1"/>
          <w:color w:val="00739D"/>
        </w:rPr>
        <w:t>www.virtualshareholdermeeting.com/GWRE2021</w:t>
      </w:r>
      <w:r>
        <w:rPr>
          <w:rFonts w:ascii="Arial" w:cs="Arial" w:eastAsia="Arial" w:hAnsi="Arial"/>
          <w:sz w:val="15"/>
          <w:szCs w:val="15"/>
          <w:i w:val="1"/>
          <w:iCs w:val="1"/>
          <w:color w:val="0E191E"/>
        </w:rPr>
        <w:t>.</w:t>
      </w:r>
      <w:r>
        <w:rPr>
          <w:rFonts w:ascii="Arial" w:cs="Arial" w:eastAsia="Arial" w:hAnsi="Arial"/>
          <w:sz w:val="15"/>
          <w:szCs w:val="15"/>
          <w:b w:val="1"/>
          <w:bCs w:val="1"/>
          <w:i w:val="1"/>
          <w:iCs w:val="1"/>
          <w:color w:val="00739D"/>
        </w:rPr>
        <w:t xml:space="preserve"> </w:t>
      </w:r>
      <w:r>
        <w:rPr>
          <w:rFonts w:ascii="Arial" w:cs="Arial" w:eastAsia="Arial" w:hAnsi="Arial"/>
          <w:sz w:val="15"/>
          <w:szCs w:val="15"/>
          <w:color w:val="0E191E"/>
        </w:rPr>
        <w:t>Instructions on how to attend and vote during the annual meeting are described at</w:t>
      </w:r>
      <w:r>
        <w:rPr>
          <w:rFonts w:ascii="Arial" w:cs="Arial" w:eastAsia="Arial" w:hAnsi="Arial"/>
          <w:sz w:val="15"/>
          <w:szCs w:val="15"/>
          <w:b w:val="1"/>
          <w:bCs w:val="1"/>
          <w:i w:val="1"/>
          <w:iCs w:val="1"/>
          <w:color w:val="00739D"/>
        </w:rPr>
        <w:t xml:space="preserve"> www.proxyvote.com </w:t>
      </w:r>
      <w:r>
        <w:rPr>
          <w:rFonts w:ascii="Arial" w:cs="Arial" w:eastAsia="Arial" w:hAnsi="Arial"/>
          <w:sz w:val="15"/>
          <w:szCs w:val="15"/>
          <w:color w:val="0E191E"/>
        </w:rPr>
        <w:t>and</w:t>
      </w:r>
      <w:r>
        <w:rPr>
          <w:rFonts w:ascii="Arial" w:cs="Arial" w:eastAsia="Arial" w:hAnsi="Arial"/>
          <w:sz w:val="15"/>
          <w:szCs w:val="15"/>
          <w:b w:val="1"/>
          <w:bCs w:val="1"/>
          <w:i w:val="1"/>
          <w:iCs w:val="1"/>
          <w:color w:val="00739D"/>
        </w:rPr>
        <w:t xml:space="preserve"> </w:t>
      </w:r>
      <w:r>
        <w:rPr>
          <w:rFonts w:ascii="Arial" w:cs="Arial" w:eastAsia="Arial" w:hAnsi="Arial"/>
          <w:sz w:val="15"/>
          <w:szCs w:val="15"/>
          <w:color w:val="0E191E"/>
        </w:rPr>
        <w:t>stockholders will need their 16-digit control number which is on the proxy card or in the instructions accompanying the proxy materials in order to vote. Beneficial owners may not vote their shares at the annual meeting unless they request and obtain a valid proxy from the bank, broker or other nominee that holds their shares.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How many shares must be present to hold the annual meeting?</w:t>
      </w:r>
    </w:p>
    <w:p>
      <w:pPr>
        <w:spacing w:after="0" w:line="136" w:lineRule="exact"/>
        <w:rPr>
          <w:sz w:val="20"/>
          <w:szCs w:val="20"/>
          <w:color w:val="auto"/>
        </w:rPr>
      </w:pPr>
    </w:p>
    <w:p>
      <w:pPr>
        <w:ind w:right="340"/>
        <w:spacing w:after="0" w:line="317" w:lineRule="auto"/>
        <w:rPr>
          <w:sz w:val="20"/>
          <w:szCs w:val="20"/>
          <w:color w:val="auto"/>
        </w:rPr>
      </w:pPr>
      <w:r>
        <w:rPr>
          <w:rFonts w:ascii="Arial" w:cs="Arial" w:eastAsia="Arial" w:hAnsi="Arial"/>
          <w:sz w:val="15"/>
          <w:szCs w:val="15"/>
          <w:color w:val="0E191E"/>
        </w:rPr>
        <w:t>A majority of our outstanding shares as of the record date must be present at the annual meeting of stockholders in order to hold the annual meeting and conduct business. This is called a quorum.</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0E191E"/>
        </w:rPr>
        <w:t>Your shares will be counted for purposes of determining if there is a quorum, whether representing votes for, against, or abstained, or broker non-votes, if you:</w:t>
      </w:r>
    </w:p>
    <w:p>
      <w:pPr>
        <w:spacing w:after="0" w:line="152" w:lineRule="exact"/>
        <w:rPr>
          <w:sz w:val="20"/>
          <w:szCs w:val="20"/>
          <w:color w:val="auto"/>
        </w:rPr>
      </w:pPr>
    </w:p>
    <w:p>
      <w:pPr>
        <w:ind w:left="500" w:hanging="168"/>
        <w:spacing w:after="0"/>
        <w:tabs>
          <w:tab w:leader="none" w:pos="500" w:val="left"/>
        </w:tabs>
        <w:numPr>
          <w:ilvl w:val="0"/>
          <w:numId w:val="8"/>
        </w:numPr>
        <w:rPr>
          <w:rFonts w:ascii="Arial" w:cs="Arial" w:eastAsia="Arial" w:hAnsi="Arial"/>
          <w:sz w:val="15"/>
          <w:szCs w:val="15"/>
          <w:color w:val="0E191E"/>
        </w:rPr>
      </w:pPr>
      <w:r>
        <w:rPr>
          <w:rFonts w:ascii="Arial" w:cs="Arial" w:eastAsia="Arial" w:hAnsi="Arial"/>
          <w:sz w:val="15"/>
          <w:szCs w:val="15"/>
          <w:color w:val="0E191E"/>
        </w:rPr>
        <w:t>Are present and vote by Internet during the annual meeting; or</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8"/>
        </w:numPr>
        <w:rPr>
          <w:rFonts w:ascii="Arial" w:cs="Arial" w:eastAsia="Arial" w:hAnsi="Arial"/>
          <w:sz w:val="15"/>
          <w:szCs w:val="15"/>
          <w:color w:val="0E191E"/>
        </w:rPr>
      </w:pPr>
      <w:r>
        <w:rPr>
          <w:rFonts w:ascii="Arial" w:cs="Arial" w:eastAsia="Arial" w:hAnsi="Arial"/>
          <w:sz w:val="15"/>
          <w:szCs w:val="15"/>
          <w:color w:val="0E191E"/>
        </w:rPr>
        <w:t>Have voted on the Internet before the annual meeting, by telephone, or by properly submitting a proxy card or voting instruction form by mail.</w:t>
      </w:r>
    </w:p>
    <w:p>
      <w:pPr>
        <w:spacing w:after="0" w:line="206" w:lineRule="exact"/>
        <w:rPr>
          <w:sz w:val="20"/>
          <w:szCs w:val="20"/>
          <w:color w:val="auto"/>
        </w:rPr>
      </w:pPr>
    </w:p>
    <w:p>
      <w:pPr>
        <w:ind w:right="240"/>
        <w:spacing w:after="0" w:line="317" w:lineRule="auto"/>
        <w:rPr>
          <w:sz w:val="20"/>
          <w:szCs w:val="20"/>
          <w:color w:val="auto"/>
        </w:rPr>
      </w:pPr>
      <w:r>
        <w:rPr>
          <w:rFonts w:ascii="Arial" w:cs="Arial" w:eastAsia="Arial" w:hAnsi="Arial"/>
          <w:sz w:val="15"/>
          <w:szCs w:val="15"/>
          <w:color w:val="0E191E"/>
        </w:rPr>
        <w:t>If there are not enough shares present both by Internet and by timely and properly submitted proxies to constitute a quorum, the annual meeting may be adjourned until such time as a sufficient number of shares are present.</w:t>
      </w:r>
    </w:p>
    <w:p>
      <w:pPr>
        <w:spacing w:after="0" w:line="350"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70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00739D"/>
              </w:rPr>
              <w:t>5</w:t>
            </w:r>
          </w:p>
        </w:tc>
        <w:tc>
          <w:tcPr>
            <w:tcW w:w="1580" w:type="dxa"/>
            <w:vAlign w:val="bottom"/>
            <w:vMerge w:val="restart"/>
          </w:tcPr>
          <w:p>
            <w:pPr>
              <w:ind w:left="34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7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00739D"/>
        </w:rPr>
        <w:t>How are abstentions counted?</w:t>
      </w:r>
    </w:p>
    <w:p>
      <w:pPr>
        <w:spacing w:after="0" w:line="136" w:lineRule="exact"/>
        <w:rPr>
          <w:sz w:val="20"/>
          <w:szCs w:val="20"/>
          <w:color w:val="auto"/>
        </w:rPr>
      </w:pPr>
    </w:p>
    <w:p>
      <w:pPr>
        <w:ind w:right="180"/>
        <w:spacing w:after="0" w:line="306" w:lineRule="auto"/>
        <w:rPr>
          <w:sz w:val="20"/>
          <w:szCs w:val="20"/>
          <w:color w:val="auto"/>
        </w:rPr>
      </w:pPr>
      <w:r>
        <w:rPr>
          <w:rFonts w:ascii="Arial" w:cs="Arial" w:eastAsia="Arial" w:hAnsi="Arial"/>
          <w:sz w:val="15"/>
          <w:szCs w:val="15"/>
          <w:color w:val="0E191E"/>
        </w:rPr>
        <w:t>Stockholders may choose to abstain or refrain from voting their shares on one or more issues presented for a vote at the annual meeting. However, for purposes of determining the presence of a quorum, abstentions are counted as present. For the purpose of determining whether the stockholders have approved a matter, abstentions will be treated as represented and entitled to vote and, therefore, will have the same effect on the outcome of a matter being voted on at the annual meeting as a vote “AGAINST,” except in the election of directors, where abstentions will have no effect on the outcome.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if a stockholder does not provide a proxy, or if a proxy is returned, it does not specify a choice for one or more issues?</w:t>
      </w:r>
    </w:p>
    <w:p>
      <w:pPr>
        <w:spacing w:after="0" w:line="136" w:lineRule="exact"/>
        <w:rPr>
          <w:sz w:val="20"/>
          <w:szCs w:val="20"/>
          <w:color w:val="auto"/>
        </w:rPr>
      </w:pPr>
    </w:p>
    <w:p>
      <w:pPr>
        <w:ind w:right="160"/>
        <w:spacing w:after="0" w:line="308" w:lineRule="auto"/>
        <w:rPr>
          <w:sz w:val="20"/>
          <w:szCs w:val="20"/>
          <w:color w:val="auto"/>
        </w:rPr>
      </w:pPr>
      <w:r>
        <w:rPr>
          <w:rFonts w:ascii="Arial" w:cs="Arial" w:eastAsia="Arial" w:hAnsi="Arial"/>
          <w:sz w:val="15"/>
          <w:szCs w:val="15"/>
          <w:color w:val="0E191E"/>
        </w:rPr>
        <w:t>Stockholders should specify their choice for each issue to be voted upon at the annual meeting. If no proxy is returned or if a proxy is signed and returned but no specific instructions are given on one or more of the issues to be voted upon at that annual meeting, proxies will be voted in accordance with applicable rules, laws, and regulations as follows:</w:t>
      </w:r>
    </w:p>
    <w:p>
      <w:pPr>
        <w:spacing w:after="0" w:line="155" w:lineRule="exact"/>
        <w:rPr>
          <w:sz w:val="20"/>
          <w:szCs w:val="20"/>
          <w:color w:val="auto"/>
        </w:rPr>
      </w:pPr>
    </w:p>
    <w:p>
      <w:pPr>
        <w:spacing w:after="0" w:line="310" w:lineRule="auto"/>
        <w:rPr>
          <w:sz w:val="20"/>
          <w:szCs w:val="20"/>
          <w:color w:val="auto"/>
        </w:rPr>
      </w:pPr>
      <w:r>
        <w:rPr>
          <w:rFonts w:ascii="Arial" w:cs="Arial" w:eastAsia="Arial" w:hAnsi="Arial"/>
          <w:sz w:val="15"/>
          <w:szCs w:val="15"/>
          <w:b w:val="1"/>
          <w:bCs w:val="1"/>
          <w:i w:val="1"/>
          <w:iCs w:val="1"/>
          <w:color w:val="0E191E"/>
        </w:rPr>
        <w:t xml:space="preserve">Stockholders of Record. </w:t>
      </w:r>
      <w:r>
        <w:rPr>
          <w:rFonts w:ascii="Arial" w:cs="Arial" w:eastAsia="Arial" w:hAnsi="Arial"/>
          <w:sz w:val="15"/>
          <w:szCs w:val="15"/>
          <w:color w:val="0E191E"/>
        </w:rPr>
        <w:t>If you are a stockholder of record and you do not return a proxy or attend and vote at the annual meeting, your shares will not be voted at</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our annual meeting and your shares will not be counted for purposes of determining whether a quorum exists for the annual meeting. If you do return a signed proxy but you fail to specify how your shares should be voted on one or more issues to be voted upon at the annual meeting, then to the extent you did not specify a choice, your shares will be voted: (i) FOR Proposal One for the election of all of the director nominees; (ii) FOR Proposal Two ratifying the selection of KPMG LLP as our independent registered public accounting firm; (iii) FOR Proposal Three approving, on an advisory basis, the compensation of our named executive officers, as disclosed in this proxy statement, and (iv) FOR Proposal Four approving the amendment and restatement of our certificate of incorporation to remove the supermajority voting provision therein.</w:t>
      </w:r>
    </w:p>
    <w:p>
      <w:pPr>
        <w:spacing w:after="0" w:line="128"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b w:val="1"/>
          <w:bCs w:val="1"/>
          <w:i w:val="1"/>
          <w:iCs w:val="1"/>
          <w:color w:val="0E191E"/>
        </w:rPr>
        <w:t xml:space="preserve">Beneficial Owners. </w:t>
      </w:r>
      <w:r>
        <w:rPr>
          <w:rFonts w:ascii="Arial" w:cs="Arial" w:eastAsia="Arial" w:hAnsi="Arial"/>
          <w:sz w:val="15"/>
          <w:szCs w:val="15"/>
          <w:color w:val="0E191E"/>
        </w:rPr>
        <w:t>If you are a beneficial owner and (i) you do not provide your broker or other nominee who holds your shares with voting instructions, (ii) you do</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not request, obtain, and return a valid proxy from the organization that holds your shares giving you the right to vote the shares at our annual meeting, or (iii) you do provide a voting instruction card or a valid proxy card but you fail to specify your voting instructions on one or more of the issues to be voted upon at our annual meeting, under applicable rules, your broker or other nominee may exercise discretionary authority to vote your shares on routine proposals, but may not vote your shares on non-routine proposals.</w:t>
      </w:r>
    </w:p>
    <w:p>
      <w:pPr>
        <w:spacing w:after="0" w:line="146" w:lineRule="exact"/>
        <w:rPr>
          <w:sz w:val="20"/>
          <w:szCs w:val="20"/>
          <w:color w:val="auto"/>
        </w:rPr>
      </w:pPr>
    </w:p>
    <w:p>
      <w:pPr>
        <w:jc w:val="both"/>
        <w:ind w:right="180"/>
        <w:spacing w:after="0" w:line="308" w:lineRule="auto"/>
        <w:rPr>
          <w:sz w:val="20"/>
          <w:szCs w:val="20"/>
          <w:color w:val="auto"/>
        </w:rPr>
      </w:pPr>
      <w:r>
        <w:rPr>
          <w:rFonts w:ascii="Arial" w:cs="Arial" w:eastAsia="Arial" w:hAnsi="Arial"/>
          <w:sz w:val="15"/>
          <w:szCs w:val="15"/>
          <w:color w:val="0E191E"/>
        </w:rPr>
        <w:t>The shares that cannot be voted by brokers and other nominees on non-routine matters, but are represented at the annual meeting, will be deemed present at our annual meeting for purposes of determining whether the necessary quorum exists to proceed with the annual meeting, but will not be considered entitled to vote on the non-routine proposals.</w:t>
      </w:r>
    </w:p>
    <w:p>
      <w:pPr>
        <w:spacing w:after="0" w:line="128" w:lineRule="exact"/>
        <w:rPr>
          <w:sz w:val="20"/>
          <w:szCs w:val="20"/>
          <w:color w:val="auto"/>
        </w:rPr>
      </w:pPr>
    </w:p>
    <w:p>
      <w:pPr>
        <w:ind w:right="240"/>
        <w:spacing w:after="0" w:line="342" w:lineRule="auto"/>
        <w:rPr>
          <w:sz w:val="20"/>
          <w:szCs w:val="20"/>
          <w:color w:val="auto"/>
        </w:rPr>
      </w:pPr>
      <w:r>
        <w:rPr>
          <w:rFonts w:ascii="Arial" w:cs="Arial" w:eastAsia="Arial" w:hAnsi="Arial"/>
          <w:sz w:val="15"/>
          <w:szCs w:val="15"/>
          <w:color w:val="0E191E"/>
        </w:rPr>
        <w:t xml:space="preserve">We believe that under applicable rules Proposal Two: </w:t>
      </w:r>
      <w:r>
        <w:rPr>
          <w:rFonts w:ascii="Arial" w:cs="Arial" w:eastAsia="Arial" w:hAnsi="Arial"/>
          <w:sz w:val="15"/>
          <w:szCs w:val="15"/>
          <w:b w:val="1"/>
          <w:bCs w:val="1"/>
          <w:i w:val="1"/>
          <w:iCs w:val="1"/>
          <w:color w:val="0E191E"/>
        </w:rPr>
        <w:t>Ratification of Appointment of Independent Registered Public Accounting Firm</w:t>
      </w:r>
      <w:r>
        <w:rPr>
          <w:rFonts w:ascii="Arial" w:cs="Arial" w:eastAsia="Arial" w:hAnsi="Arial"/>
          <w:sz w:val="15"/>
          <w:szCs w:val="15"/>
          <w:color w:val="0E191E"/>
        </w:rPr>
        <w:t xml:space="preserve"> is considered a routine matter for which brokerage firms may vote shares that are held in the name of brokerage firms and which are not voted by the applicable beneficial owners.</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0E191E"/>
        </w:rPr>
        <w:t xml:space="preserve">However, we believe that Proposal One: </w:t>
      </w:r>
      <w:r>
        <w:rPr>
          <w:rFonts w:ascii="Arial" w:cs="Arial" w:eastAsia="Arial" w:hAnsi="Arial"/>
          <w:sz w:val="15"/>
          <w:szCs w:val="15"/>
          <w:b w:val="1"/>
          <w:bCs w:val="1"/>
          <w:i w:val="1"/>
          <w:iCs w:val="1"/>
          <w:color w:val="0E191E"/>
        </w:rPr>
        <w:t>Election of Directors,</w:t>
      </w:r>
      <w:r>
        <w:rPr>
          <w:rFonts w:ascii="Arial" w:cs="Arial" w:eastAsia="Arial" w:hAnsi="Arial"/>
          <w:sz w:val="15"/>
          <w:szCs w:val="15"/>
          <w:color w:val="0E191E"/>
        </w:rPr>
        <w:t xml:space="preserve"> Proposal Three</w:t>
      </w:r>
      <w:r>
        <w:rPr>
          <w:rFonts w:ascii="Arial" w:cs="Arial" w:eastAsia="Arial" w:hAnsi="Arial"/>
          <w:sz w:val="15"/>
          <w:szCs w:val="15"/>
          <w:i w:val="1"/>
          <w:iCs w:val="1"/>
          <w:color w:val="0E191E"/>
        </w:rPr>
        <w:t>:</w:t>
      </w:r>
      <w:r>
        <w:rPr>
          <w:rFonts w:ascii="Arial" w:cs="Arial" w:eastAsia="Arial" w:hAnsi="Arial"/>
          <w:sz w:val="15"/>
          <w:szCs w:val="15"/>
          <w:color w:val="0E191E"/>
        </w:rPr>
        <w:t xml:space="preserve"> </w:t>
      </w:r>
      <w:r>
        <w:rPr>
          <w:rFonts w:ascii="Arial" w:cs="Arial" w:eastAsia="Arial" w:hAnsi="Arial"/>
          <w:sz w:val="15"/>
          <w:szCs w:val="15"/>
          <w:b w:val="1"/>
          <w:bCs w:val="1"/>
          <w:i w:val="1"/>
          <w:iCs w:val="1"/>
          <w:color w:val="0E191E"/>
        </w:rPr>
        <w:t>Non-binding, advisory vote on compensation of named executive officers,</w:t>
      </w:r>
      <w:r>
        <w:rPr>
          <w:rFonts w:ascii="Arial" w:cs="Arial" w:eastAsia="Arial" w:hAnsi="Arial"/>
          <w:sz w:val="15"/>
          <w:szCs w:val="15"/>
          <w:color w:val="0E191E"/>
        </w:rPr>
        <w:t xml:space="preserve"> and</w:t>
      </w:r>
    </w:p>
    <w:p>
      <w:pPr>
        <w:spacing w:after="0" w:line="71" w:lineRule="exact"/>
        <w:rPr>
          <w:sz w:val="20"/>
          <w:szCs w:val="20"/>
          <w:color w:val="auto"/>
        </w:rPr>
      </w:pPr>
    </w:p>
    <w:p>
      <w:pPr>
        <w:ind w:right="300"/>
        <w:spacing w:after="0" w:line="360" w:lineRule="auto"/>
        <w:rPr>
          <w:sz w:val="20"/>
          <w:szCs w:val="20"/>
          <w:color w:val="auto"/>
        </w:rPr>
      </w:pPr>
      <w:r>
        <w:rPr>
          <w:rFonts w:ascii="Arial" w:cs="Arial" w:eastAsia="Arial" w:hAnsi="Arial"/>
          <w:sz w:val="15"/>
          <w:szCs w:val="15"/>
          <w:color w:val="0E191E"/>
        </w:rPr>
        <w:t xml:space="preserve">Proposal Four: </w:t>
      </w:r>
      <w:r>
        <w:rPr>
          <w:rFonts w:ascii="Arial" w:cs="Arial" w:eastAsia="Arial" w:hAnsi="Arial"/>
          <w:sz w:val="15"/>
          <w:szCs w:val="15"/>
          <w:b w:val="1"/>
          <w:bCs w:val="1"/>
          <w:i w:val="1"/>
          <w:iCs w:val="1"/>
          <w:color w:val="0E191E"/>
        </w:rPr>
        <w:t>Amendment and restatement of our certificate of incorporation to remove the supermajority voting provision therein</w:t>
      </w:r>
      <w:r>
        <w:rPr>
          <w:rFonts w:ascii="Arial" w:cs="Arial" w:eastAsia="Arial" w:hAnsi="Arial"/>
          <w:sz w:val="15"/>
          <w:szCs w:val="15"/>
          <w:color w:val="0E191E"/>
        </w:rPr>
        <w:t xml:space="preserve"> are considered non-routine matters under applicable rules. Accordingly, brokers or other nominees cannot vote on these proposals without instructions from beneficial owners.</w:t>
      </w:r>
    </w:p>
    <w:p>
      <w:pPr>
        <w:spacing w:after="0" w:line="320"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70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00739D"/>
              </w:rPr>
              <w:t>6</w:t>
            </w:r>
          </w:p>
        </w:tc>
        <w:tc>
          <w:tcPr>
            <w:tcW w:w="1580" w:type="dxa"/>
            <w:vAlign w:val="bottom"/>
            <w:vMerge w:val="restart"/>
          </w:tcPr>
          <w:p>
            <w:pPr>
              <w:ind w:left="34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7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900"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00739D"/>
        </w:rPr>
        <w:t>What is the voting requirement to approve each of the proposals?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0E191E"/>
        </w:rPr>
        <w:t>The following table sets forth the voting requirement with respect to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2160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16027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Proposal One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FFFFFF"/>
        </w:rPr>
        <w:t>Election of directors</w:t>
      </w:r>
    </w:p>
    <w:p>
      <w:pPr>
        <w:spacing w:after="0" w:line="27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Proposal Two</w:t>
      </w:r>
    </w:p>
    <w:p>
      <w:pPr>
        <w:spacing w:after="0" w:line="69" w:lineRule="exact"/>
        <w:rPr>
          <w:sz w:val="20"/>
          <w:szCs w:val="20"/>
          <w:color w:val="auto"/>
        </w:rPr>
      </w:pPr>
    </w:p>
    <w:p>
      <w:pPr>
        <w:ind w:left="100"/>
        <w:spacing w:after="0" w:line="297" w:lineRule="auto"/>
        <w:rPr>
          <w:sz w:val="20"/>
          <w:szCs w:val="20"/>
          <w:color w:val="auto"/>
        </w:rPr>
      </w:pPr>
      <w:r>
        <w:rPr>
          <w:rFonts w:ascii="Arial" w:cs="Arial" w:eastAsia="Arial" w:hAnsi="Arial"/>
          <w:sz w:val="13"/>
          <w:szCs w:val="13"/>
          <w:b w:val="1"/>
          <w:bCs w:val="1"/>
          <w:color w:val="FFFFFF"/>
        </w:rPr>
        <w:t>Ratification of appointment of independent registered public accounting firm</w:t>
      </w:r>
    </w:p>
    <w:p>
      <w:pPr>
        <w:spacing w:after="0" w:line="20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Proposal Three</w:t>
      </w:r>
    </w:p>
    <w:p>
      <w:pPr>
        <w:spacing w:after="0" w:line="69" w:lineRule="exact"/>
        <w:rPr>
          <w:sz w:val="20"/>
          <w:szCs w:val="20"/>
          <w:color w:val="auto"/>
        </w:rPr>
      </w:pPr>
    </w:p>
    <w:p>
      <w:pPr>
        <w:ind w:left="100" w:right="20"/>
        <w:spacing w:after="0" w:line="283" w:lineRule="auto"/>
        <w:rPr>
          <w:sz w:val="20"/>
          <w:szCs w:val="20"/>
          <w:color w:val="auto"/>
        </w:rPr>
      </w:pPr>
      <w:r>
        <w:rPr>
          <w:rFonts w:ascii="Arial" w:cs="Arial" w:eastAsia="Arial" w:hAnsi="Arial"/>
          <w:sz w:val="13"/>
          <w:szCs w:val="13"/>
          <w:b w:val="1"/>
          <w:bCs w:val="1"/>
          <w:color w:val="FFFFFF"/>
        </w:rPr>
        <w:t>Non-binding advisory vote to approve the compensation of the Company's named executive officers</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Proposal Four</w:t>
      </w:r>
    </w:p>
    <w:p>
      <w:pPr>
        <w:spacing w:after="0" w:line="69" w:lineRule="exact"/>
        <w:rPr>
          <w:sz w:val="20"/>
          <w:szCs w:val="20"/>
          <w:color w:val="auto"/>
        </w:rPr>
      </w:pPr>
    </w:p>
    <w:p>
      <w:pPr>
        <w:ind w:left="100" w:right="60"/>
        <w:spacing w:after="0" w:line="283" w:lineRule="auto"/>
        <w:rPr>
          <w:sz w:val="20"/>
          <w:szCs w:val="20"/>
          <w:color w:val="auto"/>
        </w:rPr>
      </w:pPr>
      <w:r>
        <w:rPr>
          <w:rFonts w:ascii="Arial" w:cs="Arial" w:eastAsia="Arial" w:hAnsi="Arial"/>
          <w:sz w:val="13"/>
          <w:szCs w:val="13"/>
          <w:b w:val="1"/>
          <w:bCs w:val="1"/>
          <w:color w:val="FFFFFF"/>
        </w:rPr>
        <w:t>Amendment and restatement of our certificate of incorporation to remove the supermajority voting provision therein</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40"/>
        <w:spacing w:after="0" w:line="265" w:lineRule="auto"/>
        <w:rPr>
          <w:sz w:val="20"/>
          <w:szCs w:val="20"/>
          <w:color w:val="auto"/>
        </w:rPr>
      </w:pPr>
      <w:r>
        <w:rPr>
          <w:rFonts w:ascii="Arial" w:cs="Arial" w:eastAsia="Arial" w:hAnsi="Arial"/>
          <w:sz w:val="13"/>
          <w:szCs w:val="13"/>
          <w:color w:val="0E191E"/>
        </w:rPr>
        <w:t>Each director must be elected by a majority of the votes cast; meaning that each director must receive more “FOR” votes (among votes properly cast at the annual meeting or by proxy) than “AGAINST” votes. Abstentions and broker non-votes will not affect the outcome of the vote. If the votes cast for any nominee do not exceed the votes cast against the nominee, our board of directors will consider whether to accept or reject such director's resignation, which is tendered to our board of directors pursuant to our amended and restated bylaws and corporate governance guidelines.</w:t>
      </w:r>
    </w:p>
    <w:p>
      <w:pPr>
        <w:spacing w:after="0" w:line="120" w:lineRule="exact"/>
        <w:rPr>
          <w:sz w:val="20"/>
          <w:szCs w:val="20"/>
          <w:color w:val="auto"/>
        </w:rPr>
      </w:pPr>
    </w:p>
    <w:p>
      <w:pPr>
        <w:ind w:right="200"/>
        <w:spacing w:after="0" w:line="266" w:lineRule="auto"/>
        <w:rPr>
          <w:sz w:val="20"/>
          <w:szCs w:val="20"/>
          <w:color w:val="auto"/>
        </w:rPr>
      </w:pPr>
      <w:r>
        <w:rPr>
          <w:rFonts w:ascii="Arial" w:cs="Arial" w:eastAsia="Arial" w:hAnsi="Arial"/>
          <w:sz w:val="13"/>
          <w:szCs w:val="13"/>
          <w:color w:val="0E191E"/>
        </w:rPr>
        <w:t>To be approved by our stockholders, a majority of the shares represented at the annual meeting and entitled to vote on the subject matter must vote “FOR” this proposal. Abstentions are considered shares present and entitled to vote on this proposal, and thus, will have the same effect as a vote “AGAINST” this proposal. Broker non-votes are not considered entitled to vote and, thus, will have no effect on the outcome of the vote.</w:t>
      </w:r>
    </w:p>
    <w:p>
      <w:pPr>
        <w:spacing w:after="0" w:line="188" w:lineRule="exact"/>
        <w:rPr>
          <w:sz w:val="20"/>
          <w:szCs w:val="20"/>
          <w:color w:val="auto"/>
        </w:rPr>
      </w:pPr>
    </w:p>
    <w:p>
      <w:pPr>
        <w:ind w:right="200"/>
        <w:spacing w:after="0" w:line="266" w:lineRule="auto"/>
        <w:rPr>
          <w:sz w:val="20"/>
          <w:szCs w:val="20"/>
          <w:color w:val="auto"/>
        </w:rPr>
      </w:pPr>
      <w:r>
        <w:rPr>
          <w:rFonts w:ascii="Arial" w:cs="Arial" w:eastAsia="Arial" w:hAnsi="Arial"/>
          <w:sz w:val="13"/>
          <w:szCs w:val="13"/>
          <w:color w:val="0E191E"/>
        </w:rPr>
        <w:t>To be approved by our stockholders, a majority of the shares represented at the annual meeting and entitled to vote on the subject matter must vote “FOR” this proposal. Abstentions are considered shares present and entitled to vote on this proposal, and thus, will have the same effect as a vote “AGAINST” this proposal. Broker non-votes are not considered entitled to vote and, thus, will have no effect on the outcome of the vote.</w:t>
      </w:r>
    </w:p>
    <w:p>
      <w:pPr>
        <w:spacing w:after="0" w:line="282" w:lineRule="exact"/>
        <w:rPr>
          <w:sz w:val="20"/>
          <w:szCs w:val="20"/>
          <w:color w:val="auto"/>
        </w:rPr>
      </w:pPr>
    </w:p>
    <w:p>
      <w:pPr>
        <w:ind w:right="100"/>
        <w:spacing w:after="0" w:line="248" w:lineRule="auto"/>
        <w:rPr>
          <w:sz w:val="20"/>
          <w:szCs w:val="20"/>
          <w:color w:val="auto"/>
        </w:rPr>
      </w:pPr>
      <w:r>
        <w:rPr>
          <w:rFonts w:ascii="Arial" w:cs="Arial" w:eastAsia="Arial" w:hAnsi="Arial"/>
          <w:sz w:val="13"/>
          <w:szCs w:val="13"/>
          <w:color w:val="0E191E"/>
        </w:rPr>
        <w:t>To be approved by our stockholders, the holders of at least sixty-six and two-thirds percent (66 2/3%) of the voting power of the outstanding shares of capital stock of the Company entitled to vote generally in the election of directors must vote “FOR” this proposal. Abstentions and broker non-votes will have the same effect as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109220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0" w:lineRule="exact"/>
        <w:rPr>
          <w:sz w:val="20"/>
          <w:szCs w:val="20"/>
          <w:color w:val="auto"/>
        </w:rPr>
      </w:pPr>
    </w:p>
    <w:p>
      <w:pPr>
        <w:sectPr>
          <w:pgSz w:w="11900" w:h="16838" w:orient="portrait"/>
          <w:cols w:equalWidth="0" w:num="2">
            <w:col w:w="2800" w:space="300"/>
            <w:col w:w="8120"/>
          </w:cols>
          <w:pgMar w:left="320" w:top="900" w:right="35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How do I change or revoke my proxy?</w:t>
      </w:r>
    </w:p>
    <w:p>
      <w:pPr>
        <w:spacing w:after="0" w:line="136" w:lineRule="exact"/>
        <w:rPr>
          <w:sz w:val="20"/>
          <w:szCs w:val="20"/>
          <w:color w:val="auto"/>
        </w:rPr>
      </w:pPr>
    </w:p>
    <w:p>
      <w:pPr>
        <w:spacing w:after="0" w:line="306" w:lineRule="auto"/>
        <w:rPr>
          <w:sz w:val="20"/>
          <w:szCs w:val="20"/>
          <w:color w:val="auto"/>
        </w:rPr>
      </w:pPr>
      <w:r>
        <w:rPr>
          <w:rFonts w:ascii="Arial" w:cs="Arial" w:eastAsia="Arial" w:hAnsi="Arial"/>
          <w:sz w:val="15"/>
          <w:szCs w:val="15"/>
          <w:color w:val="0E191E"/>
        </w:rPr>
        <w:t>You may revoke your proxy and change your vote at any time before the final vote at the annual meeting. You may vote again on a later date on the Internet or by telephone (only your latest Internet or telephone proxy submitted prior to the annual meeting will be counted), or by signing and returning a new proxy card with a later date, or by attending the annual meeting and voting by Internet during the meeting. However, your attendance at the annual meeting will not automatically revoke your proxy unless you vote again at the annual meeting or specifically request in writing that your prior proxy be revoked.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does it mean if I receive more than one proxy card?</w:t>
      </w:r>
    </w:p>
    <w:p>
      <w:pPr>
        <w:spacing w:after="0" w:line="136" w:lineRule="exact"/>
        <w:rPr>
          <w:sz w:val="20"/>
          <w:szCs w:val="20"/>
          <w:color w:val="auto"/>
        </w:rPr>
      </w:pPr>
    </w:p>
    <w:p>
      <w:pPr>
        <w:ind w:right="120"/>
        <w:spacing w:after="0" w:line="317" w:lineRule="auto"/>
        <w:rPr>
          <w:sz w:val="20"/>
          <w:szCs w:val="20"/>
          <w:color w:val="auto"/>
        </w:rPr>
      </w:pPr>
      <w:r>
        <w:rPr>
          <w:rFonts w:ascii="Arial" w:cs="Arial" w:eastAsia="Arial" w:hAnsi="Arial"/>
          <w:sz w:val="15"/>
          <w:szCs w:val="15"/>
          <w:color w:val="0E191E"/>
        </w:rPr>
        <w:t>It means that your shares are registered differently or you have multiple accounts. Please vote all of these shares separately to ensure all of the shares you hold are voted.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How can stockholders submit a proposal for inclusion in our proxy statement for the 2022 annual meeting?</w:t>
      </w:r>
    </w:p>
    <w:p>
      <w:pPr>
        <w:spacing w:after="0" w:line="136" w:lineRule="exact"/>
        <w:rPr>
          <w:sz w:val="20"/>
          <w:szCs w:val="20"/>
          <w:color w:val="auto"/>
        </w:rPr>
      </w:pPr>
    </w:p>
    <w:p>
      <w:pPr>
        <w:ind w:right="180"/>
        <w:spacing w:after="0" w:line="306" w:lineRule="auto"/>
        <w:rPr>
          <w:sz w:val="20"/>
          <w:szCs w:val="20"/>
          <w:color w:val="auto"/>
        </w:rPr>
      </w:pPr>
      <w:r>
        <w:rPr>
          <w:rFonts w:ascii="Arial" w:cs="Arial" w:eastAsia="Arial" w:hAnsi="Arial"/>
          <w:sz w:val="15"/>
          <w:szCs w:val="15"/>
          <w:color w:val="0E191E"/>
        </w:rPr>
        <w:t>To be included in our proxy statement for the 2022 annual meeting, stockholder proposals must comply with the requirements of Rule 14a-8 under the Securities Exchange Act of 1934, as amended (the “Exchange Act”), and be received by our Secretary at our principal executive offices by mail at 2850 S. Delaware Street, Suite 400, San Mateo, California 94403 no later than July 6, 2022, which is one hundred twenty (120) calendar days before the one-year anniversary of the date on which we first released this proxy statement to stockholders in connection with this year's annual meeting.</w:t>
      </w:r>
    </w:p>
    <w:p>
      <w:pPr>
        <w:spacing w:after="0" w:line="146" w:lineRule="exact"/>
        <w:rPr>
          <w:sz w:val="20"/>
          <w:szCs w:val="20"/>
          <w:color w:val="auto"/>
        </w:rPr>
      </w:pPr>
    </w:p>
    <w:p>
      <w:pPr>
        <w:jc w:val="both"/>
        <w:ind w:right="220"/>
        <w:spacing w:after="0" w:line="308" w:lineRule="auto"/>
        <w:rPr>
          <w:sz w:val="20"/>
          <w:szCs w:val="20"/>
          <w:color w:val="auto"/>
        </w:rPr>
      </w:pPr>
      <w:r>
        <w:rPr>
          <w:rFonts w:ascii="Arial" w:cs="Arial" w:eastAsia="Arial" w:hAnsi="Arial"/>
          <w:sz w:val="15"/>
          <w:szCs w:val="15"/>
          <w:color w:val="0E191E"/>
        </w:rPr>
        <w:t xml:space="preserve">We intend to file a proxy statement and WHITE proxy card with the SEC in connection with our solicitation of proxies for our 2022 annual meeting of stockholders. Stockholders may obtain our proxy statement (and any amendments and supplements thereto) and other documents as and when filed by us with the SEC without charge from the SEC’s website at </w:t>
      </w:r>
      <w:r>
        <w:rPr>
          <w:rFonts w:ascii="Arial" w:cs="Arial" w:eastAsia="Arial" w:hAnsi="Arial"/>
          <w:sz w:val="15"/>
          <w:szCs w:val="15"/>
          <w:i w:val="1"/>
          <w:iCs w:val="1"/>
          <w:color w:val="0E191E"/>
        </w:rPr>
        <w:t>www.sec.gov.</w:t>
      </w:r>
    </w:p>
    <w:p>
      <w:pPr>
        <w:spacing w:after="0" w:line="127" w:lineRule="exact"/>
        <w:rPr>
          <w:sz w:val="20"/>
          <w:szCs w:val="20"/>
          <w:color w:val="auto"/>
        </w:rPr>
      </w:pPr>
    </w:p>
    <w:p>
      <w:pPr>
        <w:ind w:right="260"/>
        <w:spacing w:after="0" w:line="350" w:lineRule="auto"/>
        <w:rPr>
          <w:sz w:val="20"/>
          <w:szCs w:val="20"/>
          <w:color w:val="auto"/>
        </w:rPr>
      </w:pPr>
      <w:r>
        <w:rPr>
          <w:rFonts w:ascii="Arial" w:cs="Arial" w:eastAsia="Arial" w:hAnsi="Arial"/>
          <w:sz w:val="18"/>
          <w:szCs w:val="18"/>
          <w:b w:val="1"/>
          <w:bCs w:val="1"/>
          <w:color w:val="00739D"/>
        </w:rPr>
        <w:t>How can stockholders submit proposals to be raised at the 2022 annual meeting that will not be included in our proxy statement for the 2022 annual meeting?</w:t>
      </w:r>
    </w:p>
    <w:p>
      <w:pPr>
        <w:spacing w:after="0" w:line="10"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0E191E"/>
        </w:rPr>
        <w:t>To be raised at the 2022 annual meeting, stockholder proposals must comply with our bylaws. Under our bylaws, a stockholder must give advance notice to our Secretary of any business, including nominations of candidates for election as directors to our board that the stockholder wishes to raise at our annual meeting. To be timely, the notice must be delivered to or mailed and received by our Secretary at our principal executive offices by mail at 2850 S. Delaware St., Suite 400, San Mateo, California</w:t>
      </w:r>
    </w:p>
    <w:p>
      <w:pPr>
        <w:spacing w:after="0" w:line="358"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70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00739D"/>
              </w:rPr>
              <w:t>7</w:t>
            </w:r>
          </w:p>
        </w:tc>
        <w:tc>
          <w:tcPr>
            <w:tcW w:w="1580" w:type="dxa"/>
            <w:vAlign w:val="bottom"/>
            <w:vMerge w:val="restart"/>
          </w:tcPr>
          <w:p>
            <w:pPr>
              <w:ind w:left="34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7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900" w:right="359" w:bottom="1440" w:gutter="0" w:footer="0" w:header="0"/>
          <w:type w:val="continuous"/>
        </w:sectPr>
      </w:pPr>
    </w:p>
    <w:bookmarkStart w:id="11" w:name="page12"/>
    <w:bookmarkEnd w:id="11"/>
    <w:p>
      <w:pPr>
        <w:ind w:right="140"/>
        <w:spacing w:after="0" w:line="306" w:lineRule="auto"/>
        <w:rPr>
          <w:sz w:val="20"/>
          <w:szCs w:val="20"/>
          <w:color w:val="auto"/>
        </w:rPr>
      </w:pPr>
      <w:r>
        <w:rPr>
          <w:rFonts w:ascii="Arial" w:cs="Arial" w:eastAsia="Arial" w:hAnsi="Arial"/>
          <w:sz w:val="15"/>
          <w:szCs w:val="15"/>
          <w:color w:val="0E191E"/>
        </w:rPr>
        <w:t>94403 not later than the close of business on the 90th day, nor earlier than the close of business on the 120th day, prior to the anniversary date of the date on which we first mailed our proxy materials or a notice of availability of proxy materials (whichever is earlier) in connection with this year's annual meeting. Since our proxy materials were first distributed on November 3, 2021, stockholder proposals must be received by our Secretary by mail at our principal executive offices no earlier than July 6, 2022 and no later than August 5, 2022, in order to be raised at our 2022 annual meeting.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if the date of the 2022 annual meeting changes by more than 30 days from the anniversary of this year's annual meeting?</w:t>
      </w:r>
    </w:p>
    <w:p>
      <w:pPr>
        <w:spacing w:after="0" w:line="136" w:lineRule="exact"/>
        <w:rPr>
          <w:sz w:val="20"/>
          <w:szCs w:val="20"/>
          <w:color w:val="auto"/>
        </w:rPr>
      </w:pPr>
    </w:p>
    <w:p>
      <w:pPr>
        <w:ind w:right="180"/>
        <w:spacing w:after="0" w:line="317" w:lineRule="auto"/>
        <w:rPr>
          <w:sz w:val="20"/>
          <w:szCs w:val="20"/>
          <w:color w:val="auto"/>
        </w:rPr>
      </w:pPr>
      <w:r>
        <w:rPr>
          <w:rFonts w:ascii="Arial" w:cs="Arial" w:eastAsia="Arial" w:hAnsi="Arial"/>
          <w:sz w:val="15"/>
          <w:szCs w:val="15"/>
          <w:color w:val="0E191E"/>
        </w:rPr>
        <w:t>Under Rule 14a-8 of the Exchange Act, if the date of the 2022 annual meeting changes by more than 30 days from the anniversary of this year's annual meeting, to be included in our proxy statement, stockholder proposals must be received by us within a reasonable time before our solicitation is made.</w:t>
      </w:r>
    </w:p>
    <w:p>
      <w:pPr>
        <w:spacing w:after="0" w:line="138"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0E191E"/>
        </w:rPr>
        <w:t>Under our bylaws, if the date of the 2022 annual meeting is advanced by more than 30 days or delayed by more than 60 days from the anniversary of this year's annual meeting, stockholder proposals to be brought before the 2022 annual meeting must be received no earlier than the close of business on the 120th day prior to such annual meeting nor later than the close of business on the later of (i) the 90th day prior to such annual meeting or (ii) the 10th day following the day on which public disclosure of the date of the annual meeting was made.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Does a stockholder proposal require specific information?</w:t>
      </w:r>
    </w:p>
    <w:p>
      <w:pPr>
        <w:spacing w:after="0" w:line="136" w:lineRule="exact"/>
        <w:rPr>
          <w:sz w:val="20"/>
          <w:szCs w:val="20"/>
          <w:color w:val="auto"/>
        </w:rPr>
      </w:pPr>
    </w:p>
    <w:p>
      <w:pPr>
        <w:ind w:right="100"/>
        <w:spacing w:after="0" w:line="303" w:lineRule="auto"/>
        <w:rPr>
          <w:sz w:val="20"/>
          <w:szCs w:val="20"/>
          <w:color w:val="auto"/>
        </w:rPr>
      </w:pPr>
      <w:r>
        <w:rPr>
          <w:rFonts w:ascii="Arial" w:cs="Arial" w:eastAsia="Arial" w:hAnsi="Arial"/>
          <w:sz w:val="15"/>
          <w:szCs w:val="15"/>
          <w:color w:val="0E191E"/>
        </w:rPr>
        <w:t xml:space="preserve">With respect to a stockholder's nomination of a candidate for our board of directors, the stockholder notice to the Secretary must contain certain information as set forth in our bylaws about both the nominee and the stockholder making the nomination. With respect to any other business that the stockholder proposes, the stockholder notice must contain a brief description of such business and the reasons for conducting such business at the annual meeting, as well as certain other information as set forth in our bylaws. If you wish to bring a stockholder proposal or nominate a candidate for director, you are advised to review our bylaws, which contain additional requirements about advance notice of stockholder proposals and director nominations. Our current bylaws may be found on our corporate website at </w:t>
      </w:r>
      <w:r>
        <w:rPr>
          <w:rFonts w:ascii="Arial" w:cs="Arial" w:eastAsia="Arial" w:hAnsi="Arial"/>
          <w:sz w:val="15"/>
          <w:szCs w:val="15"/>
          <w:i w:val="1"/>
          <w:iCs w:val="1"/>
          <w:color w:val="0E191E"/>
        </w:rPr>
        <w:t>www.guidewire.com</w:t>
      </w:r>
      <w:r>
        <w:rPr>
          <w:rFonts w:ascii="Arial" w:cs="Arial" w:eastAsia="Arial" w:hAnsi="Arial"/>
          <w:sz w:val="15"/>
          <w:szCs w:val="15"/>
          <w:color w:val="0E191E"/>
        </w:rPr>
        <w:t xml:space="preserve"> under the headings “About/Investor Relations/Corporate Governance.”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happens if we receive a stockholder proposal that is not in compliance with the time frames described above?</w:t>
      </w:r>
    </w:p>
    <w:p>
      <w:pPr>
        <w:spacing w:after="0" w:line="136"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0E191E"/>
        </w:rPr>
        <w:t>If we receive notice of a matter to come before the 2022 annual meeting that is not in accordance with the deadlines described above, we will use our discretion in determining whether or not to bring such matter before such meeting. If such matter is brought before such meeting, then our proxy card for such meeting will confer upon our proxy holders' discretionary authority to vote on such matter.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happens if additional matters are presented at the annual meeting?</w:t>
      </w:r>
    </w:p>
    <w:p>
      <w:pPr>
        <w:spacing w:after="0" w:line="136" w:lineRule="exact"/>
        <w:rPr>
          <w:sz w:val="20"/>
          <w:szCs w:val="20"/>
          <w:color w:val="auto"/>
        </w:rPr>
      </w:pPr>
    </w:p>
    <w:p>
      <w:pPr>
        <w:spacing w:after="0" w:line="306" w:lineRule="auto"/>
        <w:rPr>
          <w:sz w:val="20"/>
          <w:szCs w:val="20"/>
          <w:color w:val="auto"/>
        </w:rPr>
      </w:pPr>
      <w:r>
        <w:rPr>
          <w:rFonts w:ascii="Arial" w:cs="Arial" w:eastAsia="Arial" w:hAnsi="Arial"/>
          <w:sz w:val="15"/>
          <w:szCs w:val="15"/>
          <w:color w:val="0E191E"/>
        </w:rPr>
        <w:t>Other than the four items of business described in this proxy statement, we are not aware of any other business to be acted upon at the annual meeting. If you grant a proxy, the persons named as proxy holders, Mike Rosenbaum, Jeff Cooper, and Winston King, or any of them, will have the discretion to vote your shares on any additional matters properly presented for a vote at the annual meeting. If for any reason any of the nominees is not available as a candidate for director, the persons named as proxy holders will vote your proxy for such other candidate or candidates as may be nominated by our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Who bears the cost of this solicitation?</w:t>
      </w:r>
    </w:p>
    <w:p>
      <w:pPr>
        <w:spacing w:after="0" w:line="136" w:lineRule="exact"/>
        <w:rPr>
          <w:sz w:val="20"/>
          <w:szCs w:val="20"/>
          <w:color w:val="auto"/>
        </w:rPr>
      </w:pPr>
    </w:p>
    <w:p>
      <w:pPr>
        <w:ind w:right="300"/>
        <w:spacing w:after="0" w:line="306" w:lineRule="auto"/>
        <w:rPr>
          <w:sz w:val="20"/>
          <w:szCs w:val="20"/>
          <w:color w:val="auto"/>
        </w:rPr>
      </w:pPr>
      <w:r>
        <w:rPr>
          <w:rFonts w:ascii="Arial" w:cs="Arial" w:eastAsia="Arial" w:hAnsi="Arial"/>
          <w:sz w:val="15"/>
          <w:szCs w:val="15"/>
          <w:color w:val="0E191E"/>
        </w:rPr>
        <w:t>We pay the entire cost of preparing, assembling, printing, mailing, and distributing these proxy materials. In addition, we may reimburse banks, brokers, and other custodians, nominees, and fiduciaries representing beneficial owners of shares for their expenses in forwarding solicitation materials to such beneficial owners. Proxies may be solicited by certain of our directors, officers, and employees, personally or by mail, telephone, facsimile, email, or other means of communication (electronic or otherwise). No additional compensation will be paid for such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if only one copy of these proxy materials was delivered to multiple stockholders who share a single address?</w:t>
      </w:r>
    </w:p>
    <w:p>
      <w:pPr>
        <w:spacing w:after="0" w:line="136" w:lineRule="exact"/>
        <w:rPr>
          <w:sz w:val="20"/>
          <w:szCs w:val="20"/>
          <w:color w:val="auto"/>
        </w:rPr>
      </w:pPr>
    </w:p>
    <w:p>
      <w:pPr>
        <w:ind w:right="160"/>
        <w:spacing w:after="0" w:line="306" w:lineRule="auto"/>
        <w:rPr>
          <w:sz w:val="20"/>
          <w:szCs w:val="20"/>
          <w:color w:val="auto"/>
        </w:rPr>
      </w:pPr>
      <w:r>
        <w:rPr>
          <w:rFonts w:ascii="Arial" w:cs="Arial" w:eastAsia="Arial" w:hAnsi="Arial"/>
          <w:sz w:val="15"/>
          <w:szCs w:val="15"/>
          <w:color w:val="0E191E"/>
        </w:rPr>
        <w:t>In some cases, only one copy of this proxy statement and the accompanying 2021 Annual Report on Form 10-K, or Notice of Internet Availability of Proxy Materials, may be delivered to multiple stockholders sharing an address unless we have received contrary instructions from one or more of the stockholders. We will deliver promptly, upon written or oral request, a separate copy of this proxy statement and the accompanying 2021 Annual Report on Form 10-K, or Notice of Internet Availability of Proxy</w:t>
      </w:r>
    </w:p>
    <w:p>
      <w:pPr>
        <w:spacing w:after="0" w:line="358"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70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00739D"/>
              </w:rPr>
              <w:t>8</w:t>
            </w:r>
          </w:p>
        </w:tc>
        <w:tc>
          <w:tcPr>
            <w:tcW w:w="1580" w:type="dxa"/>
            <w:vAlign w:val="bottom"/>
            <w:vMerge w:val="restart"/>
          </w:tcPr>
          <w:p>
            <w:pPr>
              <w:ind w:left="34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7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811" w:right="359" w:bottom="1440" w:gutter="0" w:footer="0" w:header="0"/>
        </w:sectPr>
      </w:pPr>
    </w:p>
    <w:bookmarkStart w:id="12" w:name="page13"/>
    <w:bookmarkEnd w:id="12"/>
    <w:p>
      <w:pPr>
        <w:spacing w:after="0" w:line="304" w:lineRule="auto"/>
        <w:rPr>
          <w:sz w:val="20"/>
          <w:szCs w:val="20"/>
          <w:color w:val="auto"/>
        </w:rPr>
      </w:pPr>
      <w:r>
        <w:rPr>
          <w:rFonts w:ascii="Arial" w:cs="Arial" w:eastAsia="Arial" w:hAnsi="Arial"/>
          <w:sz w:val="15"/>
          <w:szCs w:val="15"/>
          <w:color w:val="0E191E"/>
        </w:rPr>
        <w:t>Materials, to a stockholder at a shared address to which a single copy of the document was delivered. To request separate delivery of these materials now or in the future, you may submit a written request to our Secretary at Guidewire Software, Inc., 2850 South Delaware St. Suite 400, San Mateo, California 94403. Additionally, any stockholders who are presently sharing an address and receiving multiple copies of the proxy statement and the 2021 Annual Report on Form 10-K, or Notice of Internet Availability of Proxy Materials, and who would rather receive a single copy of such materials may instruct us accordingly by directing their request to us in the manner provided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Where can I find the voting results of the annual meeting?</w:t>
      </w:r>
    </w:p>
    <w:p>
      <w:pPr>
        <w:spacing w:after="0" w:line="136" w:lineRule="exact"/>
        <w:rPr>
          <w:sz w:val="20"/>
          <w:szCs w:val="20"/>
          <w:color w:val="auto"/>
        </w:rPr>
      </w:pPr>
    </w:p>
    <w:p>
      <w:pPr>
        <w:ind w:right="260"/>
        <w:spacing w:after="0" w:line="317" w:lineRule="auto"/>
        <w:rPr>
          <w:sz w:val="20"/>
          <w:szCs w:val="20"/>
          <w:color w:val="auto"/>
        </w:rPr>
      </w:pPr>
      <w:r>
        <w:rPr>
          <w:rFonts w:ascii="Arial" w:cs="Arial" w:eastAsia="Arial" w:hAnsi="Arial"/>
          <w:sz w:val="15"/>
          <w:szCs w:val="15"/>
          <w:color w:val="0E191E"/>
        </w:rPr>
        <w:t>We will announce preliminary voting results at the annual meeting. We will also disclose voting results on a Form 8-K filed with the SEC within four business days after the annual meeting, which will be available on our website.</w:t>
      </w:r>
    </w:p>
    <w:p>
      <w:pPr>
        <w:spacing w:after="0" w:line="350"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70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40" w:type="dxa"/>
            <w:vAlign w:val="bottom"/>
          </w:tcPr>
          <w:p>
            <w:pPr>
              <w:jc w:val="right"/>
              <w:ind w:right="244"/>
              <w:spacing w:after="0"/>
              <w:rPr>
                <w:sz w:val="20"/>
                <w:szCs w:val="20"/>
                <w:color w:val="auto"/>
              </w:rPr>
            </w:pPr>
            <w:r>
              <w:rPr>
                <w:rFonts w:ascii="Arial" w:cs="Arial" w:eastAsia="Arial" w:hAnsi="Arial"/>
                <w:sz w:val="15"/>
                <w:szCs w:val="15"/>
                <w:b w:val="1"/>
                <w:bCs w:val="1"/>
                <w:color w:val="00739D"/>
              </w:rPr>
              <w:t>9</w:t>
            </w:r>
          </w:p>
        </w:tc>
        <w:tc>
          <w:tcPr>
            <w:tcW w:w="1580" w:type="dxa"/>
            <w:vAlign w:val="bottom"/>
            <w:vMerge w:val="restart"/>
          </w:tcPr>
          <w:p>
            <w:pPr>
              <w:ind w:left="34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7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811" w:right="41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4615180</wp:posOffset>
            </wp:positionV>
            <wp:extent cx="2211705" cy="1028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11705" cy="102870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808990</wp:posOffset>
            </wp:positionV>
            <wp:extent cx="299720" cy="3003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72" w:lineRule="auto"/>
        <w:rPr>
          <w:sz w:val="20"/>
          <w:szCs w:val="20"/>
          <w:color w:val="auto"/>
        </w:rPr>
      </w:pPr>
      <w:r>
        <w:rPr>
          <w:rFonts w:ascii="Arial" w:cs="Arial" w:eastAsia="Arial" w:hAnsi="Arial"/>
          <w:sz w:val="15"/>
          <w:szCs w:val="15"/>
          <w:b w:val="1"/>
          <w:bCs w:val="1"/>
          <w:color w:val="0E191E"/>
        </w:rPr>
        <w:t>The Board of Directors recommends a vote "FOR"</w:t>
      </w:r>
    </w:p>
    <w:p>
      <w:pPr>
        <w:spacing w:after="0"/>
        <w:rPr>
          <w:sz w:val="20"/>
          <w:szCs w:val="20"/>
          <w:color w:val="auto"/>
        </w:rPr>
      </w:pPr>
      <w:r>
        <w:rPr>
          <w:rFonts w:ascii="Arial" w:cs="Arial" w:eastAsia="Arial" w:hAnsi="Arial"/>
          <w:sz w:val="15"/>
          <w:szCs w:val="15"/>
          <w:b w:val="1"/>
          <w:bCs w:val="1"/>
          <w:color w:val="0E191E"/>
        </w:rPr>
        <w:t>each of the director nominees.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39D"/>
        </w:rPr>
        <w:t>Proposal One</w:t>
      </w:r>
    </w:p>
    <w:p>
      <w:pPr>
        <w:spacing w:after="0" w:line="77"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Election of Directors</w:t>
      </w:r>
    </w:p>
    <w:p>
      <w:pPr>
        <w:spacing w:after="0" w:line="232" w:lineRule="exact"/>
        <w:rPr>
          <w:sz w:val="20"/>
          <w:szCs w:val="20"/>
          <w:color w:val="auto"/>
        </w:rPr>
      </w:pPr>
    </w:p>
    <w:p>
      <w:pPr>
        <w:ind w:right="400"/>
        <w:spacing w:after="0" w:line="317" w:lineRule="auto"/>
        <w:rPr>
          <w:sz w:val="20"/>
          <w:szCs w:val="20"/>
          <w:color w:val="auto"/>
        </w:rPr>
      </w:pPr>
      <w:r>
        <w:rPr>
          <w:rFonts w:ascii="Arial" w:cs="Arial" w:eastAsia="Arial" w:hAnsi="Arial"/>
          <w:sz w:val="15"/>
          <w:szCs w:val="15"/>
          <w:color w:val="0E191E"/>
        </w:rPr>
        <w:t>In voting on the election of our director nominees, stockholders may vote for or against or abstain from voting on each nominee.</w:t>
      </w:r>
    </w:p>
    <w:p>
      <w:pPr>
        <w:spacing w:after="0" w:line="138" w:lineRule="exact"/>
        <w:rPr>
          <w:sz w:val="20"/>
          <w:szCs w:val="20"/>
          <w:color w:val="auto"/>
        </w:rPr>
      </w:pPr>
    </w:p>
    <w:p>
      <w:pPr>
        <w:ind w:right="40"/>
        <w:spacing w:after="0" w:line="317" w:lineRule="auto"/>
        <w:rPr>
          <w:sz w:val="20"/>
          <w:szCs w:val="20"/>
          <w:color w:val="auto"/>
        </w:rPr>
      </w:pPr>
      <w:r>
        <w:rPr>
          <w:rFonts w:ascii="Arial" w:cs="Arial" w:eastAsia="Arial" w:hAnsi="Arial"/>
          <w:sz w:val="15"/>
          <w:szCs w:val="15"/>
          <w:color w:val="0E191E"/>
        </w:rPr>
        <w:t>Assuming a quorum is present, each director nominee will be elected only if he or she receives a majority of the votes cast for him or her.</w:t>
      </w:r>
    </w:p>
    <w:p>
      <w:pPr>
        <w:spacing w:after="0" w:line="138" w:lineRule="exact"/>
        <w:rPr>
          <w:sz w:val="20"/>
          <w:szCs w:val="20"/>
          <w:color w:val="auto"/>
        </w:rPr>
      </w:pPr>
    </w:p>
    <w:p>
      <w:pPr>
        <w:spacing w:after="0" w:line="309" w:lineRule="auto"/>
        <w:rPr>
          <w:sz w:val="20"/>
          <w:szCs w:val="20"/>
          <w:color w:val="auto"/>
        </w:rPr>
      </w:pPr>
      <w:r>
        <w:rPr>
          <w:rFonts w:ascii="Arial" w:cs="Arial" w:eastAsia="Arial" w:hAnsi="Arial"/>
          <w:sz w:val="15"/>
          <w:szCs w:val="15"/>
          <w:color w:val="0E191E"/>
        </w:rPr>
        <w:t>Our bylaws provide that the number of directors that shall constitute the whole board shall be fixed from time to time by resolution of the board of directors or by the stockholders at an annual meeting of the stockholders. At the time of our 2021 annual meeting, our board of directors will be comprised of eight directors. Beginning with the 2021 annual meeting, the entire board of directors will stand for election annually for one-year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407035</wp:posOffset>
            </wp:positionV>
            <wp:extent cx="4680585" cy="1560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80585"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739D"/>
        </w:rPr>
        <w:t>Recommendation</w:t>
      </w:r>
    </w:p>
    <w:p>
      <w:pPr>
        <w:spacing w:after="0" w:line="136" w:lineRule="exact"/>
        <w:rPr>
          <w:sz w:val="20"/>
          <w:szCs w:val="20"/>
          <w:color w:val="auto"/>
        </w:rPr>
      </w:pPr>
    </w:p>
    <w:p>
      <w:pPr>
        <w:ind w:left="160" w:right="380"/>
        <w:spacing w:after="0" w:line="303" w:lineRule="auto"/>
        <w:rPr>
          <w:sz w:val="20"/>
          <w:szCs w:val="20"/>
          <w:color w:val="auto"/>
        </w:rPr>
      </w:pPr>
      <w:r>
        <w:rPr>
          <w:rFonts w:ascii="Arial" w:cs="Arial" w:eastAsia="Arial" w:hAnsi="Arial"/>
          <w:sz w:val="15"/>
          <w:szCs w:val="15"/>
          <w:color w:val="0E191E"/>
        </w:rPr>
        <w:t xml:space="preserve">Based on the recommendation of the nominating and corporate governance committee (the “NCG Committee”), the board of directors has nominated </w:t>
      </w:r>
      <w:r>
        <w:rPr>
          <w:rFonts w:ascii="Arial" w:cs="Arial" w:eastAsia="Arial" w:hAnsi="Arial"/>
          <w:sz w:val="15"/>
          <w:szCs w:val="15"/>
          <w:b w:val="1"/>
          <w:bCs w:val="1"/>
          <w:color w:val="0E191E"/>
        </w:rPr>
        <w:t>Marcus S. Ryu, Paul Lavin, Mike Rosenbaum,</w:t>
      </w:r>
      <w:r>
        <w:rPr>
          <w:rFonts w:ascii="Arial" w:cs="Arial" w:eastAsia="Arial" w:hAnsi="Arial"/>
          <w:sz w:val="15"/>
          <w:szCs w:val="15"/>
          <w:color w:val="0E191E"/>
        </w:rPr>
        <w:t xml:space="preserve"> </w:t>
      </w:r>
      <w:r>
        <w:rPr>
          <w:rFonts w:ascii="Arial" w:cs="Arial" w:eastAsia="Arial" w:hAnsi="Arial"/>
          <w:sz w:val="15"/>
          <w:szCs w:val="15"/>
          <w:b w:val="1"/>
          <w:bCs w:val="1"/>
          <w:color w:val="0E191E"/>
        </w:rPr>
        <w:t xml:space="preserve">Andrew Brown, Margaret Dillon, Michael Keller, Catherine P. Lego, and Rajani Ramanathan </w:t>
      </w:r>
      <w:r>
        <w:rPr>
          <w:rFonts w:ascii="Arial" w:cs="Arial" w:eastAsia="Arial" w:hAnsi="Arial"/>
          <w:sz w:val="15"/>
          <w:szCs w:val="15"/>
          <w:color w:val="0E191E"/>
        </w:rPr>
        <w:t>for</w:t>
      </w:r>
      <w:r>
        <w:rPr>
          <w:rFonts w:ascii="Arial" w:cs="Arial" w:eastAsia="Arial" w:hAnsi="Arial"/>
          <w:sz w:val="15"/>
          <w:szCs w:val="15"/>
          <w:b w:val="1"/>
          <w:bCs w:val="1"/>
          <w:color w:val="0E191E"/>
        </w:rPr>
        <w:t xml:space="preserve"> </w:t>
      </w:r>
      <w:r>
        <w:rPr>
          <w:rFonts w:ascii="Arial" w:cs="Arial" w:eastAsia="Arial" w:hAnsi="Arial"/>
          <w:sz w:val="15"/>
          <w:szCs w:val="15"/>
          <w:color w:val="0E191E"/>
        </w:rPr>
        <w:t>election, each to serve a one-year term expiring at the 2022 annual meeting, unless such directors resign or their service as directors otherwise ceases in accordance with our amended and restated certificate of incorporation or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Vote Required for Approval</w:t>
      </w:r>
    </w:p>
    <w:p>
      <w:pPr>
        <w:spacing w:after="0" w:line="136" w:lineRule="exact"/>
        <w:rPr>
          <w:sz w:val="20"/>
          <w:szCs w:val="20"/>
          <w:color w:val="auto"/>
        </w:rPr>
      </w:pPr>
    </w:p>
    <w:p>
      <w:pPr>
        <w:ind w:right="100"/>
        <w:spacing w:after="0" w:line="303" w:lineRule="auto"/>
        <w:rPr>
          <w:sz w:val="20"/>
          <w:szCs w:val="20"/>
          <w:color w:val="auto"/>
        </w:rPr>
      </w:pPr>
      <w:r>
        <w:rPr>
          <w:rFonts w:ascii="Arial" w:cs="Arial" w:eastAsia="Arial" w:hAnsi="Arial"/>
          <w:sz w:val="15"/>
          <w:szCs w:val="15"/>
          <w:color w:val="0E191E"/>
        </w:rPr>
        <w:t>The affirmative vote of a majority of all the votes cast at a meeting at which a quorum is present is necessary for the election of a director in an uncontested election, which means that the number of shares voted “FOR” a nominee must exceed the number of shares voted “AGAINST” the nominee. If you do not instruct your broker, bank, or other nominee how to vote with respect to this proposal, your broker, bank, or other nominee may not cast votes on your behalf with respect to this proposal. For purposes of the election of directors, abstentions and broker non-votes, if any, will not be counted as votes cast for or against a nominee’s election.</w:t>
      </w:r>
    </w:p>
    <w:p>
      <w:pPr>
        <w:spacing w:after="0" w:line="150" w:lineRule="exact"/>
        <w:rPr>
          <w:sz w:val="20"/>
          <w:szCs w:val="20"/>
          <w:color w:val="auto"/>
        </w:rPr>
      </w:pPr>
    </w:p>
    <w:p>
      <w:pPr>
        <w:spacing w:after="0" w:line="303" w:lineRule="auto"/>
        <w:rPr>
          <w:sz w:val="20"/>
          <w:szCs w:val="20"/>
          <w:color w:val="auto"/>
        </w:rPr>
      </w:pPr>
      <w:r>
        <w:rPr>
          <w:rFonts w:ascii="Arial" w:cs="Arial" w:eastAsia="Arial" w:hAnsi="Arial"/>
          <w:sz w:val="15"/>
          <w:szCs w:val="15"/>
          <w:color w:val="0E191E"/>
        </w:rPr>
        <w:t>Pursuant to our amended and restated bylaws and corporate governance guidelines, each director nominee has tendered an irrevocable resignation to the board of directors that will be effective upon (i) the failure of such director to receive a majority of votes cast for his or her election and (ii) the board of director’s acceptance of such resignation. If such director nominee receives a greater number of votes cast against his or her election than in favor of his or her election, the nominating and corporate governance committee will consider such director’s offer to resign and will make a recommendation to the board of directors on whether to accept or reject the resignation or whether other action should be taken.</w:t>
      </w:r>
    </w:p>
    <w:p>
      <w:pPr>
        <w:spacing w:after="0" w:line="132"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b w:val="1"/>
          <w:bCs w:val="1"/>
          <w:color w:val="00739D"/>
        </w:rPr>
        <w:t>It is the intention of the persons named as proxies herein to vote in favor of the candidates nominated by the board of directors unless directed otherwise through your proxy voting instructions. If any nominee should not be available for election, the proxies will be voted in the best judgment of the persons authorized as proxies.</w:t>
      </w:r>
    </w:p>
    <w:p>
      <w:pPr>
        <w:spacing w:after="0" w:line="200" w:lineRule="exact"/>
        <w:rPr>
          <w:sz w:val="20"/>
          <w:szCs w:val="20"/>
          <w:color w:val="auto"/>
        </w:rPr>
      </w:pPr>
    </w:p>
    <w:p>
      <w:pPr>
        <w:sectPr>
          <w:pgSz w:w="11900" w:h="16838" w:orient="portrait"/>
          <w:cols w:equalWidth="0" w:num="2">
            <w:col w:w="2780" w:space="720"/>
            <w:col w:w="7320"/>
          </w:cols>
          <w:pgMar w:left="680" w:top="95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180"/>
        <w:spacing w:after="0"/>
        <w:tabs>
          <w:tab w:leader="none" w:pos="5160" w:val="left"/>
          <w:tab w:leader="none" w:pos="594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31"/>
          <w:szCs w:val="31"/>
          <w:b w:val="1"/>
          <w:bCs w:val="1"/>
          <w:color w:val="00739D"/>
          <w:vertAlign w:val="superscript"/>
        </w:rPr>
        <w:t>10</w:t>
      </w:r>
      <w:r>
        <w:rPr>
          <w:sz w:val="20"/>
          <w:szCs w:val="20"/>
          <w:color w:val="auto"/>
        </w:rPr>
        <w:tab/>
      </w:r>
      <w:r>
        <w:rPr>
          <w:rFonts w:ascii="Arial" w:cs="Arial" w:eastAsia="Arial" w:hAnsi="Arial"/>
          <w:sz w:val="12"/>
          <w:szCs w:val="12"/>
          <w:color w:val="0E191E"/>
        </w:rPr>
        <w:t>2021 Proxy Statement</w:t>
      </w:r>
    </w:p>
    <w:p>
      <w:pPr>
        <w:sectPr>
          <w:pgSz w:w="11900" w:h="16838" w:orient="portrait"/>
          <w:cols w:equalWidth="0" w:num="1">
            <w:col w:w="10820"/>
          </w:cols>
          <w:pgMar w:left="680" w:top="954" w:right="399" w:bottom="1440" w:gutter="0" w:footer="0" w:header="0"/>
          <w:type w:val="continuous"/>
        </w:sectPr>
      </w:pPr>
    </w:p>
    <w:bookmarkStart w:id="14" w:name="page15"/>
    <w:bookmarkEnd w:id="14"/>
    <w:p>
      <w:pPr>
        <w:ind w:left="3400"/>
        <w:spacing w:after="0"/>
        <w:rPr>
          <w:sz w:val="20"/>
          <w:szCs w:val="20"/>
          <w:color w:val="auto"/>
        </w:rPr>
      </w:pPr>
      <w:r>
        <w:rPr>
          <w:rFonts w:ascii="Arial" w:cs="Arial" w:eastAsia="Arial" w:hAnsi="Arial"/>
          <w:sz w:val="18"/>
          <w:szCs w:val="18"/>
          <w:b w:val="1"/>
          <w:bCs w:val="1"/>
          <w:color w:val="00739D"/>
        </w:rPr>
        <w:t>Information Concerning Director Nominees</w:t>
      </w:r>
    </w:p>
    <w:p>
      <w:pPr>
        <w:spacing w:after="0" w:line="136" w:lineRule="exact"/>
        <w:rPr>
          <w:sz w:val="20"/>
          <w:szCs w:val="20"/>
          <w:color w:val="auto"/>
        </w:rPr>
      </w:pPr>
    </w:p>
    <w:p>
      <w:pPr>
        <w:ind w:left="3400" w:right="40"/>
        <w:spacing w:after="0" w:line="308" w:lineRule="auto"/>
        <w:rPr>
          <w:sz w:val="20"/>
          <w:szCs w:val="20"/>
          <w:color w:val="auto"/>
        </w:rPr>
      </w:pPr>
      <w:r>
        <w:rPr>
          <w:rFonts w:ascii="Arial" w:cs="Arial" w:eastAsia="Arial" w:hAnsi="Arial"/>
          <w:sz w:val="15"/>
          <w:szCs w:val="15"/>
          <w:color w:val="0E191E"/>
        </w:rPr>
        <w:t>The name and age as of October 19, 2021 of the nominee for director, his or her position with us, the year in which he or she first became a director, and certain biographical information as of October 19, 2021 is set forth below:</w:t>
      </w:r>
    </w:p>
    <w:p>
      <w:pPr>
        <w:spacing w:after="0" w:line="149" w:lineRule="exact"/>
        <w:rPr>
          <w:sz w:val="20"/>
          <w:szCs w:val="20"/>
          <w:color w:val="auto"/>
        </w:rPr>
      </w:pPr>
    </w:p>
    <w:tbl>
      <w:tblPr>
        <w:tblLayout w:type="fixed"/>
        <w:tblInd w:w="3380" w:type="dxa"/>
        <w:tblCellMar>
          <w:top w:w="0" w:type="dxa"/>
          <w:left w:w="0" w:type="dxa"/>
          <w:bottom w:w="0" w:type="dxa"/>
          <w:right w:w="0" w:type="dxa"/>
        </w:tblCellMar>
      </w:tblPr>
      <w:tr>
        <w:trPr>
          <w:trHeight w:val="334"/>
        </w:trPr>
        <w:tc>
          <w:tcPr>
            <w:tcW w:w="2660" w:type="dxa"/>
            <w:vAlign w:val="bottom"/>
            <w:shd w:val="clear" w:color="auto" w:fill="00739D"/>
          </w:tcPr>
          <w:p>
            <w:pPr>
              <w:spacing w:after="0"/>
              <w:rPr>
                <w:sz w:val="24"/>
                <w:szCs w:val="24"/>
                <w:color w:val="auto"/>
              </w:rPr>
            </w:pPr>
          </w:p>
        </w:tc>
        <w:tc>
          <w:tcPr>
            <w:tcW w:w="840" w:type="dxa"/>
            <w:vAlign w:val="bottom"/>
            <w:shd w:val="clear" w:color="auto" w:fill="00739D"/>
          </w:tcPr>
          <w:p>
            <w:pPr>
              <w:spacing w:after="0"/>
              <w:rPr>
                <w:sz w:val="24"/>
                <w:szCs w:val="24"/>
                <w:color w:val="auto"/>
              </w:rPr>
            </w:pPr>
          </w:p>
        </w:tc>
        <w:tc>
          <w:tcPr>
            <w:tcW w:w="2840" w:type="dxa"/>
            <w:vAlign w:val="bottom"/>
            <w:shd w:val="clear" w:color="auto" w:fill="00739D"/>
          </w:tcPr>
          <w:p>
            <w:pPr>
              <w:ind w:left="220"/>
              <w:spacing w:after="0"/>
              <w:rPr>
                <w:sz w:val="20"/>
                <w:szCs w:val="20"/>
                <w:color w:val="auto"/>
              </w:rPr>
            </w:pPr>
            <w:r>
              <w:rPr>
                <w:rFonts w:ascii="Arial" w:cs="Arial" w:eastAsia="Arial" w:hAnsi="Arial"/>
                <w:sz w:val="13"/>
                <w:szCs w:val="13"/>
                <w:b w:val="1"/>
                <w:bCs w:val="1"/>
                <w:color w:val="FFFFFF"/>
              </w:rPr>
              <w:t>Positions and Offices</w:t>
            </w:r>
          </w:p>
        </w:tc>
        <w:tc>
          <w:tcPr>
            <w:tcW w:w="1040" w:type="dxa"/>
            <w:vAlign w:val="bottom"/>
            <w:shd w:val="clear" w:color="auto" w:fill="00739D"/>
          </w:tcPr>
          <w:p>
            <w:pPr>
              <w:jc w:val="center"/>
              <w:ind w:left="53"/>
              <w:spacing w:after="0"/>
              <w:rPr>
                <w:sz w:val="20"/>
                <w:szCs w:val="20"/>
                <w:color w:val="auto"/>
              </w:rPr>
            </w:pPr>
            <w:r>
              <w:rPr>
                <w:rFonts w:ascii="Arial" w:cs="Arial" w:eastAsia="Arial" w:hAnsi="Arial"/>
                <w:sz w:val="13"/>
                <w:szCs w:val="13"/>
                <w:b w:val="1"/>
                <w:bCs w:val="1"/>
                <w:color w:val="FFFFFF"/>
              </w:rPr>
              <w:t>Director</w:t>
            </w:r>
          </w:p>
        </w:tc>
      </w:tr>
      <w:tr>
        <w:trPr>
          <w:trHeight w:val="178"/>
        </w:trPr>
        <w:tc>
          <w:tcPr>
            <w:tcW w:w="2660" w:type="dxa"/>
            <w:vAlign w:val="bottom"/>
            <w:shd w:val="clear" w:color="auto" w:fill="00739D"/>
          </w:tcPr>
          <w:p>
            <w:pPr>
              <w:ind w:left="180"/>
              <w:spacing w:after="0"/>
              <w:rPr>
                <w:sz w:val="20"/>
                <w:szCs w:val="20"/>
                <w:color w:val="auto"/>
              </w:rPr>
            </w:pPr>
            <w:r>
              <w:rPr>
                <w:rFonts w:ascii="Arial" w:cs="Arial" w:eastAsia="Arial" w:hAnsi="Arial"/>
                <w:sz w:val="13"/>
                <w:szCs w:val="13"/>
                <w:b w:val="1"/>
                <w:bCs w:val="1"/>
                <w:color w:val="FFFFFF"/>
              </w:rPr>
              <w:t>Name</w:t>
            </w:r>
          </w:p>
        </w:tc>
        <w:tc>
          <w:tcPr>
            <w:tcW w:w="840" w:type="dxa"/>
            <w:vAlign w:val="bottom"/>
            <w:shd w:val="clear" w:color="auto" w:fill="00739D"/>
          </w:tcPr>
          <w:p>
            <w:pPr>
              <w:jc w:val="center"/>
              <w:ind w:left="113"/>
              <w:spacing w:after="0"/>
              <w:rPr>
                <w:sz w:val="20"/>
                <w:szCs w:val="20"/>
                <w:color w:val="auto"/>
              </w:rPr>
            </w:pPr>
            <w:r>
              <w:rPr>
                <w:rFonts w:ascii="Arial" w:cs="Arial" w:eastAsia="Arial" w:hAnsi="Arial"/>
                <w:sz w:val="13"/>
                <w:szCs w:val="13"/>
                <w:b w:val="1"/>
                <w:bCs w:val="1"/>
                <w:color w:val="FFFFFF"/>
              </w:rPr>
              <w:t>Age</w:t>
            </w:r>
          </w:p>
        </w:tc>
        <w:tc>
          <w:tcPr>
            <w:tcW w:w="2840" w:type="dxa"/>
            <w:vAlign w:val="bottom"/>
            <w:shd w:val="clear" w:color="auto" w:fill="00739D"/>
          </w:tcPr>
          <w:p>
            <w:pPr>
              <w:ind w:left="220"/>
              <w:spacing w:after="0"/>
              <w:rPr>
                <w:sz w:val="20"/>
                <w:szCs w:val="20"/>
                <w:color w:val="auto"/>
              </w:rPr>
            </w:pPr>
            <w:r>
              <w:rPr>
                <w:rFonts w:ascii="Arial" w:cs="Arial" w:eastAsia="Arial" w:hAnsi="Arial"/>
                <w:sz w:val="13"/>
                <w:szCs w:val="13"/>
                <w:b w:val="1"/>
                <w:bCs w:val="1"/>
                <w:color w:val="FFFFFF"/>
              </w:rPr>
              <w:t>Held with the Company</w:t>
            </w:r>
          </w:p>
        </w:tc>
        <w:tc>
          <w:tcPr>
            <w:tcW w:w="1040" w:type="dxa"/>
            <w:vAlign w:val="bottom"/>
            <w:shd w:val="clear" w:color="auto" w:fill="00739D"/>
          </w:tcPr>
          <w:p>
            <w:pPr>
              <w:jc w:val="center"/>
              <w:ind w:left="53"/>
              <w:spacing w:after="0"/>
              <w:rPr>
                <w:sz w:val="20"/>
                <w:szCs w:val="20"/>
                <w:color w:val="auto"/>
              </w:rPr>
            </w:pPr>
            <w:r>
              <w:rPr>
                <w:rFonts w:ascii="Arial" w:cs="Arial" w:eastAsia="Arial" w:hAnsi="Arial"/>
                <w:sz w:val="13"/>
                <w:szCs w:val="13"/>
                <w:b w:val="1"/>
                <w:bCs w:val="1"/>
                <w:color w:val="FFFFFF"/>
              </w:rPr>
              <w:t>Since</w:t>
            </w:r>
          </w:p>
        </w:tc>
      </w:tr>
      <w:tr>
        <w:trPr>
          <w:trHeight w:val="122"/>
        </w:trPr>
        <w:tc>
          <w:tcPr>
            <w:tcW w:w="2660" w:type="dxa"/>
            <w:vAlign w:val="bottom"/>
            <w:shd w:val="clear" w:color="auto" w:fill="00739D"/>
          </w:tcPr>
          <w:p>
            <w:pPr>
              <w:spacing w:after="0"/>
              <w:rPr>
                <w:sz w:val="10"/>
                <w:szCs w:val="10"/>
                <w:color w:val="auto"/>
              </w:rPr>
            </w:pPr>
          </w:p>
        </w:tc>
        <w:tc>
          <w:tcPr>
            <w:tcW w:w="840" w:type="dxa"/>
            <w:vAlign w:val="bottom"/>
            <w:shd w:val="clear" w:color="auto" w:fill="00739D"/>
          </w:tcPr>
          <w:p>
            <w:pPr>
              <w:spacing w:after="0"/>
              <w:rPr>
                <w:sz w:val="10"/>
                <w:szCs w:val="10"/>
                <w:color w:val="auto"/>
              </w:rPr>
            </w:pPr>
          </w:p>
        </w:tc>
        <w:tc>
          <w:tcPr>
            <w:tcW w:w="2840" w:type="dxa"/>
            <w:vAlign w:val="bottom"/>
            <w:shd w:val="clear" w:color="auto" w:fill="00739D"/>
          </w:tcPr>
          <w:p>
            <w:pPr>
              <w:spacing w:after="0"/>
              <w:rPr>
                <w:sz w:val="10"/>
                <w:szCs w:val="10"/>
                <w:color w:val="auto"/>
              </w:rPr>
            </w:pPr>
          </w:p>
        </w:tc>
        <w:tc>
          <w:tcPr>
            <w:tcW w:w="1040" w:type="dxa"/>
            <w:vAlign w:val="bottom"/>
            <w:shd w:val="clear" w:color="auto" w:fill="00739D"/>
          </w:tcPr>
          <w:p>
            <w:pPr>
              <w:spacing w:after="0"/>
              <w:rPr>
                <w:sz w:val="10"/>
                <w:szCs w:val="10"/>
                <w:color w:val="auto"/>
              </w:rPr>
            </w:pPr>
          </w:p>
        </w:tc>
      </w:tr>
      <w:tr>
        <w:trPr>
          <w:trHeight w:val="256"/>
        </w:trPr>
        <w:tc>
          <w:tcPr>
            <w:tcW w:w="2660" w:type="dxa"/>
            <w:vAlign w:val="bottom"/>
          </w:tcPr>
          <w:p>
            <w:pPr>
              <w:ind w:left="180"/>
              <w:spacing w:after="0"/>
              <w:rPr>
                <w:sz w:val="20"/>
                <w:szCs w:val="20"/>
                <w:color w:val="auto"/>
              </w:rPr>
            </w:pPr>
            <w:r>
              <w:rPr>
                <w:rFonts w:ascii="Arial" w:cs="Arial" w:eastAsia="Arial" w:hAnsi="Arial"/>
                <w:sz w:val="13"/>
                <w:szCs w:val="13"/>
                <w:b w:val="1"/>
                <w:bCs w:val="1"/>
                <w:color w:val="0E191E"/>
              </w:rPr>
              <w:t>Marcus S. Ryu</w:t>
            </w:r>
          </w:p>
        </w:tc>
        <w:tc>
          <w:tcPr>
            <w:tcW w:w="840" w:type="dxa"/>
            <w:vAlign w:val="bottom"/>
          </w:tcPr>
          <w:p>
            <w:pPr>
              <w:jc w:val="center"/>
              <w:ind w:left="113"/>
              <w:spacing w:after="0"/>
              <w:rPr>
                <w:sz w:val="20"/>
                <w:szCs w:val="20"/>
                <w:color w:val="auto"/>
              </w:rPr>
            </w:pPr>
            <w:r>
              <w:rPr>
                <w:rFonts w:ascii="Arial" w:cs="Arial" w:eastAsia="Arial" w:hAnsi="Arial"/>
                <w:sz w:val="13"/>
                <w:szCs w:val="13"/>
                <w:color w:val="0E191E"/>
                <w:w w:val="96"/>
              </w:rPr>
              <w:t>48</w:t>
            </w:r>
          </w:p>
        </w:tc>
        <w:tc>
          <w:tcPr>
            <w:tcW w:w="2840" w:type="dxa"/>
            <w:vAlign w:val="bottom"/>
          </w:tcPr>
          <w:p>
            <w:pPr>
              <w:ind w:left="220"/>
              <w:spacing w:after="0"/>
              <w:rPr>
                <w:sz w:val="20"/>
                <w:szCs w:val="20"/>
                <w:color w:val="auto"/>
              </w:rPr>
            </w:pPr>
            <w:r>
              <w:rPr>
                <w:rFonts w:ascii="Arial" w:cs="Arial" w:eastAsia="Arial" w:hAnsi="Arial"/>
                <w:sz w:val="13"/>
                <w:szCs w:val="13"/>
                <w:color w:val="0E191E"/>
              </w:rPr>
              <w:t>Chairman and Director</w:t>
            </w:r>
          </w:p>
        </w:tc>
        <w:tc>
          <w:tcPr>
            <w:tcW w:w="1040" w:type="dxa"/>
            <w:vAlign w:val="bottom"/>
          </w:tcPr>
          <w:p>
            <w:pPr>
              <w:jc w:val="center"/>
              <w:ind w:left="73"/>
              <w:spacing w:after="0"/>
              <w:rPr>
                <w:sz w:val="20"/>
                <w:szCs w:val="20"/>
                <w:color w:val="auto"/>
              </w:rPr>
            </w:pPr>
            <w:r>
              <w:rPr>
                <w:rFonts w:ascii="Arial" w:cs="Arial" w:eastAsia="Arial" w:hAnsi="Arial"/>
                <w:sz w:val="13"/>
                <w:szCs w:val="13"/>
                <w:color w:val="0E191E"/>
              </w:rPr>
              <w:t>2001</w:t>
            </w:r>
          </w:p>
        </w:tc>
      </w:tr>
      <w:tr>
        <w:trPr>
          <w:trHeight w:val="109"/>
        </w:trPr>
        <w:tc>
          <w:tcPr>
            <w:tcW w:w="2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56"/>
        </w:trPr>
        <w:tc>
          <w:tcPr>
            <w:tcW w:w="2660" w:type="dxa"/>
            <w:vAlign w:val="bottom"/>
            <w:shd w:val="clear" w:color="auto" w:fill="E7F1F5"/>
          </w:tcPr>
          <w:p>
            <w:pPr>
              <w:ind w:left="180"/>
              <w:spacing w:after="0"/>
              <w:rPr>
                <w:sz w:val="20"/>
                <w:szCs w:val="20"/>
                <w:color w:val="auto"/>
              </w:rPr>
            </w:pPr>
            <w:r>
              <w:rPr>
                <w:rFonts w:ascii="Arial" w:cs="Arial" w:eastAsia="Arial" w:hAnsi="Arial"/>
                <w:sz w:val="13"/>
                <w:szCs w:val="13"/>
                <w:b w:val="1"/>
                <w:bCs w:val="1"/>
                <w:color w:val="0E191E"/>
              </w:rPr>
              <w:t>Paul Lavin</w:t>
            </w:r>
          </w:p>
        </w:tc>
        <w:tc>
          <w:tcPr>
            <w:tcW w:w="840" w:type="dxa"/>
            <w:vAlign w:val="bottom"/>
            <w:shd w:val="clear" w:color="auto" w:fill="E7F1F5"/>
          </w:tcPr>
          <w:p>
            <w:pPr>
              <w:jc w:val="center"/>
              <w:ind w:left="113"/>
              <w:spacing w:after="0"/>
              <w:rPr>
                <w:sz w:val="20"/>
                <w:szCs w:val="20"/>
                <w:color w:val="auto"/>
              </w:rPr>
            </w:pPr>
            <w:r>
              <w:rPr>
                <w:rFonts w:ascii="Arial" w:cs="Arial" w:eastAsia="Arial" w:hAnsi="Arial"/>
                <w:sz w:val="13"/>
                <w:szCs w:val="13"/>
                <w:color w:val="0E191E"/>
                <w:w w:val="96"/>
              </w:rPr>
              <w:t>59</w:t>
            </w:r>
          </w:p>
        </w:tc>
        <w:tc>
          <w:tcPr>
            <w:tcW w:w="2840" w:type="dxa"/>
            <w:vAlign w:val="bottom"/>
            <w:shd w:val="clear" w:color="auto" w:fill="E7F1F5"/>
          </w:tcPr>
          <w:p>
            <w:pPr>
              <w:ind w:left="220"/>
              <w:spacing w:after="0"/>
              <w:rPr>
                <w:sz w:val="20"/>
                <w:szCs w:val="20"/>
                <w:color w:val="auto"/>
              </w:rPr>
            </w:pPr>
            <w:r>
              <w:rPr>
                <w:rFonts w:ascii="Arial" w:cs="Arial" w:eastAsia="Arial" w:hAnsi="Arial"/>
                <w:sz w:val="13"/>
                <w:szCs w:val="13"/>
                <w:color w:val="0E191E"/>
              </w:rPr>
              <w:t>Lead Independent Director</w:t>
            </w:r>
          </w:p>
        </w:tc>
        <w:tc>
          <w:tcPr>
            <w:tcW w:w="1040" w:type="dxa"/>
            <w:vAlign w:val="bottom"/>
            <w:shd w:val="clear" w:color="auto" w:fill="E7F1F5"/>
          </w:tcPr>
          <w:p>
            <w:pPr>
              <w:jc w:val="center"/>
              <w:ind w:left="73"/>
              <w:spacing w:after="0"/>
              <w:rPr>
                <w:sz w:val="20"/>
                <w:szCs w:val="20"/>
                <w:color w:val="auto"/>
              </w:rPr>
            </w:pPr>
            <w:r>
              <w:rPr>
                <w:rFonts w:ascii="Arial" w:cs="Arial" w:eastAsia="Arial" w:hAnsi="Arial"/>
                <w:sz w:val="13"/>
                <w:szCs w:val="13"/>
                <w:color w:val="0E191E"/>
              </w:rPr>
              <w:t>2014</w:t>
            </w:r>
          </w:p>
        </w:tc>
      </w:tr>
      <w:tr>
        <w:trPr>
          <w:trHeight w:val="108"/>
        </w:trPr>
        <w:tc>
          <w:tcPr>
            <w:tcW w:w="2660" w:type="dxa"/>
            <w:vAlign w:val="bottom"/>
            <w:shd w:val="clear" w:color="auto" w:fill="E7F1F5"/>
          </w:tcPr>
          <w:p>
            <w:pPr>
              <w:spacing w:after="0"/>
              <w:rPr>
                <w:sz w:val="9"/>
                <w:szCs w:val="9"/>
                <w:color w:val="auto"/>
              </w:rPr>
            </w:pPr>
          </w:p>
        </w:tc>
        <w:tc>
          <w:tcPr>
            <w:tcW w:w="840" w:type="dxa"/>
            <w:vAlign w:val="bottom"/>
            <w:shd w:val="clear" w:color="auto" w:fill="E7F1F5"/>
          </w:tcPr>
          <w:p>
            <w:pPr>
              <w:spacing w:after="0"/>
              <w:rPr>
                <w:sz w:val="9"/>
                <w:szCs w:val="9"/>
                <w:color w:val="auto"/>
              </w:rPr>
            </w:pPr>
          </w:p>
        </w:tc>
        <w:tc>
          <w:tcPr>
            <w:tcW w:w="2840" w:type="dxa"/>
            <w:vAlign w:val="bottom"/>
            <w:shd w:val="clear" w:color="auto" w:fill="E7F1F5"/>
          </w:tcPr>
          <w:p>
            <w:pPr>
              <w:spacing w:after="0"/>
              <w:rPr>
                <w:sz w:val="9"/>
                <w:szCs w:val="9"/>
                <w:color w:val="auto"/>
              </w:rPr>
            </w:pPr>
          </w:p>
        </w:tc>
        <w:tc>
          <w:tcPr>
            <w:tcW w:w="1040" w:type="dxa"/>
            <w:vAlign w:val="bottom"/>
            <w:shd w:val="clear" w:color="auto" w:fill="E7F1F5"/>
          </w:tcPr>
          <w:p>
            <w:pPr>
              <w:spacing w:after="0"/>
              <w:rPr>
                <w:sz w:val="9"/>
                <w:szCs w:val="9"/>
                <w:color w:val="auto"/>
              </w:rPr>
            </w:pPr>
          </w:p>
        </w:tc>
      </w:tr>
      <w:tr>
        <w:trPr>
          <w:trHeight w:val="256"/>
        </w:trPr>
        <w:tc>
          <w:tcPr>
            <w:tcW w:w="2660" w:type="dxa"/>
            <w:vAlign w:val="bottom"/>
          </w:tcPr>
          <w:p>
            <w:pPr>
              <w:ind w:left="180"/>
              <w:spacing w:after="0"/>
              <w:rPr>
                <w:sz w:val="20"/>
                <w:szCs w:val="20"/>
                <w:color w:val="auto"/>
              </w:rPr>
            </w:pPr>
            <w:r>
              <w:rPr>
                <w:rFonts w:ascii="Arial" w:cs="Arial" w:eastAsia="Arial" w:hAnsi="Arial"/>
                <w:sz w:val="13"/>
                <w:szCs w:val="13"/>
                <w:b w:val="1"/>
                <w:bCs w:val="1"/>
                <w:color w:val="0E191E"/>
              </w:rPr>
              <w:t>Mike Rosenbaum</w:t>
            </w:r>
          </w:p>
        </w:tc>
        <w:tc>
          <w:tcPr>
            <w:tcW w:w="840" w:type="dxa"/>
            <w:vAlign w:val="bottom"/>
          </w:tcPr>
          <w:p>
            <w:pPr>
              <w:jc w:val="center"/>
              <w:ind w:left="113"/>
              <w:spacing w:after="0"/>
              <w:rPr>
                <w:sz w:val="20"/>
                <w:szCs w:val="20"/>
                <w:color w:val="auto"/>
              </w:rPr>
            </w:pPr>
            <w:r>
              <w:rPr>
                <w:rFonts w:ascii="Arial" w:cs="Arial" w:eastAsia="Arial" w:hAnsi="Arial"/>
                <w:sz w:val="13"/>
                <w:szCs w:val="13"/>
                <w:color w:val="0E191E"/>
                <w:w w:val="96"/>
              </w:rPr>
              <w:t>50</w:t>
            </w:r>
          </w:p>
        </w:tc>
        <w:tc>
          <w:tcPr>
            <w:tcW w:w="2840" w:type="dxa"/>
            <w:vAlign w:val="bottom"/>
          </w:tcPr>
          <w:p>
            <w:pPr>
              <w:ind w:left="220"/>
              <w:spacing w:after="0"/>
              <w:rPr>
                <w:sz w:val="20"/>
                <w:szCs w:val="20"/>
                <w:color w:val="auto"/>
              </w:rPr>
            </w:pPr>
            <w:r>
              <w:rPr>
                <w:rFonts w:ascii="Arial" w:cs="Arial" w:eastAsia="Arial" w:hAnsi="Arial"/>
                <w:sz w:val="13"/>
                <w:szCs w:val="13"/>
                <w:color w:val="0E191E"/>
              </w:rPr>
              <w:t>Chief Executive Officer and Director</w:t>
            </w:r>
          </w:p>
        </w:tc>
        <w:tc>
          <w:tcPr>
            <w:tcW w:w="1040" w:type="dxa"/>
            <w:vAlign w:val="bottom"/>
          </w:tcPr>
          <w:p>
            <w:pPr>
              <w:jc w:val="center"/>
              <w:ind w:left="73"/>
              <w:spacing w:after="0"/>
              <w:rPr>
                <w:sz w:val="20"/>
                <w:szCs w:val="20"/>
                <w:color w:val="auto"/>
              </w:rPr>
            </w:pPr>
            <w:r>
              <w:rPr>
                <w:rFonts w:ascii="Arial" w:cs="Arial" w:eastAsia="Arial" w:hAnsi="Arial"/>
                <w:sz w:val="13"/>
                <w:szCs w:val="13"/>
                <w:color w:val="0E191E"/>
              </w:rPr>
              <w:t>2019</w:t>
            </w:r>
          </w:p>
        </w:tc>
      </w:tr>
      <w:tr>
        <w:trPr>
          <w:trHeight w:val="108"/>
        </w:trPr>
        <w:tc>
          <w:tcPr>
            <w:tcW w:w="2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56"/>
        </w:trPr>
        <w:tc>
          <w:tcPr>
            <w:tcW w:w="2660" w:type="dxa"/>
            <w:vAlign w:val="bottom"/>
            <w:shd w:val="clear" w:color="auto" w:fill="E7F1F5"/>
          </w:tcPr>
          <w:p>
            <w:pPr>
              <w:ind w:left="180"/>
              <w:spacing w:after="0"/>
              <w:rPr>
                <w:sz w:val="20"/>
                <w:szCs w:val="20"/>
                <w:color w:val="auto"/>
              </w:rPr>
            </w:pPr>
            <w:r>
              <w:rPr>
                <w:rFonts w:ascii="Arial" w:cs="Arial" w:eastAsia="Arial" w:hAnsi="Arial"/>
                <w:sz w:val="13"/>
                <w:szCs w:val="13"/>
                <w:b w:val="1"/>
                <w:bCs w:val="1"/>
                <w:color w:val="0E191E"/>
              </w:rPr>
              <w:t>Andrew Brown</w:t>
            </w:r>
          </w:p>
        </w:tc>
        <w:tc>
          <w:tcPr>
            <w:tcW w:w="840" w:type="dxa"/>
            <w:vAlign w:val="bottom"/>
            <w:shd w:val="clear" w:color="auto" w:fill="E7F1F5"/>
          </w:tcPr>
          <w:p>
            <w:pPr>
              <w:jc w:val="center"/>
              <w:ind w:left="113"/>
              <w:spacing w:after="0"/>
              <w:rPr>
                <w:sz w:val="20"/>
                <w:szCs w:val="20"/>
                <w:color w:val="auto"/>
              </w:rPr>
            </w:pPr>
            <w:r>
              <w:rPr>
                <w:rFonts w:ascii="Arial" w:cs="Arial" w:eastAsia="Arial" w:hAnsi="Arial"/>
                <w:sz w:val="13"/>
                <w:szCs w:val="13"/>
                <w:color w:val="0E191E"/>
                <w:w w:val="96"/>
              </w:rPr>
              <w:t>58</w:t>
            </w:r>
          </w:p>
        </w:tc>
        <w:tc>
          <w:tcPr>
            <w:tcW w:w="2840" w:type="dxa"/>
            <w:vAlign w:val="bottom"/>
            <w:shd w:val="clear" w:color="auto" w:fill="E7F1F5"/>
          </w:tcPr>
          <w:p>
            <w:pPr>
              <w:ind w:left="220"/>
              <w:spacing w:after="0"/>
              <w:rPr>
                <w:sz w:val="20"/>
                <w:szCs w:val="20"/>
                <w:color w:val="auto"/>
              </w:rPr>
            </w:pPr>
            <w:r>
              <w:rPr>
                <w:rFonts w:ascii="Arial" w:cs="Arial" w:eastAsia="Arial" w:hAnsi="Arial"/>
                <w:sz w:val="13"/>
                <w:szCs w:val="13"/>
                <w:color w:val="0E191E"/>
              </w:rPr>
              <w:t>Director</w:t>
            </w:r>
          </w:p>
        </w:tc>
        <w:tc>
          <w:tcPr>
            <w:tcW w:w="1040" w:type="dxa"/>
            <w:vAlign w:val="bottom"/>
            <w:shd w:val="clear" w:color="auto" w:fill="E7F1F5"/>
          </w:tcPr>
          <w:p>
            <w:pPr>
              <w:jc w:val="center"/>
              <w:ind w:left="73"/>
              <w:spacing w:after="0"/>
              <w:rPr>
                <w:sz w:val="20"/>
                <w:szCs w:val="20"/>
                <w:color w:val="auto"/>
              </w:rPr>
            </w:pPr>
            <w:r>
              <w:rPr>
                <w:rFonts w:ascii="Arial" w:cs="Arial" w:eastAsia="Arial" w:hAnsi="Arial"/>
                <w:sz w:val="13"/>
                <w:szCs w:val="13"/>
                <w:color w:val="0E191E"/>
              </w:rPr>
              <w:t>2013</w:t>
            </w:r>
          </w:p>
        </w:tc>
      </w:tr>
      <w:tr>
        <w:trPr>
          <w:trHeight w:val="108"/>
        </w:trPr>
        <w:tc>
          <w:tcPr>
            <w:tcW w:w="2660" w:type="dxa"/>
            <w:vAlign w:val="bottom"/>
            <w:shd w:val="clear" w:color="auto" w:fill="E7F1F5"/>
          </w:tcPr>
          <w:p>
            <w:pPr>
              <w:spacing w:after="0"/>
              <w:rPr>
                <w:sz w:val="9"/>
                <w:szCs w:val="9"/>
                <w:color w:val="auto"/>
              </w:rPr>
            </w:pPr>
          </w:p>
        </w:tc>
        <w:tc>
          <w:tcPr>
            <w:tcW w:w="840" w:type="dxa"/>
            <w:vAlign w:val="bottom"/>
            <w:shd w:val="clear" w:color="auto" w:fill="E7F1F5"/>
          </w:tcPr>
          <w:p>
            <w:pPr>
              <w:spacing w:after="0"/>
              <w:rPr>
                <w:sz w:val="9"/>
                <w:szCs w:val="9"/>
                <w:color w:val="auto"/>
              </w:rPr>
            </w:pPr>
          </w:p>
        </w:tc>
        <w:tc>
          <w:tcPr>
            <w:tcW w:w="2840" w:type="dxa"/>
            <w:vAlign w:val="bottom"/>
            <w:shd w:val="clear" w:color="auto" w:fill="E7F1F5"/>
          </w:tcPr>
          <w:p>
            <w:pPr>
              <w:spacing w:after="0"/>
              <w:rPr>
                <w:sz w:val="9"/>
                <w:szCs w:val="9"/>
                <w:color w:val="auto"/>
              </w:rPr>
            </w:pPr>
          </w:p>
        </w:tc>
        <w:tc>
          <w:tcPr>
            <w:tcW w:w="1040" w:type="dxa"/>
            <w:vAlign w:val="bottom"/>
            <w:shd w:val="clear" w:color="auto" w:fill="E7F1F5"/>
          </w:tcPr>
          <w:p>
            <w:pPr>
              <w:spacing w:after="0"/>
              <w:rPr>
                <w:sz w:val="9"/>
                <w:szCs w:val="9"/>
                <w:color w:val="auto"/>
              </w:rPr>
            </w:pPr>
          </w:p>
        </w:tc>
      </w:tr>
      <w:tr>
        <w:trPr>
          <w:trHeight w:val="188"/>
        </w:trPr>
        <w:tc>
          <w:tcPr>
            <w:tcW w:w="2660" w:type="dxa"/>
            <w:vAlign w:val="bottom"/>
          </w:tcPr>
          <w:p>
            <w:pPr>
              <w:ind w:left="180"/>
              <w:spacing w:after="0"/>
              <w:rPr>
                <w:sz w:val="20"/>
                <w:szCs w:val="20"/>
                <w:color w:val="auto"/>
              </w:rPr>
            </w:pPr>
            <w:r>
              <w:rPr>
                <w:rFonts w:ascii="Arial" w:cs="Arial" w:eastAsia="Arial" w:hAnsi="Arial"/>
                <w:sz w:val="13"/>
                <w:szCs w:val="13"/>
                <w:b w:val="1"/>
                <w:bCs w:val="1"/>
                <w:color w:val="0E191E"/>
              </w:rPr>
              <w:t>Margaret Dillon</w:t>
            </w:r>
          </w:p>
        </w:tc>
        <w:tc>
          <w:tcPr>
            <w:tcW w:w="840" w:type="dxa"/>
            <w:vAlign w:val="bottom"/>
          </w:tcPr>
          <w:p>
            <w:pPr>
              <w:jc w:val="center"/>
              <w:ind w:left="113"/>
              <w:spacing w:after="0"/>
              <w:rPr>
                <w:sz w:val="20"/>
                <w:szCs w:val="20"/>
                <w:color w:val="auto"/>
              </w:rPr>
            </w:pPr>
            <w:r>
              <w:rPr>
                <w:rFonts w:ascii="Arial" w:cs="Arial" w:eastAsia="Arial" w:hAnsi="Arial"/>
                <w:sz w:val="13"/>
                <w:szCs w:val="13"/>
                <w:color w:val="0E191E"/>
                <w:w w:val="96"/>
              </w:rPr>
              <w:t>62</w:t>
            </w:r>
          </w:p>
        </w:tc>
        <w:tc>
          <w:tcPr>
            <w:tcW w:w="2840" w:type="dxa"/>
            <w:vAlign w:val="bottom"/>
          </w:tcPr>
          <w:p>
            <w:pPr>
              <w:ind w:left="220"/>
              <w:spacing w:after="0"/>
              <w:rPr>
                <w:sz w:val="20"/>
                <w:szCs w:val="20"/>
                <w:color w:val="auto"/>
              </w:rPr>
            </w:pPr>
            <w:r>
              <w:rPr>
                <w:rFonts w:ascii="Arial" w:cs="Arial" w:eastAsia="Arial" w:hAnsi="Arial"/>
                <w:sz w:val="13"/>
                <w:szCs w:val="13"/>
                <w:color w:val="0E191E"/>
              </w:rPr>
              <w:t>Director</w:t>
            </w:r>
          </w:p>
        </w:tc>
        <w:tc>
          <w:tcPr>
            <w:tcW w:w="1040" w:type="dxa"/>
            <w:vAlign w:val="bottom"/>
          </w:tcPr>
          <w:p>
            <w:pPr>
              <w:jc w:val="center"/>
              <w:ind w:left="73"/>
              <w:spacing w:after="0"/>
              <w:rPr>
                <w:sz w:val="20"/>
                <w:szCs w:val="20"/>
                <w:color w:val="auto"/>
              </w:rPr>
            </w:pPr>
            <w:r>
              <w:rPr>
                <w:rFonts w:ascii="Arial" w:cs="Arial" w:eastAsia="Arial" w:hAnsi="Arial"/>
                <w:sz w:val="13"/>
                <w:szCs w:val="13"/>
                <w:color w:val="0E191E"/>
              </w:rPr>
              <w:t>2019</w:t>
            </w:r>
          </w:p>
        </w:tc>
      </w:tr>
      <w:tr>
        <w:trPr>
          <w:trHeight w:val="28"/>
        </w:trPr>
        <w:tc>
          <w:tcPr>
            <w:tcW w:w="2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2660" w:type="dxa"/>
            <w:vAlign w:val="bottom"/>
            <w:tcBorders>
              <w:bottom w:val="single" w:sz="8" w:color="E7F1F5"/>
            </w:tcBorders>
            <w:shd w:val="clear" w:color="auto" w:fill="E7F1F5"/>
          </w:tcPr>
          <w:p>
            <w:pPr>
              <w:ind w:left="180"/>
              <w:spacing w:after="0"/>
              <w:rPr>
                <w:sz w:val="20"/>
                <w:szCs w:val="20"/>
                <w:color w:val="auto"/>
              </w:rPr>
            </w:pPr>
            <w:r>
              <w:rPr>
                <w:rFonts w:ascii="Arial" w:cs="Arial" w:eastAsia="Arial" w:hAnsi="Arial"/>
                <w:sz w:val="13"/>
                <w:szCs w:val="13"/>
                <w:b w:val="1"/>
                <w:bCs w:val="1"/>
                <w:color w:val="0E191E"/>
              </w:rPr>
              <w:t>Michael Keller</w:t>
            </w:r>
          </w:p>
        </w:tc>
        <w:tc>
          <w:tcPr>
            <w:tcW w:w="840" w:type="dxa"/>
            <w:vAlign w:val="bottom"/>
            <w:tcBorders>
              <w:bottom w:val="single" w:sz="8" w:color="E7F1F5"/>
            </w:tcBorders>
            <w:shd w:val="clear" w:color="auto" w:fill="E7F1F5"/>
          </w:tcPr>
          <w:p>
            <w:pPr>
              <w:jc w:val="center"/>
              <w:ind w:left="113"/>
              <w:spacing w:after="0"/>
              <w:rPr>
                <w:sz w:val="20"/>
                <w:szCs w:val="20"/>
                <w:color w:val="auto"/>
              </w:rPr>
            </w:pPr>
            <w:r>
              <w:rPr>
                <w:rFonts w:ascii="Arial" w:cs="Arial" w:eastAsia="Arial" w:hAnsi="Arial"/>
                <w:sz w:val="13"/>
                <w:szCs w:val="13"/>
                <w:color w:val="0E191E"/>
                <w:w w:val="96"/>
              </w:rPr>
              <w:t>61</w:t>
            </w:r>
          </w:p>
        </w:tc>
        <w:tc>
          <w:tcPr>
            <w:tcW w:w="2840" w:type="dxa"/>
            <w:vAlign w:val="bottom"/>
            <w:tcBorders>
              <w:bottom w:val="single" w:sz="8" w:color="E7F1F5"/>
            </w:tcBorders>
            <w:shd w:val="clear" w:color="auto" w:fill="E7F1F5"/>
          </w:tcPr>
          <w:p>
            <w:pPr>
              <w:ind w:left="220"/>
              <w:spacing w:after="0"/>
              <w:rPr>
                <w:sz w:val="20"/>
                <w:szCs w:val="20"/>
                <w:color w:val="auto"/>
              </w:rPr>
            </w:pPr>
            <w:r>
              <w:rPr>
                <w:rFonts w:ascii="Arial" w:cs="Arial" w:eastAsia="Arial" w:hAnsi="Arial"/>
                <w:sz w:val="13"/>
                <w:szCs w:val="13"/>
                <w:color w:val="0E191E"/>
              </w:rPr>
              <w:t>Lead Customer Advocate and Director</w:t>
            </w:r>
          </w:p>
        </w:tc>
        <w:tc>
          <w:tcPr>
            <w:tcW w:w="1040" w:type="dxa"/>
            <w:vAlign w:val="bottom"/>
            <w:tcBorders>
              <w:bottom w:val="single" w:sz="8" w:color="E7F1F5"/>
            </w:tcBorders>
            <w:shd w:val="clear" w:color="auto" w:fill="E7F1F5"/>
          </w:tcPr>
          <w:p>
            <w:pPr>
              <w:jc w:val="center"/>
              <w:ind w:left="73"/>
              <w:spacing w:after="0"/>
              <w:rPr>
                <w:sz w:val="20"/>
                <w:szCs w:val="20"/>
                <w:color w:val="auto"/>
              </w:rPr>
            </w:pPr>
            <w:r>
              <w:rPr>
                <w:rFonts w:ascii="Arial" w:cs="Arial" w:eastAsia="Arial" w:hAnsi="Arial"/>
                <w:sz w:val="13"/>
                <w:szCs w:val="13"/>
                <w:color w:val="0E191E"/>
              </w:rPr>
              <w:t>2019</w:t>
            </w:r>
          </w:p>
        </w:tc>
      </w:tr>
      <w:tr>
        <w:trPr>
          <w:trHeight w:val="188"/>
        </w:trPr>
        <w:tc>
          <w:tcPr>
            <w:tcW w:w="2660" w:type="dxa"/>
            <w:vAlign w:val="bottom"/>
          </w:tcPr>
          <w:p>
            <w:pPr>
              <w:ind w:left="180"/>
              <w:spacing w:after="0"/>
              <w:rPr>
                <w:sz w:val="20"/>
                <w:szCs w:val="20"/>
                <w:color w:val="auto"/>
              </w:rPr>
            </w:pPr>
            <w:r>
              <w:rPr>
                <w:rFonts w:ascii="Arial" w:cs="Arial" w:eastAsia="Arial" w:hAnsi="Arial"/>
                <w:sz w:val="13"/>
                <w:szCs w:val="13"/>
                <w:b w:val="1"/>
                <w:bCs w:val="1"/>
                <w:color w:val="0E191E"/>
              </w:rPr>
              <w:t>Catherine P. Lego</w:t>
            </w:r>
          </w:p>
        </w:tc>
        <w:tc>
          <w:tcPr>
            <w:tcW w:w="840" w:type="dxa"/>
            <w:vAlign w:val="bottom"/>
          </w:tcPr>
          <w:p>
            <w:pPr>
              <w:jc w:val="center"/>
              <w:ind w:left="113"/>
              <w:spacing w:after="0"/>
              <w:rPr>
                <w:sz w:val="20"/>
                <w:szCs w:val="20"/>
                <w:color w:val="auto"/>
              </w:rPr>
            </w:pPr>
            <w:r>
              <w:rPr>
                <w:rFonts w:ascii="Arial" w:cs="Arial" w:eastAsia="Arial" w:hAnsi="Arial"/>
                <w:sz w:val="13"/>
                <w:szCs w:val="13"/>
                <w:color w:val="0E191E"/>
                <w:w w:val="96"/>
              </w:rPr>
              <w:t>65</w:t>
            </w:r>
          </w:p>
        </w:tc>
        <w:tc>
          <w:tcPr>
            <w:tcW w:w="2840" w:type="dxa"/>
            <w:vAlign w:val="bottom"/>
          </w:tcPr>
          <w:p>
            <w:pPr>
              <w:ind w:left="220"/>
              <w:spacing w:after="0"/>
              <w:rPr>
                <w:sz w:val="20"/>
                <w:szCs w:val="20"/>
                <w:color w:val="auto"/>
              </w:rPr>
            </w:pPr>
            <w:r>
              <w:rPr>
                <w:rFonts w:ascii="Arial" w:cs="Arial" w:eastAsia="Arial" w:hAnsi="Arial"/>
                <w:sz w:val="13"/>
                <w:szCs w:val="13"/>
                <w:color w:val="0E191E"/>
              </w:rPr>
              <w:t>Director</w:t>
            </w:r>
          </w:p>
        </w:tc>
        <w:tc>
          <w:tcPr>
            <w:tcW w:w="1040" w:type="dxa"/>
            <w:vAlign w:val="bottom"/>
          </w:tcPr>
          <w:p>
            <w:pPr>
              <w:jc w:val="center"/>
              <w:ind w:left="73"/>
              <w:spacing w:after="0"/>
              <w:rPr>
                <w:sz w:val="20"/>
                <w:szCs w:val="20"/>
                <w:color w:val="auto"/>
              </w:rPr>
            </w:pPr>
            <w:r>
              <w:rPr>
                <w:rFonts w:ascii="Arial" w:cs="Arial" w:eastAsia="Arial" w:hAnsi="Arial"/>
                <w:sz w:val="13"/>
                <w:szCs w:val="13"/>
                <w:color w:val="0E191E"/>
              </w:rPr>
              <w:t>2019</w:t>
            </w:r>
          </w:p>
        </w:tc>
      </w:tr>
      <w:tr>
        <w:trPr>
          <w:trHeight w:val="28"/>
        </w:trPr>
        <w:tc>
          <w:tcPr>
            <w:tcW w:w="2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2660" w:type="dxa"/>
            <w:vAlign w:val="bottom"/>
            <w:tcBorders>
              <w:bottom w:val="single" w:sz="8" w:color="E7F1F5"/>
            </w:tcBorders>
            <w:shd w:val="clear" w:color="auto" w:fill="E7F1F5"/>
          </w:tcPr>
          <w:p>
            <w:pPr>
              <w:ind w:left="180"/>
              <w:spacing w:after="0"/>
              <w:rPr>
                <w:sz w:val="20"/>
                <w:szCs w:val="20"/>
                <w:color w:val="auto"/>
              </w:rPr>
            </w:pPr>
            <w:r>
              <w:rPr>
                <w:rFonts w:ascii="Arial" w:cs="Arial" w:eastAsia="Arial" w:hAnsi="Arial"/>
                <w:sz w:val="13"/>
                <w:szCs w:val="13"/>
                <w:b w:val="1"/>
                <w:bCs w:val="1"/>
                <w:color w:val="0E191E"/>
              </w:rPr>
              <w:t>Rajani Ramanathan</w:t>
            </w:r>
          </w:p>
        </w:tc>
        <w:tc>
          <w:tcPr>
            <w:tcW w:w="840" w:type="dxa"/>
            <w:vAlign w:val="bottom"/>
            <w:tcBorders>
              <w:bottom w:val="single" w:sz="8" w:color="E7F1F5"/>
            </w:tcBorders>
            <w:shd w:val="clear" w:color="auto" w:fill="E7F1F5"/>
          </w:tcPr>
          <w:p>
            <w:pPr>
              <w:jc w:val="center"/>
              <w:ind w:left="113"/>
              <w:spacing w:after="0"/>
              <w:rPr>
                <w:sz w:val="20"/>
                <w:szCs w:val="20"/>
                <w:color w:val="auto"/>
              </w:rPr>
            </w:pPr>
            <w:r>
              <w:rPr>
                <w:rFonts w:ascii="Arial" w:cs="Arial" w:eastAsia="Arial" w:hAnsi="Arial"/>
                <w:sz w:val="13"/>
                <w:szCs w:val="13"/>
                <w:color w:val="0E191E"/>
                <w:w w:val="96"/>
              </w:rPr>
              <w:t>54</w:t>
            </w:r>
          </w:p>
        </w:tc>
        <w:tc>
          <w:tcPr>
            <w:tcW w:w="2840" w:type="dxa"/>
            <w:vAlign w:val="bottom"/>
            <w:tcBorders>
              <w:bottom w:val="single" w:sz="8" w:color="E7F1F5"/>
            </w:tcBorders>
            <w:shd w:val="clear" w:color="auto" w:fill="E7F1F5"/>
          </w:tcPr>
          <w:p>
            <w:pPr>
              <w:ind w:left="220"/>
              <w:spacing w:after="0"/>
              <w:rPr>
                <w:sz w:val="20"/>
                <w:szCs w:val="20"/>
                <w:color w:val="auto"/>
              </w:rPr>
            </w:pPr>
            <w:r>
              <w:rPr>
                <w:rFonts w:ascii="Arial" w:cs="Arial" w:eastAsia="Arial" w:hAnsi="Arial"/>
                <w:sz w:val="13"/>
                <w:szCs w:val="13"/>
                <w:color w:val="0E191E"/>
              </w:rPr>
              <w:t>Director</w:t>
            </w:r>
          </w:p>
        </w:tc>
        <w:tc>
          <w:tcPr>
            <w:tcW w:w="1040" w:type="dxa"/>
            <w:vAlign w:val="bottom"/>
            <w:tcBorders>
              <w:bottom w:val="single" w:sz="8" w:color="E7F1F5"/>
            </w:tcBorders>
            <w:shd w:val="clear" w:color="auto" w:fill="E7F1F5"/>
          </w:tcPr>
          <w:p>
            <w:pPr>
              <w:jc w:val="center"/>
              <w:ind w:left="73"/>
              <w:spacing w:after="0"/>
              <w:rPr>
                <w:sz w:val="20"/>
                <w:szCs w:val="20"/>
                <w:color w:val="auto"/>
              </w:rPr>
            </w:pPr>
            <w:r>
              <w:rPr>
                <w:rFonts w:ascii="Arial" w:cs="Arial" w:eastAsia="Arial" w:hAnsi="Arial"/>
                <w:sz w:val="13"/>
                <w:szCs w:val="13"/>
                <w:color w:val="0E191E"/>
              </w:rPr>
              <w:t>2021</w:t>
            </w:r>
          </w:p>
        </w:tc>
      </w:tr>
      <w:tr>
        <w:trPr>
          <w:trHeight w:val="20"/>
        </w:trPr>
        <w:tc>
          <w:tcPr>
            <w:tcW w:w="2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94" w:lineRule="exact"/>
        <w:rPr>
          <w:sz w:val="20"/>
          <w:szCs w:val="20"/>
          <w:color w:val="auto"/>
        </w:rPr>
      </w:pPr>
    </w:p>
    <w:p>
      <w:pPr>
        <w:ind w:left="3400" w:right="20"/>
        <w:spacing w:after="0" w:line="308" w:lineRule="auto"/>
        <w:rPr>
          <w:sz w:val="20"/>
          <w:szCs w:val="20"/>
          <w:color w:val="auto"/>
        </w:rPr>
      </w:pPr>
      <w:r>
        <w:rPr>
          <w:rFonts w:ascii="Arial" w:cs="Arial" w:eastAsia="Arial" w:hAnsi="Arial"/>
          <w:sz w:val="15"/>
          <w:szCs w:val="15"/>
          <w:color w:val="0E191E"/>
        </w:rPr>
        <w:t>Our board believes that directors who provide a significant breadth of experience, knowledge, and abilities in areas relevant to our business, while also representing a diversity of perspectives, contribute to a well-balanced and effective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86360</wp:posOffset>
            </wp:positionV>
            <wp:extent cx="69176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506095</wp:posOffset>
            </wp:positionV>
            <wp:extent cx="1371600" cy="1371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400" w:right="20"/>
        <w:spacing w:after="0" w:line="304" w:lineRule="auto"/>
        <w:rPr>
          <w:sz w:val="20"/>
          <w:szCs w:val="20"/>
          <w:color w:val="auto"/>
        </w:rPr>
      </w:pPr>
      <w:r>
        <w:rPr>
          <w:rFonts w:ascii="Arial" w:cs="Arial" w:eastAsia="Arial" w:hAnsi="Arial"/>
          <w:sz w:val="15"/>
          <w:szCs w:val="15"/>
          <w:b w:val="1"/>
          <w:bCs w:val="1"/>
          <w:color w:val="00739D"/>
        </w:rPr>
        <w:t xml:space="preserve">Marcus S. Ryu </w:t>
      </w:r>
      <w:r>
        <w:rPr>
          <w:rFonts w:ascii="Arial" w:cs="Arial" w:eastAsia="Arial" w:hAnsi="Arial"/>
          <w:sz w:val="15"/>
          <w:szCs w:val="15"/>
          <w:color w:val="0E191E"/>
        </w:rPr>
        <w:t>is the Chairman of our board of directors, a position he has held since August 2019. From</w:t>
      </w:r>
      <w:r>
        <w:rPr>
          <w:rFonts w:ascii="Arial" w:cs="Arial" w:eastAsia="Arial" w:hAnsi="Arial"/>
          <w:sz w:val="15"/>
          <w:szCs w:val="15"/>
          <w:b w:val="1"/>
          <w:bCs w:val="1"/>
          <w:color w:val="00739D"/>
        </w:rPr>
        <w:t xml:space="preserve"> </w:t>
      </w:r>
      <w:r>
        <w:rPr>
          <w:rFonts w:ascii="Arial" w:cs="Arial" w:eastAsia="Arial" w:hAnsi="Arial"/>
          <w:sz w:val="15"/>
          <w:szCs w:val="15"/>
          <w:color w:val="0E191E"/>
        </w:rPr>
        <w:t>2010 to August 2019, Mr. Ryu was Guidewire’s President and CEO and had overall responsibility for our operations and strategic direction. Since co-founding the Company in 2001, he has held a variety of roles for the Company, including securing key customer relationships, communicating our value proposition, defining our product strategy, and has managed the engineering, sales, services, and strategy departments. He has served on our board of directors since 2001. Before Guidewire, Mr. Ryu was Vice President of Strategy at Ariba, Inc. and an Engagement Manager at McKinsey &amp; Company. He currently serves on the board of directors of BloomReach, Inc, Checkr, Inc., and Clearwater Analytics Holdings, Inc. From June 2018 to December 2020, he served on the board of Cornerstone OnDemand, Inc., a publicly traded platform provider for building application networks. He has an A.B. from Princeton University and a B.Phil. from New College, Oxford University.</w:t>
      </w:r>
    </w:p>
    <w:p>
      <w:pPr>
        <w:spacing w:after="0" w:line="12"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Marcus S. Ryu</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Age: 48</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Director Since: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2143125</wp:posOffset>
            </wp:positionH>
            <wp:positionV relativeFrom="paragraph">
              <wp:posOffset>-635</wp:posOffset>
            </wp:positionV>
            <wp:extent cx="4688840" cy="874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88840" cy="874395"/>
                    </a:xfrm>
                    <a:prstGeom prst="rect">
                      <a:avLst/>
                    </a:prstGeom>
                    <a:noFill/>
                  </pic:spPr>
                </pic:pic>
              </a:graphicData>
            </a:graphic>
          </wp:anchor>
        </w:drawing>
      </w:r>
    </w:p>
    <w:p>
      <w:pPr>
        <w:spacing w:after="0" w:line="285" w:lineRule="exact"/>
        <w:rPr>
          <w:sz w:val="20"/>
          <w:szCs w:val="20"/>
          <w:color w:val="auto"/>
        </w:rPr>
      </w:pPr>
    </w:p>
    <w:p>
      <w:pPr>
        <w:jc w:val="both"/>
        <w:ind w:left="3560" w:right="40"/>
        <w:spacing w:after="0" w:line="308" w:lineRule="auto"/>
        <w:rPr>
          <w:sz w:val="20"/>
          <w:szCs w:val="20"/>
          <w:color w:val="auto"/>
        </w:rPr>
      </w:pPr>
      <w:r>
        <w:rPr>
          <w:rFonts w:ascii="Arial" w:cs="Arial" w:eastAsia="Arial" w:hAnsi="Arial"/>
          <w:sz w:val="15"/>
          <w:szCs w:val="15"/>
          <w:color w:val="0E191E"/>
        </w:rPr>
        <w:t>Our board of directors believes that Mr. Ryu is qualified to serve as a director based on his experience as co-founder and former CEO of Guidewire and his extensive service across a broad spectrum of Guidewire functions, including strategy, business development, operations, engineering,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497840</wp:posOffset>
            </wp:positionV>
            <wp:extent cx="68408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306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11</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800" w:top="1048"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508000</wp:posOffset>
            </wp:positionH>
            <wp:positionV relativeFrom="page">
              <wp:posOffset>534670</wp:posOffset>
            </wp:positionV>
            <wp:extent cx="1371600" cy="1371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Paul Lavin</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Age: 59</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Director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915670</wp:posOffset>
            </wp:positionV>
            <wp:extent cx="1371600" cy="1371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6" w:lineRule="auto"/>
        <w:rPr>
          <w:sz w:val="20"/>
          <w:szCs w:val="20"/>
          <w:color w:val="auto"/>
        </w:rPr>
      </w:pPr>
      <w:r>
        <w:rPr>
          <w:rFonts w:ascii="Arial" w:cs="Arial" w:eastAsia="Arial" w:hAnsi="Arial"/>
          <w:sz w:val="15"/>
          <w:szCs w:val="15"/>
          <w:b w:val="1"/>
          <w:bCs w:val="1"/>
          <w:color w:val="00739D"/>
        </w:rPr>
        <w:t xml:space="preserve">Paul Lavin </w:t>
      </w:r>
      <w:r>
        <w:rPr>
          <w:rFonts w:ascii="Arial" w:cs="Arial" w:eastAsia="Arial" w:hAnsi="Arial"/>
          <w:sz w:val="15"/>
          <w:szCs w:val="15"/>
          <w:color w:val="0E191E"/>
        </w:rPr>
        <w:t>is our Lead Independent Director and has served on our board of directors since 2014. Mr. Lavin</w:t>
      </w:r>
      <w:r>
        <w:rPr>
          <w:rFonts w:ascii="Arial" w:cs="Arial" w:eastAsia="Arial" w:hAnsi="Arial"/>
          <w:sz w:val="15"/>
          <w:szCs w:val="15"/>
          <w:b w:val="1"/>
          <w:bCs w:val="1"/>
          <w:color w:val="00739D"/>
        </w:rPr>
        <w:t xml:space="preserve"> </w:t>
      </w:r>
      <w:r>
        <w:rPr>
          <w:rFonts w:ascii="Arial" w:cs="Arial" w:eastAsia="Arial" w:hAnsi="Arial"/>
          <w:sz w:val="15"/>
          <w:szCs w:val="15"/>
          <w:color w:val="0E191E"/>
        </w:rPr>
        <w:t>is the President and Chief Executive Officer of American Health Holding, Inc. where he joined the company in 2008. Since 2017, he has served as Executive Director of First Health Network. Both are leading health insurance-related companies and subsidiaries of Aetna, Prior to joining Aetna, Mr. Lavin was a Managing Director at KPMG Consulting/Bearingpoint, where his focus was on financial services, primarily insurance. Mr. Lavin was formerly a Senior Vice President at Prudential, an executive at Alexander &amp; Alexander, a Principal at Mercer Management Consulting, and an auditor at Price Waterhouse, where he was a CPA. He holds both a B.S. in Economics and an M.B.A. from the University of Pennsylvania's Wharton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534035</wp:posOffset>
            </wp:positionV>
            <wp:extent cx="4688840" cy="7461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8884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160" w:right="240"/>
        <w:spacing w:after="0" w:line="308" w:lineRule="auto"/>
        <w:rPr>
          <w:sz w:val="20"/>
          <w:szCs w:val="20"/>
          <w:color w:val="auto"/>
        </w:rPr>
      </w:pPr>
      <w:r>
        <w:rPr>
          <w:rFonts w:ascii="Arial" w:cs="Arial" w:eastAsia="Arial" w:hAnsi="Arial"/>
          <w:sz w:val="15"/>
          <w:szCs w:val="15"/>
          <w:color w:val="0E191E"/>
        </w:rPr>
        <w:t>Our board of directors believes that Mr. Lavin is qualified to serve as a director based on his executive leadership roles and broad expertise in the industry, including as a systems integrator in the consulting and insurance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368935</wp:posOffset>
            </wp:positionV>
            <wp:extent cx="68408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720"/>
            <w:col w:w="7320"/>
          </w:cols>
          <w:pgMar w:left="800" w:top="84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Mike</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Rosenbaum</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Age: 50</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469900</wp:posOffset>
            </wp:positionV>
            <wp:extent cx="21431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b w:val="1"/>
          <w:bCs w:val="1"/>
          <w:color w:val="00739D"/>
        </w:rPr>
        <w:t xml:space="preserve">Mike Rosenbaum </w:t>
      </w:r>
      <w:r>
        <w:rPr>
          <w:rFonts w:ascii="Arial" w:cs="Arial" w:eastAsia="Arial" w:hAnsi="Arial"/>
          <w:sz w:val="15"/>
          <w:szCs w:val="15"/>
          <w:color w:val="0E191E"/>
        </w:rPr>
        <w:t>is our Chief Executive Officer (“CEO”) and has served on our board of directors since he</w:t>
      </w:r>
      <w:r>
        <w:rPr>
          <w:rFonts w:ascii="Arial" w:cs="Arial" w:eastAsia="Arial" w:hAnsi="Arial"/>
          <w:sz w:val="15"/>
          <w:szCs w:val="15"/>
          <w:b w:val="1"/>
          <w:bCs w:val="1"/>
          <w:color w:val="00739D"/>
        </w:rPr>
        <w:t xml:space="preserve"> </w:t>
      </w:r>
      <w:r>
        <w:rPr>
          <w:rFonts w:ascii="Arial" w:cs="Arial" w:eastAsia="Arial" w:hAnsi="Arial"/>
          <w:sz w:val="15"/>
          <w:szCs w:val="15"/>
          <w:color w:val="0E191E"/>
        </w:rPr>
        <w:t>became our CEO in August 2019. Prior to joining Guidewire, Mr. Rosenbaum was EVP Product at salesforce.com, inc. (“Salesforce”), with responsibility for vision, strategy, product management, customer success and adoption from January 2016 to July 2019. Since joining Salesforce in 2005, Mr. Rosenbaum held several leadership positions and drove many of Salesforce’s most notable product achievements. Prior to joining Salesforce, Mr. Rosenbaum held various technology and marketing roles at Siebel Systems from 2002 to 2005 and served in the U.S. Navy as a submarine officer from 1994 to 1999. Mr. Rosenbaum holds a B.S. in Systems Engineering from the United States Naval Academy and an M.B.A. from the Haas School of Business at the University of California Berkeley.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389890</wp:posOffset>
            </wp:positionV>
            <wp:extent cx="4697730" cy="900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9773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60" w:right="240"/>
        <w:spacing w:after="0" w:line="308" w:lineRule="auto"/>
        <w:rPr>
          <w:sz w:val="20"/>
          <w:szCs w:val="20"/>
          <w:color w:val="auto"/>
        </w:rPr>
      </w:pPr>
      <w:r>
        <w:rPr>
          <w:rFonts w:ascii="Arial" w:cs="Arial" w:eastAsia="Arial" w:hAnsi="Arial"/>
          <w:sz w:val="15"/>
          <w:szCs w:val="15"/>
          <w:color w:val="0E191E"/>
        </w:rPr>
        <w:t>Our board of directors believes that Mr. Rosenbaum is qualified to serve as a director because of his experience in growing a cloud company and his leadership abilities, including his experience in leading product development and go-to-market strategy at Salesforce.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523240</wp:posOffset>
            </wp:positionV>
            <wp:extent cx="46977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2660" w:space="720"/>
            <w:col w:w="7340"/>
          </w:cols>
          <w:pgMar w:left="800" w:top="84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306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12</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800" w:top="847" w:right="37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508000</wp:posOffset>
            </wp:positionH>
            <wp:positionV relativeFrom="page">
              <wp:posOffset>534670</wp:posOffset>
            </wp:positionV>
            <wp:extent cx="1371600" cy="1371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Andrew</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Brown</w:t>
      </w:r>
    </w:p>
    <w:p>
      <w:pPr>
        <w:spacing w:after="0" w:line="20" w:lineRule="exact"/>
        <w:rPr>
          <w:sz w:val="20"/>
          <w:szCs w:val="20"/>
          <w:color w:val="auto"/>
        </w:rPr>
      </w:pPr>
      <w:r>
        <w:rPr>
          <w:sz w:val="20"/>
          <w:szCs w:val="20"/>
          <w:color w:val="auto"/>
        </w:rPr>
        <w:br w:type="column"/>
      </w:r>
    </w:p>
    <w:p>
      <w:pPr>
        <w:ind w:right="60"/>
        <w:spacing w:after="0" w:line="304" w:lineRule="auto"/>
        <w:rPr>
          <w:sz w:val="20"/>
          <w:szCs w:val="20"/>
          <w:color w:val="auto"/>
        </w:rPr>
      </w:pPr>
      <w:r>
        <w:rPr>
          <w:rFonts w:ascii="Arial" w:cs="Arial" w:eastAsia="Arial" w:hAnsi="Arial"/>
          <w:sz w:val="15"/>
          <w:szCs w:val="15"/>
          <w:b w:val="1"/>
          <w:bCs w:val="1"/>
          <w:color w:val="00739D"/>
        </w:rPr>
        <w:t xml:space="preserve">Andrew Brown </w:t>
      </w:r>
      <w:r>
        <w:rPr>
          <w:rFonts w:ascii="Arial" w:cs="Arial" w:eastAsia="Arial" w:hAnsi="Arial"/>
          <w:sz w:val="15"/>
          <w:szCs w:val="15"/>
          <w:color w:val="0E191E"/>
        </w:rPr>
        <w:t>has served on our board of directors since 2013. Mr. Brown currently serves as CEO of</w:t>
      </w:r>
      <w:r>
        <w:rPr>
          <w:rFonts w:ascii="Arial" w:cs="Arial" w:eastAsia="Arial" w:hAnsi="Arial"/>
          <w:sz w:val="15"/>
          <w:szCs w:val="15"/>
          <w:b w:val="1"/>
          <w:bCs w:val="1"/>
          <w:color w:val="00739D"/>
        </w:rPr>
        <w:t xml:space="preserve"> </w:t>
      </w:r>
      <w:r>
        <w:rPr>
          <w:rFonts w:ascii="Arial" w:cs="Arial" w:eastAsia="Arial" w:hAnsi="Arial"/>
          <w:sz w:val="15"/>
          <w:szCs w:val="15"/>
          <w:color w:val="0E191E"/>
        </w:rPr>
        <w:t>Sand Hill East, LLC, which provides strategic management, investment, and marketing services to emerging companies. Mr. Brown also serves on the board of directors of Zscaler, Inc., a publicly traded company providing cloud security services, Moogsoft, a next generation AI-Operations company, and Pure Storage, Inc., a publicly traded software-defined data storage solutions company. He currently serves on the compensation committees of Pure Storage, Inc. and Zscaler, Inc. He previously served on the boards of LMRKTS LLC, a company providing FX and Swaps compression utilities from 2017 to 2021, and SiteHands, a company providing field engineering as a service, from 2017 to 2020. Mr. Brown is also CEO and co-owner of Biz Tectonics LLC, a privately held consulting company. From September 2010 to October 2013, Mr. Brown served as Group Chief Technology Officer of UBS, an investment bank. Prior to that, Mr. Brown served in a variety of executive management and leadership roles at a variety of leading banking companies including Bank of America, Merrill Lynch and Credit Suisse. Mr. Brown holds a B.Sc. Honors Degree in Chemical Physics from University College London.</w:t>
      </w:r>
    </w:p>
    <w:p>
      <w:pPr>
        <w:spacing w:after="0" w:line="426" w:lineRule="exact"/>
        <w:rPr>
          <w:sz w:val="20"/>
          <w:szCs w:val="20"/>
          <w:color w:val="auto"/>
        </w:rPr>
      </w:pPr>
    </w:p>
    <w:p>
      <w:pPr>
        <w:sectPr>
          <w:pgSz w:w="11900" w:h="16838" w:orient="portrait"/>
          <w:cols w:equalWidth="0" w:num="2">
            <w:col w:w="2680" w:space="720"/>
            <w:col w:w="7360"/>
          </w:cols>
          <w:pgMar w:left="800" w:top="847" w:right="339" w:bottom="1440" w:gutter="0" w:footer="0" w:header="0"/>
        </w:sectPr>
      </w:pPr>
    </w:p>
    <w:p>
      <w:pPr>
        <w:spacing w:after="0"/>
        <w:rPr>
          <w:sz w:val="20"/>
          <w:szCs w:val="20"/>
          <w:color w:val="auto"/>
        </w:rPr>
      </w:pPr>
      <w:r>
        <w:rPr>
          <w:rFonts w:ascii="Arial" w:cs="Arial" w:eastAsia="Arial" w:hAnsi="Arial"/>
          <w:sz w:val="15"/>
          <w:szCs w:val="15"/>
          <w:b w:val="1"/>
          <w:bCs w:val="1"/>
          <w:color w:val="0E191E"/>
        </w:rPr>
        <w:t>Age: 57</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Director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2143125</wp:posOffset>
            </wp:positionH>
            <wp:positionV relativeFrom="paragraph">
              <wp:posOffset>161290</wp:posOffset>
            </wp:positionV>
            <wp:extent cx="4688840" cy="908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88840" cy="90868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3560" w:right="260"/>
        <w:spacing w:after="0" w:line="314" w:lineRule="auto"/>
        <w:rPr>
          <w:sz w:val="20"/>
          <w:szCs w:val="20"/>
          <w:color w:val="auto"/>
        </w:rPr>
      </w:pPr>
      <w:r>
        <w:rPr>
          <w:rFonts w:ascii="Arial" w:cs="Arial" w:eastAsia="Arial" w:hAnsi="Arial"/>
          <w:sz w:val="15"/>
          <w:szCs w:val="15"/>
          <w:color w:val="0E191E"/>
        </w:rPr>
        <w:t>Our board of directors believes that Mr. Brown is qualified to serve as a director based on his extensive and broad background in business management, including his experience as chief technology officer of Fortune 500 companies, as well as his service on the board of directors of other 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523875</wp:posOffset>
            </wp:positionV>
            <wp:extent cx="68408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892175</wp:posOffset>
            </wp:positionV>
            <wp:extent cx="1371600" cy="1371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00" w:right="120"/>
        <w:spacing w:after="0" w:line="308" w:lineRule="auto"/>
        <w:rPr>
          <w:sz w:val="20"/>
          <w:szCs w:val="20"/>
          <w:color w:val="auto"/>
        </w:rPr>
      </w:pPr>
      <w:r>
        <w:rPr>
          <w:rFonts w:ascii="Arial" w:cs="Arial" w:eastAsia="Arial" w:hAnsi="Arial"/>
          <w:sz w:val="15"/>
          <w:szCs w:val="15"/>
          <w:b w:val="1"/>
          <w:bCs w:val="1"/>
          <w:color w:val="00739D"/>
        </w:rPr>
        <w:t xml:space="preserve">Margaret Dillon </w:t>
      </w:r>
      <w:r>
        <w:rPr>
          <w:rFonts w:ascii="Arial" w:cs="Arial" w:eastAsia="Arial" w:hAnsi="Arial"/>
          <w:sz w:val="15"/>
          <w:szCs w:val="15"/>
          <w:color w:val="0E191E"/>
        </w:rPr>
        <w:t>has served on our board of directors since September 2019. From December 1993 to</w:t>
      </w:r>
      <w:r>
        <w:rPr>
          <w:rFonts w:ascii="Arial" w:cs="Arial" w:eastAsia="Arial" w:hAnsi="Arial"/>
          <w:sz w:val="15"/>
          <w:szCs w:val="15"/>
          <w:b w:val="1"/>
          <w:bCs w:val="1"/>
          <w:color w:val="00739D"/>
        </w:rPr>
        <w:t xml:space="preserve"> </w:t>
      </w:r>
      <w:r>
        <w:rPr>
          <w:rFonts w:ascii="Arial" w:cs="Arial" w:eastAsia="Arial" w:hAnsi="Arial"/>
          <w:sz w:val="15"/>
          <w:szCs w:val="15"/>
          <w:color w:val="0E191E"/>
        </w:rPr>
        <w:t>September 2017, Ms. Dillon served in various roles at Liberty Mutual Insurance Company, a property and casualty insurer, including as Senior Vice President and Chief Financial Officer, Personal Insurance, and as Executive Vice President and Chief Customer Officer, U.S. Consumer Markets. Since May 2021, she has served as a member of the board of directors of White Mountains Insurance Group, Ltd. Ms. Dillon holds both a B.S. in Computer Science and an M.S. in Finance from Boston College.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505"/>
        </w:trPr>
        <w:tc>
          <w:tcPr>
            <w:tcW w:w="3380" w:type="dxa"/>
            <w:vAlign w:val="bottom"/>
            <w:vMerge w:val="restart"/>
          </w:tcPr>
          <w:p>
            <w:pPr>
              <w:spacing w:after="0"/>
              <w:rPr>
                <w:sz w:val="20"/>
                <w:szCs w:val="20"/>
                <w:color w:val="auto"/>
              </w:rPr>
            </w:pPr>
            <w:r>
              <w:rPr>
                <w:rFonts w:ascii="Arial" w:cs="Arial" w:eastAsia="Arial" w:hAnsi="Arial"/>
                <w:sz w:val="32"/>
                <w:szCs w:val="32"/>
                <w:b w:val="1"/>
                <w:bCs w:val="1"/>
                <w:color w:val="0E191E"/>
              </w:rPr>
              <w:t>Margaret</w:t>
            </w:r>
          </w:p>
        </w:tc>
        <w:tc>
          <w:tcPr>
            <w:tcW w:w="7080" w:type="dxa"/>
            <w:vAlign w:val="bottom"/>
            <w:shd w:val="clear" w:color="auto" w:fill="E7F1F5"/>
          </w:tcPr>
          <w:p>
            <w:pPr>
              <w:ind w:left="180"/>
              <w:spacing w:after="0"/>
              <w:rPr>
                <w:sz w:val="20"/>
                <w:szCs w:val="20"/>
                <w:color w:val="auto"/>
              </w:rPr>
            </w:pPr>
            <w:r>
              <w:rPr>
                <w:rFonts w:ascii="Arial" w:cs="Arial" w:eastAsia="Arial" w:hAnsi="Arial"/>
                <w:sz w:val="15"/>
                <w:szCs w:val="15"/>
                <w:color w:val="0E191E"/>
              </w:rPr>
              <w:t>Our board of directors believes that Ms. Dillon is qualified to serve as a director based on her</w:t>
            </w:r>
          </w:p>
        </w:tc>
        <w:tc>
          <w:tcPr>
            <w:tcW w:w="300" w:type="dxa"/>
            <w:vAlign w:val="bottom"/>
            <w:shd w:val="clear" w:color="auto" w:fill="E7F1F5"/>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3380" w:type="dxa"/>
            <w:vAlign w:val="bottom"/>
            <w:vMerge w:val="continue"/>
          </w:tcPr>
          <w:p>
            <w:pPr>
              <w:spacing w:after="0"/>
              <w:rPr>
                <w:sz w:val="2"/>
                <w:szCs w:val="2"/>
                <w:color w:val="auto"/>
              </w:rPr>
            </w:pPr>
          </w:p>
        </w:tc>
        <w:tc>
          <w:tcPr>
            <w:tcW w:w="7080" w:type="dxa"/>
            <w:vAlign w:val="bottom"/>
            <w:shd w:val="clear" w:color="auto" w:fill="E7F1F5"/>
          </w:tcPr>
          <w:p>
            <w:pPr>
              <w:ind w:left="180"/>
              <w:spacing w:after="0" w:line="32" w:lineRule="exact"/>
              <w:rPr>
                <w:sz w:val="20"/>
                <w:szCs w:val="20"/>
                <w:color w:val="auto"/>
              </w:rPr>
            </w:pPr>
            <w:r>
              <w:rPr>
                <w:rFonts w:ascii="Arial" w:cs="Arial" w:eastAsia="Arial" w:hAnsi="Arial"/>
                <w:sz w:val="3"/>
                <w:szCs w:val="3"/>
                <w:color w:val="0E191E"/>
              </w:rPr>
              <w:t>officer and chief customer officer of a Fortune 500 company, and her property and casualty insurance</w:t>
            </w:r>
          </w:p>
        </w:tc>
        <w:tc>
          <w:tcPr>
            <w:tcW w:w="300" w:type="dxa"/>
            <w:vAlign w:val="bottom"/>
            <w:shd w:val="clear" w:color="auto" w:fill="E7F1F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3380" w:type="dxa"/>
            <w:vAlign w:val="bottom"/>
            <w:vMerge w:val="restart"/>
          </w:tcPr>
          <w:p>
            <w:pPr>
              <w:spacing w:after="0"/>
              <w:rPr>
                <w:sz w:val="20"/>
                <w:szCs w:val="20"/>
                <w:color w:val="auto"/>
              </w:rPr>
            </w:pPr>
            <w:r>
              <w:rPr>
                <w:rFonts w:ascii="Arial" w:cs="Arial" w:eastAsia="Arial" w:hAnsi="Arial"/>
                <w:sz w:val="32"/>
                <w:szCs w:val="32"/>
                <w:b w:val="1"/>
                <w:bCs w:val="1"/>
                <w:color w:val="0E191E"/>
              </w:rPr>
              <w:t>Dillon</w:t>
            </w:r>
          </w:p>
        </w:tc>
        <w:tc>
          <w:tcPr>
            <w:tcW w:w="7080" w:type="dxa"/>
            <w:vAlign w:val="bottom"/>
            <w:shd w:val="clear" w:color="auto" w:fill="E7F1F5"/>
          </w:tcPr>
          <w:p>
            <w:pPr>
              <w:ind w:left="180"/>
              <w:spacing w:after="0"/>
              <w:rPr>
                <w:sz w:val="20"/>
                <w:szCs w:val="20"/>
                <w:color w:val="auto"/>
              </w:rPr>
            </w:pPr>
            <w:r>
              <w:rPr>
                <w:rFonts w:ascii="Arial" w:cs="Arial" w:eastAsia="Arial" w:hAnsi="Arial"/>
                <w:sz w:val="15"/>
                <w:szCs w:val="15"/>
                <w:color w:val="0E191E"/>
              </w:rPr>
              <w:t>extensive and broad background in business management, including her experience as chief financial</w:t>
            </w:r>
          </w:p>
        </w:tc>
        <w:tc>
          <w:tcPr>
            <w:tcW w:w="300" w:type="dxa"/>
            <w:vAlign w:val="bottom"/>
            <w:shd w:val="clear" w:color="auto" w:fill="E7F1F5"/>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3380" w:type="dxa"/>
            <w:vAlign w:val="bottom"/>
            <w:vMerge w:val="continue"/>
          </w:tcPr>
          <w:p>
            <w:pPr>
              <w:spacing w:after="0"/>
              <w:rPr>
                <w:sz w:val="24"/>
                <w:szCs w:val="24"/>
                <w:color w:val="auto"/>
              </w:rPr>
            </w:pPr>
          </w:p>
        </w:tc>
        <w:tc>
          <w:tcPr>
            <w:tcW w:w="7080" w:type="dxa"/>
            <w:vAlign w:val="bottom"/>
            <w:vMerge w:val="restart"/>
            <w:shd w:val="clear" w:color="auto" w:fill="E7F1F5"/>
          </w:tcPr>
          <w:p>
            <w:pPr>
              <w:ind w:left="180"/>
              <w:spacing w:after="0"/>
              <w:rPr>
                <w:sz w:val="20"/>
                <w:szCs w:val="20"/>
                <w:color w:val="auto"/>
              </w:rPr>
            </w:pPr>
            <w:r>
              <w:rPr>
                <w:rFonts w:ascii="Arial" w:cs="Arial" w:eastAsia="Arial" w:hAnsi="Arial"/>
                <w:sz w:val="15"/>
                <w:szCs w:val="15"/>
                <w:color w:val="0E191E"/>
              </w:rPr>
              <w:t>industry experience.</w:t>
            </w:r>
          </w:p>
        </w:tc>
        <w:tc>
          <w:tcPr>
            <w:tcW w:w="300" w:type="dxa"/>
            <w:vAlign w:val="bottom"/>
            <w:shd w:val="clear" w:color="auto" w:fill="E7F1F5"/>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380" w:type="dxa"/>
            <w:vAlign w:val="bottom"/>
          </w:tcPr>
          <w:p>
            <w:pPr>
              <w:spacing w:after="0"/>
              <w:rPr>
                <w:sz w:val="4"/>
                <w:szCs w:val="4"/>
                <w:color w:val="auto"/>
              </w:rPr>
            </w:pPr>
          </w:p>
        </w:tc>
        <w:tc>
          <w:tcPr>
            <w:tcW w:w="7080" w:type="dxa"/>
            <w:vAlign w:val="bottom"/>
            <w:vMerge w:val="continue"/>
            <w:shd w:val="clear" w:color="auto" w:fill="E7F1F5"/>
          </w:tcPr>
          <w:p>
            <w:pPr>
              <w:spacing w:after="0"/>
              <w:rPr>
                <w:sz w:val="4"/>
                <w:szCs w:val="4"/>
                <w:color w:val="auto"/>
              </w:rPr>
            </w:pPr>
          </w:p>
        </w:tc>
        <w:tc>
          <w:tcPr>
            <w:tcW w:w="300" w:type="dxa"/>
            <w:vAlign w:val="bottom"/>
            <w:shd w:val="clear" w:color="auto" w:fill="E7F1F5"/>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3380" w:type="dxa"/>
            <w:vAlign w:val="bottom"/>
          </w:tcPr>
          <w:p>
            <w:pPr>
              <w:spacing w:after="0"/>
              <w:rPr>
                <w:sz w:val="20"/>
                <w:szCs w:val="20"/>
                <w:color w:val="auto"/>
              </w:rPr>
            </w:pPr>
            <w:r>
              <w:rPr>
                <w:rFonts w:ascii="Arial" w:cs="Arial" w:eastAsia="Arial" w:hAnsi="Arial"/>
                <w:sz w:val="15"/>
                <w:szCs w:val="15"/>
                <w:b w:val="1"/>
                <w:bCs w:val="1"/>
                <w:color w:val="0E191E"/>
              </w:rPr>
              <w:t>Age: 62</w:t>
            </w:r>
          </w:p>
        </w:tc>
        <w:tc>
          <w:tcPr>
            <w:tcW w:w="7080" w:type="dxa"/>
            <w:vAlign w:val="bottom"/>
            <w:shd w:val="clear" w:color="auto" w:fill="E7F1F5"/>
          </w:tcPr>
          <w:p>
            <w:pPr>
              <w:spacing w:after="0"/>
              <w:rPr>
                <w:sz w:val="24"/>
                <w:szCs w:val="24"/>
                <w:color w:val="auto"/>
              </w:rPr>
            </w:pPr>
          </w:p>
        </w:tc>
        <w:tc>
          <w:tcPr>
            <w:tcW w:w="300" w:type="dxa"/>
            <w:vAlign w:val="bottom"/>
            <w:shd w:val="clear" w:color="auto" w:fill="E7F1F5"/>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line="136" w:lineRule="exact"/>
              <w:rPr>
                <w:sz w:val="20"/>
                <w:szCs w:val="20"/>
                <w:color w:val="auto"/>
              </w:rPr>
            </w:pPr>
            <w:r>
              <w:rPr>
                <w:rFonts w:ascii="Arial" w:cs="Arial" w:eastAsia="Arial" w:hAnsi="Arial"/>
                <w:sz w:val="15"/>
                <w:szCs w:val="15"/>
                <w:b w:val="1"/>
                <w:bCs w:val="1"/>
                <w:color w:val="0E191E"/>
              </w:rPr>
              <w:t>Director Since: 2019</w:t>
            </w:r>
          </w:p>
        </w:tc>
        <w:tc>
          <w:tcPr>
            <w:tcW w:w="7080" w:type="dxa"/>
            <w:vAlign w:val="bottom"/>
            <w:shd w:val="clear" w:color="auto" w:fill="E7F1F5"/>
          </w:tcPr>
          <w:p>
            <w:pPr>
              <w:spacing w:after="0"/>
              <w:rPr>
                <w:sz w:val="13"/>
                <w:szCs w:val="13"/>
                <w:color w:val="auto"/>
              </w:rPr>
            </w:pPr>
          </w:p>
        </w:tc>
        <w:tc>
          <w:tcPr>
            <w:tcW w:w="300" w:type="dxa"/>
            <w:vAlign w:val="bottom"/>
            <w:shd w:val="clear" w:color="auto" w:fill="E7F1F5"/>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385445</wp:posOffset>
            </wp:positionV>
            <wp:extent cx="68408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306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13</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800" w:top="847" w:right="339" w:bottom="1440" w:gutter="0" w:footer="0" w:header="0"/>
          <w:type w:val="continuous"/>
        </w:sectPr>
      </w:pPr>
    </w:p>
    <w:bookmarkStart w:id="17" w:name="page18"/>
    <w:bookmarkEnd w:id="17"/>
    <w:p>
      <w:pPr>
        <w:ind w:left="3400"/>
        <w:spacing w:after="0" w:line="305" w:lineRule="auto"/>
        <w:rPr>
          <w:sz w:val="20"/>
          <w:szCs w:val="20"/>
          <w:color w:val="auto"/>
        </w:rPr>
      </w:pPr>
      <w:r>
        <w:rPr>
          <w:rFonts w:ascii="Arial" w:cs="Arial" w:eastAsia="Arial" w:hAnsi="Arial"/>
          <w:sz w:val="15"/>
          <w:szCs w:val="15"/>
          <w:b w:val="1"/>
          <w:bCs w:val="1"/>
          <w:color w:val="00739D"/>
        </w:rPr>
        <w:drawing>
          <wp:anchor simplePos="0" relativeHeight="251657728" behindDoc="1" locked="0" layoutInCell="0" allowOverlap="1">
            <wp:simplePos x="0" y="0"/>
            <wp:positionH relativeFrom="page">
              <wp:posOffset>508000</wp:posOffset>
            </wp:positionH>
            <wp:positionV relativeFrom="page">
              <wp:posOffset>534670</wp:posOffset>
            </wp:positionV>
            <wp:extent cx="1371600" cy="1371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t xml:space="preserve">Michael Keller </w:t>
      </w:r>
      <w:r>
        <w:rPr>
          <w:rFonts w:ascii="Arial" w:cs="Arial" w:eastAsia="Arial" w:hAnsi="Arial"/>
          <w:sz w:val="15"/>
          <w:szCs w:val="15"/>
          <w:color w:val="0E191E"/>
        </w:rPr>
        <w:t>has served on our board of directors since September 2019. Mr. Keller currently serves as a</w:t>
      </w:r>
      <w:r>
        <w:rPr>
          <w:rFonts w:ascii="Arial" w:cs="Arial" w:eastAsia="Arial" w:hAnsi="Arial"/>
          <w:sz w:val="15"/>
          <w:szCs w:val="15"/>
          <w:b w:val="1"/>
          <w:bCs w:val="1"/>
          <w:color w:val="00739D"/>
        </w:rPr>
        <w:t xml:space="preserve"> </w:t>
      </w:r>
      <w:r>
        <w:rPr>
          <w:rFonts w:ascii="Arial" w:cs="Arial" w:eastAsia="Arial" w:hAnsi="Arial"/>
          <w:sz w:val="15"/>
          <w:szCs w:val="15"/>
          <w:color w:val="0E191E"/>
        </w:rPr>
        <w:t>consultant for MCK Consultants, LLC, an organization which he also owns and serves as its principal, which focuses on technology solutions for the insurance and financial services industries. He is also a member of the board of directors of Encova Insurance. Since March 2020, Mr. Keller has also served as our Lead Customer Advocate. From June 2001 to June 2018, Mr. Keller served as the Executive Vice President and Chief Information Officer at Nationwide Insurance and Financial Services, an insurance and financial services company. From January 1998 to May 2001, Mr. Keller served as Chief Technology Officer at JPMorgan Chase &amp; Co. (Formerly Bank One), a commercial banking and financial services company. Mr. Keller holds a B.S. in Mathematics from the University of Michigan.</w:t>
      </w:r>
    </w:p>
    <w:p>
      <w:pPr>
        <w:sectPr>
          <w:pgSz w:w="11900" w:h="16838" w:orient="portrait"/>
          <w:cols w:equalWidth="0" w:num="1">
            <w:col w:w="10680"/>
          </w:cols>
          <w:pgMar w:left="800" w:top="847" w:right="41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Michael Keller</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Age: 61</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1301750</wp:posOffset>
            </wp:positionV>
            <wp:extent cx="1371600" cy="1371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0E191E"/>
        </w:rPr>
        <w:t>Our board of directors believes that Mr. Keller is qualified to serve as a director based on his extensive and broad background in business management, including his experience as chief information officer and chief technology officer of Fortune 500 companies, and his property and casualty insurance 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-624205</wp:posOffset>
            </wp:positionV>
            <wp:extent cx="4688840" cy="1045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688840" cy="104584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661035</wp:posOffset>
            </wp:positionV>
            <wp:extent cx="68408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120"/>
          </w:cols>
          <w:pgMar w:left="800" w:top="847"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31"/>
          <w:szCs w:val="31"/>
          <w:b w:val="1"/>
          <w:bCs w:val="1"/>
          <w:color w:val="0E191E"/>
        </w:rPr>
        <w:t>Catherine P.</w:t>
      </w:r>
    </w:p>
    <w:p>
      <w:pPr>
        <w:spacing w:after="0" w:line="62"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Lego</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Age: 65</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Director Since: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b w:val="1"/>
          <w:bCs w:val="1"/>
          <w:color w:val="00739D"/>
        </w:rPr>
        <w:t xml:space="preserve">Catherine P. Lego </w:t>
      </w:r>
      <w:r>
        <w:rPr>
          <w:rFonts w:ascii="Arial" w:cs="Arial" w:eastAsia="Arial" w:hAnsi="Arial"/>
          <w:sz w:val="15"/>
          <w:szCs w:val="15"/>
          <w:color w:val="0E191E"/>
        </w:rPr>
        <w:t>has served on our board of directors since September 2019. Ms. Lego is currently a</w:t>
      </w:r>
      <w:r>
        <w:rPr>
          <w:rFonts w:ascii="Arial" w:cs="Arial" w:eastAsia="Arial" w:hAnsi="Arial"/>
          <w:sz w:val="15"/>
          <w:szCs w:val="15"/>
          <w:b w:val="1"/>
          <w:bCs w:val="1"/>
          <w:color w:val="00739D"/>
        </w:rPr>
        <w:t xml:space="preserve"> </w:t>
      </w:r>
      <w:r>
        <w:rPr>
          <w:rFonts w:ascii="Arial" w:cs="Arial" w:eastAsia="Arial" w:hAnsi="Arial"/>
          <w:sz w:val="15"/>
          <w:szCs w:val="15"/>
          <w:color w:val="0E191E"/>
        </w:rPr>
        <w:t>member of the board of directors and chair of the nominating and governance committee of Cirrus Logic, Inc., a publicly traded semiconductor supplier; and Lam Research Corporation, a publicly traded wafer fabrication equipment company, where she is a member of the nominating and governance committee and audit committee. From July 2016 to May 2021, she served on the board of IPG Photonics Corporation, a publicly traded producer of high-power fiber lasers, where she served as the chair of its compensation committee and as a member of its audit committee. From 2013 to 2016, she was a member of the board of directors of Fairchild Semiconductor International Inc., a fabricator of power management devices, where she was a member of the compensation committee and nominating and governance committee. From 1989 to 2016, except from 2002-2004, she was a member of the board of directors of SanDisk Corporation, a publicly traded global developer of flash memory storage solutions, where she was the chair of the audit committee. From June 1992 to December 2018, Ms. Lego was an angel investor and financial consultant to early stage technology companies via Lego Ventures, LLC, where she served as its principal and owner. She previously practiced as a certified public accountant with Coopers &amp; Lybrand (now PricewaterhouseCoopers). Ms. Lego holds a B.A. in Economics and Biology from Williams College and an M.S. in Accounting from the New York University Stern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981710</wp:posOffset>
            </wp:positionV>
            <wp:extent cx="4688840" cy="771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688840" cy="771525"/>
                    </a:xfrm>
                    <a:prstGeom prst="rect">
                      <a:avLst/>
                    </a:prstGeom>
                    <a:noFill/>
                  </pic:spPr>
                </pic:pic>
              </a:graphicData>
            </a:graphic>
          </wp:anchor>
        </w:drawing>
      </w:r>
    </w:p>
    <w:p>
      <w:pPr>
        <w:spacing w:after="0" w:line="357" w:lineRule="exact"/>
        <w:rPr>
          <w:sz w:val="20"/>
          <w:szCs w:val="20"/>
          <w:color w:val="auto"/>
        </w:rPr>
      </w:pPr>
    </w:p>
    <w:p>
      <w:pPr>
        <w:sectPr>
          <w:pgSz w:w="11900" w:h="16838" w:orient="portrait"/>
          <w:cols w:equalWidth="0" w:num="2">
            <w:col w:w="2680" w:space="720"/>
            <w:col w:w="7280"/>
          </w:cols>
          <w:pgMar w:left="800" w:top="847"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60" w:right="200"/>
        <w:spacing w:after="0" w:line="308" w:lineRule="auto"/>
        <w:rPr>
          <w:sz w:val="20"/>
          <w:szCs w:val="20"/>
          <w:color w:val="auto"/>
        </w:rPr>
      </w:pPr>
      <w:r>
        <w:rPr>
          <w:rFonts w:ascii="Arial" w:cs="Arial" w:eastAsia="Arial" w:hAnsi="Arial"/>
          <w:sz w:val="15"/>
          <w:szCs w:val="15"/>
          <w:color w:val="0E191E"/>
        </w:rPr>
        <w:t>Our board of directors believes that Ms. Lego is qualified to serve as a director based on her extensive and broad background in business management and her service on the boards of several public companies in the technology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394970</wp:posOffset>
            </wp:positionV>
            <wp:extent cx="68408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ectPr>
          <w:pgSz w:w="11900" w:h="16838" w:orient="portrait"/>
          <w:cols w:equalWidth="0" w:num="1">
            <w:col w:w="10680"/>
          </w:cols>
          <w:pgMar w:left="800" w:top="847"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060"/>
        <w:spacing w:after="0"/>
        <w:tabs>
          <w:tab w:leader="none" w:pos="5040" w:val="left"/>
          <w:tab w:leader="none" w:pos="582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31"/>
          <w:szCs w:val="31"/>
          <w:b w:val="1"/>
          <w:bCs w:val="1"/>
          <w:color w:val="00739D"/>
          <w:vertAlign w:val="superscript"/>
        </w:rPr>
        <w:t>14</w:t>
      </w:r>
      <w:r>
        <w:rPr>
          <w:sz w:val="20"/>
          <w:szCs w:val="20"/>
          <w:color w:val="auto"/>
        </w:rPr>
        <w:tab/>
      </w:r>
      <w:r>
        <w:rPr>
          <w:rFonts w:ascii="Arial" w:cs="Arial" w:eastAsia="Arial" w:hAnsi="Arial"/>
          <w:sz w:val="12"/>
          <w:szCs w:val="12"/>
          <w:color w:val="0E191E"/>
        </w:rPr>
        <w:t>2021 Proxy Statement</w:t>
      </w:r>
    </w:p>
    <w:p>
      <w:pPr>
        <w:sectPr>
          <w:pgSz w:w="11900" w:h="16838" w:orient="portrait"/>
          <w:cols w:equalWidth="0" w:num="1">
            <w:col w:w="10680"/>
          </w:cols>
          <w:pgMar w:left="800" w:top="847" w:right="41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508000</wp:posOffset>
            </wp:positionH>
            <wp:positionV relativeFrom="page">
              <wp:posOffset>534670</wp:posOffset>
            </wp:positionV>
            <wp:extent cx="1371600" cy="1371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740"/>
        <w:spacing w:after="0" w:line="273" w:lineRule="auto"/>
        <w:rPr>
          <w:sz w:val="20"/>
          <w:szCs w:val="20"/>
          <w:color w:val="auto"/>
        </w:rPr>
      </w:pPr>
      <w:r>
        <w:rPr>
          <w:rFonts w:ascii="Arial" w:cs="Arial" w:eastAsia="Arial" w:hAnsi="Arial"/>
          <w:sz w:val="32"/>
          <w:szCs w:val="32"/>
          <w:b w:val="1"/>
          <w:bCs w:val="1"/>
          <w:color w:val="0E191E"/>
        </w:rPr>
        <w:t>Rajani Ramanathan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Age: 54</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Director Since: 2021</w:t>
      </w:r>
    </w:p>
    <w:p>
      <w:pPr>
        <w:spacing w:after="0" w:line="20" w:lineRule="exact"/>
        <w:rPr>
          <w:sz w:val="20"/>
          <w:szCs w:val="20"/>
          <w:color w:val="auto"/>
        </w:rPr>
      </w:pPr>
      <w:r>
        <w:rPr>
          <w:sz w:val="20"/>
          <w:szCs w:val="20"/>
          <w:color w:val="auto"/>
        </w:rPr>
        <w:br w:type="column"/>
      </w:r>
    </w:p>
    <w:p>
      <w:pPr>
        <w:ind w:right="20"/>
        <w:spacing w:after="0" w:line="310" w:lineRule="auto"/>
        <w:rPr>
          <w:sz w:val="20"/>
          <w:szCs w:val="20"/>
          <w:color w:val="auto"/>
        </w:rPr>
      </w:pPr>
      <w:r>
        <w:rPr>
          <w:rFonts w:ascii="Arial" w:cs="Arial" w:eastAsia="Arial" w:hAnsi="Arial"/>
          <w:sz w:val="15"/>
          <w:szCs w:val="15"/>
          <w:b w:val="1"/>
          <w:bCs w:val="1"/>
          <w:color w:val="00739D"/>
        </w:rPr>
        <w:t xml:space="preserve">Rajani Ramanathan </w:t>
      </w:r>
      <w:r>
        <w:rPr>
          <w:rFonts w:ascii="Arial" w:cs="Arial" w:eastAsia="Arial" w:hAnsi="Arial"/>
          <w:sz w:val="15"/>
          <w:szCs w:val="15"/>
          <w:color w:val="0E191E"/>
        </w:rPr>
        <w:t>has served on our board of directors since June 2021. Ms. Ramanathan currently</w:t>
      </w:r>
      <w:r>
        <w:rPr>
          <w:rFonts w:ascii="Arial" w:cs="Arial" w:eastAsia="Arial" w:hAnsi="Arial"/>
          <w:sz w:val="15"/>
          <w:szCs w:val="15"/>
          <w:b w:val="1"/>
          <w:bCs w:val="1"/>
          <w:color w:val="00739D"/>
        </w:rPr>
        <w:t xml:space="preserve"> </w:t>
      </w:r>
      <w:r>
        <w:rPr>
          <w:rFonts w:ascii="Arial" w:cs="Arial" w:eastAsia="Arial" w:hAnsi="Arial"/>
          <w:sz w:val="15"/>
          <w:szCs w:val="15"/>
          <w:color w:val="0E191E"/>
        </w:rPr>
        <w:t>serves as an advisor and director to several private technology companies in the AI, VR, Blockchain, and connected (IoT) technology space. In addition, since June 2014, Ms. Ramanathan has served as a member of the board of directors of ESI Group, a French publicly traded company providing virtual prototyping software solutions and services, and she chairs their Technology and Marketing committee.</w:t>
      </w:r>
    </w:p>
    <w:p>
      <w:pPr>
        <w:spacing w:after="0" w:line="146" w:lineRule="exact"/>
        <w:rPr>
          <w:sz w:val="20"/>
          <w:szCs w:val="20"/>
          <w:color w:val="auto"/>
        </w:rPr>
      </w:pPr>
    </w:p>
    <w:p>
      <w:pPr>
        <w:ind w:right="220"/>
        <w:spacing w:after="0" w:line="306" w:lineRule="auto"/>
        <w:rPr>
          <w:sz w:val="20"/>
          <w:szCs w:val="20"/>
          <w:color w:val="auto"/>
        </w:rPr>
      </w:pPr>
      <w:r>
        <w:rPr>
          <w:rFonts w:ascii="Arial" w:cs="Arial" w:eastAsia="Arial" w:hAnsi="Arial"/>
          <w:sz w:val="15"/>
          <w:szCs w:val="15"/>
          <w:color w:val="0E191E"/>
        </w:rPr>
        <w:t>From June 2000 to March 2014, Ms. Ramanathan served in a variety of leadership roles at Salesforce, a cloud software company, most recently as its Chief Operating Officer and Executive Vice President – Technology and Products. Ms. Ramanathan holds a bachelor’s degree in psychology from University of Madras, India and a postgraduate diploma in sales and marketing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497840</wp:posOffset>
            </wp:positionV>
            <wp:extent cx="4688840" cy="874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8884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line="308" w:lineRule="auto"/>
        <w:rPr>
          <w:sz w:val="20"/>
          <w:szCs w:val="20"/>
          <w:color w:val="auto"/>
        </w:rPr>
      </w:pPr>
      <w:r>
        <w:rPr>
          <w:rFonts w:ascii="Arial" w:cs="Arial" w:eastAsia="Arial" w:hAnsi="Arial"/>
          <w:sz w:val="15"/>
          <w:szCs w:val="15"/>
          <w:color w:val="0E191E"/>
        </w:rPr>
        <w:t>Our board of directors believes that Ms. Ramanathan is qualified to serve as a director based on her extensive and broad background in cloud software operations and business management and her service on the boards of several public companies in the technology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497840</wp:posOffset>
            </wp:positionV>
            <wp:extent cx="68408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720"/>
            <w:col w:w="7280"/>
          </w:cols>
          <w:pgMar w:left="800" w:top="84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306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15</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800" w:top="847" w:right="41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1683385</wp:posOffset>
            </wp:positionV>
            <wp:extent cx="2237105" cy="1054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37105" cy="105410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1057275</wp:posOffset>
            </wp:positionV>
            <wp:extent cx="299720" cy="3003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60"/>
        <w:spacing w:after="0" w:line="275" w:lineRule="auto"/>
        <w:rPr>
          <w:sz w:val="20"/>
          <w:szCs w:val="20"/>
          <w:color w:val="auto"/>
        </w:rPr>
      </w:pPr>
      <w:r>
        <w:rPr>
          <w:rFonts w:ascii="Arial" w:cs="Arial" w:eastAsia="Arial" w:hAnsi="Arial"/>
          <w:sz w:val="15"/>
          <w:szCs w:val="15"/>
          <w:b w:val="1"/>
          <w:bCs w:val="1"/>
          <w:color w:val="0E191E"/>
        </w:rPr>
        <w:t>The Board of Directors recommends a vote "FOR" the ratification of KPMG as our independent registered public accounting firm for the fiscal year ending July 31,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39D"/>
        </w:rPr>
        <w:t>Proposal Two</w:t>
      </w:r>
    </w:p>
    <w:p>
      <w:pPr>
        <w:spacing w:after="0" w:line="77" w:lineRule="exact"/>
        <w:rPr>
          <w:sz w:val="20"/>
          <w:szCs w:val="20"/>
          <w:color w:val="auto"/>
        </w:rPr>
      </w:pPr>
    </w:p>
    <w:p>
      <w:pPr>
        <w:ind w:right="680"/>
        <w:spacing w:after="0" w:line="286" w:lineRule="auto"/>
        <w:rPr>
          <w:sz w:val="20"/>
          <w:szCs w:val="20"/>
          <w:color w:val="auto"/>
        </w:rPr>
      </w:pPr>
      <w:r>
        <w:rPr>
          <w:rFonts w:ascii="Arial" w:cs="Arial" w:eastAsia="Arial" w:hAnsi="Arial"/>
          <w:sz w:val="32"/>
          <w:szCs w:val="32"/>
          <w:b w:val="1"/>
          <w:bCs w:val="1"/>
          <w:color w:val="0E191E"/>
        </w:rPr>
        <w:t>Ratification of Appointment of Independent Registered Public Accounting Firm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Recommendation</w:t>
      </w:r>
    </w:p>
    <w:p>
      <w:pPr>
        <w:spacing w:after="0" w:line="136"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0E191E"/>
        </w:rPr>
        <w:t>On the recommendation of our audit committee of the board of directors (the “Audit Committee”), our board of directors has appointed KPMG LLP (“KPMG”), independent public accountants, to audit our financial statements for the fiscal year ending July 31, 2022. We are submitting this selection to our stockholders for ratification. Although we are not required to seek stockholder approval for this appointment, we believe it is sound corporate practice to do so. Representatives from KPMG will attend the annual meeting to respond to any appropriate questions and will have the opportunity to make a statement, if they so desire. If the stockholders do not ratify the appointment of KPMG, the Audit Committee will reconsider the appointment.</w:t>
      </w:r>
    </w:p>
    <w:p>
      <w:pPr>
        <w:spacing w:after="0" w:line="150" w:lineRule="exact"/>
        <w:rPr>
          <w:sz w:val="20"/>
          <w:szCs w:val="20"/>
          <w:color w:val="auto"/>
        </w:rPr>
      </w:pPr>
    </w:p>
    <w:p>
      <w:pPr>
        <w:ind w:right="40"/>
        <w:spacing w:after="0" w:line="317" w:lineRule="auto"/>
        <w:rPr>
          <w:sz w:val="20"/>
          <w:szCs w:val="20"/>
          <w:color w:val="auto"/>
        </w:rPr>
      </w:pPr>
      <w:r>
        <w:rPr>
          <w:rFonts w:ascii="Arial" w:cs="Arial" w:eastAsia="Arial" w:hAnsi="Arial"/>
          <w:sz w:val="15"/>
          <w:szCs w:val="15"/>
          <w:color w:val="0E191E"/>
        </w:rPr>
        <w:t>In the vote on the ratification of the selection of KPMG as our independent registered public accounting firm, stockholders may:</w:t>
      </w:r>
    </w:p>
    <w:p>
      <w:pPr>
        <w:spacing w:after="0" w:line="84" w:lineRule="exact"/>
        <w:rPr>
          <w:sz w:val="20"/>
          <w:szCs w:val="20"/>
          <w:color w:val="auto"/>
        </w:rPr>
      </w:pPr>
    </w:p>
    <w:p>
      <w:pPr>
        <w:ind w:left="480" w:hanging="156"/>
        <w:spacing w:after="0"/>
        <w:tabs>
          <w:tab w:leader="none" w:pos="480" w:val="left"/>
        </w:tabs>
        <w:numPr>
          <w:ilvl w:val="0"/>
          <w:numId w:val="9"/>
        </w:numPr>
        <w:rPr>
          <w:rFonts w:ascii="Arial" w:cs="Arial" w:eastAsia="Arial" w:hAnsi="Arial"/>
          <w:sz w:val="15"/>
          <w:szCs w:val="15"/>
          <w:color w:val="0E191E"/>
        </w:rPr>
      </w:pPr>
      <w:r>
        <w:rPr>
          <w:rFonts w:ascii="Arial" w:cs="Arial" w:eastAsia="Arial" w:hAnsi="Arial"/>
          <w:sz w:val="15"/>
          <w:szCs w:val="15"/>
          <w:color w:val="0E191E"/>
        </w:rPr>
        <w:t>Vote in favor of ratification;</w:t>
      </w:r>
    </w:p>
    <w:p>
      <w:pPr>
        <w:spacing w:after="0" w:line="97" w:lineRule="exact"/>
        <w:rPr>
          <w:rFonts w:ascii="Arial" w:cs="Arial" w:eastAsia="Arial" w:hAnsi="Arial"/>
          <w:sz w:val="15"/>
          <w:szCs w:val="15"/>
          <w:color w:val="0E191E"/>
        </w:rPr>
      </w:pPr>
    </w:p>
    <w:p>
      <w:pPr>
        <w:ind w:left="480" w:hanging="156"/>
        <w:spacing w:after="0"/>
        <w:tabs>
          <w:tab w:leader="none" w:pos="480" w:val="left"/>
        </w:tabs>
        <w:numPr>
          <w:ilvl w:val="0"/>
          <w:numId w:val="9"/>
        </w:numPr>
        <w:rPr>
          <w:rFonts w:ascii="Arial" w:cs="Arial" w:eastAsia="Arial" w:hAnsi="Arial"/>
          <w:sz w:val="15"/>
          <w:szCs w:val="15"/>
          <w:color w:val="0E191E"/>
        </w:rPr>
      </w:pPr>
      <w:r>
        <w:rPr>
          <w:rFonts w:ascii="Arial" w:cs="Arial" w:eastAsia="Arial" w:hAnsi="Arial"/>
          <w:sz w:val="15"/>
          <w:szCs w:val="15"/>
          <w:color w:val="0E191E"/>
        </w:rPr>
        <w:t>Vote against ratification; or</w:t>
      </w:r>
    </w:p>
    <w:p>
      <w:pPr>
        <w:spacing w:after="0" w:line="97" w:lineRule="exact"/>
        <w:rPr>
          <w:rFonts w:ascii="Arial" w:cs="Arial" w:eastAsia="Arial" w:hAnsi="Arial"/>
          <w:sz w:val="15"/>
          <w:szCs w:val="15"/>
          <w:color w:val="0E191E"/>
        </w:rPr>
      </w:pPr>
    </w:p>
    <w:p>
      <w:pPr>
        <w:ind w:left="480" w:hanging="156"/>
        <w:spacing w:after="0"/>
        <w:tabs>
          <w:tab w:leader="none" w:pos="480" w:val="left"/>
        </w:tabs>
        <w:numPr>
          <w:ilvl w:val="0"/>
          <w:numId w:val="9"/>
        </w:numPr>
        <w:rPr>
          <w:rFonts w:ascii="Arial" w:cs="Arial" w:eastAsia="Arial" w:hAnsi="Arial"/>
          <w:sz w:val="15"/>
          <w:szCs w:val="15"/>
          <w:color w:val="0E191E"/>
        </w:rPr>
      </w:pPr>
      <w:r>
        <w:rPr>
          <w:rFonts w:ascii="Arial" w:cs="Arial" w:eastAsia="Arial" w:hAnsi="Arial"/>
          <w:sz w:val="15"/>
          <w:szCs w:val="15"/>
          <w:color w:val="0E191E"/>
        </w:rPr>
        <w:t>Abstain from voting on ratification.</w:t>
      </w:r>
    </w:p>
    <w:p>
      <w:pPr>
        <w:spacing w:after="0" w:line="200" w:lineRule="exact"/>
        <w:rPr>
          <w:sz w:val="20"/>
          <w:szCs w:val="20"/>
          <w:color w:val="auto"/>
        </w:rPr>
      </w:pPr>
    </w:p>
    <w:p>
      <w:pPr>
        <w:sectPr>
          <w:pgSz w:w="11900" w:h="16838" w:orient="portrait"/>
          <w:cols w:equalWidth="0" w:num="2">
            <w:col w:w="3500" w:space="400"/>
            <w:col w:w="7340"/>
          </w:cols>
          <w:pgMar w:left="320" w:top="9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Vote Required for Approval</w:t>
      </w:r>
    </w:p>
    <w:p>
      <w:pPr>
        <w:spacing w:after="0" w:line="136" w:lineRule="exact"/>
        <w:rPr>
          <w:sz w:val="20"/>
          <w:szCs w:val="20"/>
          <w:color w:val="auto"/>
        </w:rPr>
      </w:pPr>
    </w:p>
    <w:p>
      <w:pPr>
        <w:jc w:val="both"/>
        <w:ind w:right="240"/>
        <w:spacing w:after="0" w:line="308" w:lineRule="auto"/>
        <w:rPr>
          <w:sz w:val="20"/>
          <w:szCs w:val="20"/>
          <w:color w:val="auto"/>
        </w:rPr>
      </w:pPr>
      <w:r>
        <w:rPr>
          <w:rFonts w:ascii="Arial" w:cs="Arial" w:eastAsia="Arial" w:hAnsi="Arial"/>
          <w:sz w:val="15"/>
          <w:szCs w:val="15"/>
          <w:color w:val="0E191E"/>
        </w:rPr>
        <w:t>Assuming a quorum is present, the selection of KPMG as our independent registered public accounting firm will be ratified if the affirmative vote of a majority of the shares represented and entitled to vote on the matter at the annual meeting is obtained. In the event that the stockholders do not ratify the selection of KPMG, the appointment of the independent registered public accounting firm will be reconsidered by the Audit Committee.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Auditor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0E191E"/>
        </w:rPr>
        <w:t>The types of services and aggregate fees billed or expected to be billed by KPMG with respect to our fiscal years 2020 and 2021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7" w:lineRule="exact"/>
        <w:rPr>
          <w:sz w:val="20"/>
          <w:szCs w:val="20"/>
          <w:color w:val="auto"/>
        </w:rPr>
      </w:pPr>
    </w:p>
    <w:p>
      <w:pPr>
        <w:ind w:left="8880"/>
        <w:spacing w:after="0"/>
        <w:rPr>
          <w:sz w:val="20"/>
          <w:szCs w:val="20"/>
          <w:color w:val="auto"/>
        </w:rPr>
      </w:pPr>
      <w:r>
        <w:rPr>
          <w:rFonts w:ascii="Arial" w:cs="Arial" w:eastAsia="Arial" w:hAnsi="Arial"/>
          <w:sz w:val="13"/>
          <w:szCs w:val="13"/>
          <w:b w:val="1"/>
          <w:bCs w:val="1"/>
          <w:color w:val="0E191E"/>
        </w:rPr>
        <w:t>Fiscal Year Ended July 31,</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2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Description of Services</w:t>
            </w:r>
          </w:p>
        </w:tc>
        <w:tc>
          <w:tcPr>
            <w:tcW w:w="1780" w:type="dxa"/>
            <w:vAlign w:val="bottom"/>
            <w:shd w:val="clear" w:color="auto" w:fill="00739D"/>
          </w:tcPr>
          <w:p>
            <w:pPr>
              <w:jc w:val="right"/>
              <w:ind w:right="333"/>
              <w:spacing w:after="0"/>
              <w:rPr>
                <w:sz w:val="20"/>
                <w:szCs w:val="20"/>
                <w:color w:val="auto"/>
              </w:rPr>
            </w:pPr>
            <w:r>
              <w:rPr>
                <w:rFonts w:ascii="Arial" w:cs="Arial" w:eastAsia="Arial" w:hAnsi="Arial"/>
                <w:sz w:val="13"/>
                <w:szCs w:val="13"/>
                <w:b w:val="1"/>
                <w:bCs w:val="1"/>
                <w:color w:val="FFFFFF"/>
              </w:rPr>
              <w:t>2020 ($)</w:t>
            </w:r>
          </w:p>
        </w:tc>
        <w:tc>
          <w:tcPr>
            <w:tcW w:w="1140" w:type="dxa"/>
            <w:vAlign w:val="bottom"/>
            <w:shd w:val="clear" w:color="auto" w:fill="00739D"/>
          </w:tcPr>
          <w:p>
            <w:pPr>
              <w:jc w:val="right"/>
              <w:ind w:right="93"/>
              <w:spacing w:after="0"/>
              <w:rPr>
                <w:sz w:val="20"/>
                <w:szCs w:val="20"/>
                <w:color w:val="auto"/>
              </w:rPr>
            </w:pPr>
            <w:r>
              <w:rPr>
                <w:rFonts w:ascii="Arial" w:cs="Arial" w:eastAsia="Arial" w:hAnsi="Arial"/>
                <w:sz w:val="13"/>
                <w:szCs w:val="13"/>
                <w:b w:val="1"/>
                <w:bCs w:val="1"/>
                <w:color w:val="FFFFFF"/>
              </w:rPr>
              <w:t>2021 ($)</w:t>
            </w:r>
          </w:p>
        </w:tc>
      </w:tr>
      <w:tr>
        <w:trPr>
          <w:trHeight w:val="122"/>
        </w:trPr>
        <w:tc>
          <w:tcPr>
            <w:tcW w:w="8320" w:type="dxa"/>
            <w:vAlign w:val="bottom"/>
            <w:shd w:val="clear" w:color="auto" w:fill="00739D"/>
          </w:tcPr>
          <w:p>
            <w:pPr>
              <w:spacing w:after="0"/>
              <w:rPr>
                <w:sz w:val="10"/>
                <w:szCs w:val="10"/>
                <w:color w:val="auto"/>
              </w:rPr>
            </w:pPr>
          </w:p>
        </w:tc>
        <w:tc>
          <w:tcPr>
            <w:tcW w:w="1780" w:type="dxa"/>
            <w:vAlign w:val="bottom"/>
            <w:shd w:val="clear" w:color="auto" w:fill="00739D"/>
          </w:tcPr>
          <w:p>
            <w:pPr>
              <w:spacing w:after="0"/>
              <w:rPr>
                <w:sz w:val="10"/>
                <w:szCs w:val="10"/>
                <w:color w:val="auto"/>
              </w:rPr>
            </w:pPr>
          </w:p>
        </w:tc>
        <w:tc>
          <w:tcPr>
            <w:tcW w:w="1140" w:type="dxa"/>
            <w:vAlign w:val="bottom"/>
            <w:shd w:val="clear" w:color="auto" w:fill="00739D"/>
          </w:tcPr>
          <w:p>
            <w:pPr>
              <w:spacing w:after="0"/>
              <w:rPr>
                <w:sz w:val="10"/>
                <w:szCs w:val="10"/>
                <w:color w:val="auto"/>
              </w:rPr>
            </w:pPr>
          </w:p>
        </w:tc>
      </w:tr>
      <w:tr>
        <w:trPr>
          <w:trHeight w:val="216"/>
        </w:trPr>
        <w:tc>
          <w:tcPr>
            <w:tcW w:w="8320" w:type="dxa"/>
            <w:vAlign w:val="bottom"/>
          </w:tcPr>
          <w:p>
            <w:pPr>
              <w:ind w:left="100"/>
              <w:spacing w:after="0"/>
              <w:rPr>
                <w:sz w:val="20"/>
                <w:szCs w:val="20"/>
                <w:color w:val="auto"/>
              </w:rPr>
            </w:pPr>
            <w:r>
              <w:rPr>
                <w:rFonts w:ascii="Arial" w:cs="Arial" w:eastAsia="Arial" w:hAnsi="Arial"/>
                <w:sz w:val="13"/>
                <w:szCs w:val="13"/>
                <w:color w:val="0E191E"/>
              </w:rPr>
              <w:t>Audit Fees</w:t>
            </w:r>
            <w:r>
              <w:rPr>
                <w:rFonts w:ascii="Arial" w:cs="Arial" w:eastAsia="Arial" w:hAnsi="Arial"/>
                <w:sz w:val="17"/>
                <w:szCs w:val="17"/>
                <w:color w:val="0E191E"/>
                <w:vertAlign w:val="superscript"/>
              </w:rPr>
              <w:t>(1)</w:t>
            </w:r>
          </w:p>
        </w:tc>
        <w:tc>
          <w:tcPr>
            <w:tcW w:w="1780" w:type="dxa"/>
            <w:vAlign w:val="bottom"/>
          </w:tcPr>
          <w:p>
            <w:pPr>
              <w:jc w:val="right"/>
              <w:ind w:right="333"/>
              <w:spacing w:after="0"/>
              <w:rPr>
                <w:sz w:val="20"/>
                <w:szCs w:val="20"/>
                <w:color w:val="auto"/>
              </w:rPr>
            </w:pPr>
            <w:r>
              <w:rPr>
                <w:rFonts w:ascii="Arial" w:cs="Arial" w:eastAsia="Arial" w:hAnsi="Arial"/>
                <w:sz w:val="13"/>
                <w:szCs w:val="13"/>
                <w:color w:val="0E191E"/>
              </w:rPr>
              <w:t>3,128,753</w:t>
            </w:r>
          </w:p>
        </w:tc>
        <w:tc>
          <w:tcPr>
            <w:tcW w:w="1140" w:type="dxa"/>
            <w:vAlign w:val="bottom"/>
          </w:tcPr>
          <w:p>
            <w:pPr>
              <w:jc w:val="right"/>
              <w:ind w:right="93"/>
              <w:spacing w:after="0"/>
              <w:rPr>
                <w:sz w:val="20"/>
                <w:szCs w:val="20"/>
                <w:color w:val="auto"/>
              </w:rPr>
            </w:pPr>
            <w:r>
              <w:rPr>
                <w:rFonts w:ascii="Arial" w:cs="Arial" w:eastAsia="Arial" w:hAnsi="Arial"/>
                <w:sz w:val="13"/>
                <w:szCs w:val="13"/>
                <w:color w:val="0E191E"/>
              </w:rPr>
              <w:t>2,968,273</w:t>
            </w:r>
          </w:p>
        </w:tc>
      </w:tr>
      <w:tr>
        <w:trPr>
          <w:trHeight w:val="216"/>
        </w:trPr>
        <w:tc>
          <w:tcPr>
            <w:tcW w:w="8320" w:type="dxa"/>
            <w:vAlign w:val="bottom"/>
            <w:tcBorders>
              <w:bottom w:val="single" w:sz="8" w:color="0E191E"/>
            </w:tcBorders>
            <w:shd w:val="clear" w:color="auto" w:fill="E7F1F5"/>
          </w:tcPr>
          <w:p>
            <w:pPr>
              <w:ind w:left="100"/>
              <w:spacing w:after="0"/>
              <w:rPr>
                <w:sz w:val="20"/>
                <w:szCs w:val="20"/>
                <w:color w:val="auto"/>
              </w:rPr>
            </w:pPr>
            <w:r>
              <w:rPr>
                <w:rFonts w:ascii="Arial" w:cs="Arial" w:eastAsia="Arial" w:hAnsi="Arial"/>
                <w:sz w:val="13"/>
                <w:szCs w:val="13"/>
                <w:color w:val="0E191E"/>
              </w:rPr>
              <w:t>Tax Fees</w:t>
            </w:r>
            <w:r>
              <w:rPr>
                <w:rFonts w:ascii="Arial" w:cs="Arial" w:eastAsia="Arial" w:hAnsi="Arial"/>
                <w:sz w:val="17"/>
                <w:szCs w:val="17"/>
                <w:color w:val="0E191E"/>
                <w:vertAlign w:val="superscript"/>
              </w:rPr>
              <w:t>(2)</w:t>
            </w:r>
          </w:p>
        </w:tc>
        <w:tc>
          <w:tcPr>
            <w:tcW w:w="1780" w:type="dxa"/>
            <w:vAlign w:val="bottom"/>
            <w:tcBorders>
              <w:bottom w:val="single" w:sz="8" w:color="0E191E"/>
            </w:tcBorders>
            <w:shd w:val="clear" w:color="auto" w:fill="E7F1F5"/>
          </w:tcPr>
          <w:p>
            <w:pPr>
              <w:jc w:val="right"/>
              <w:ind w:right="333"/>
              <w:spacing w:after="0"/>
              <w:rPr>
                <w:sz w:val="20"/>
                <w:szCs w:val="20"/>
                <w:color w:val="auto"/>
              </w:rPr>
            </w:pPr>
            <w:r>
              <w:rPr>
                <w:rFonts w:ascii="Arial" w:cs="Arial" w:eastAsia="Arial" w:hAnsi="Arial"/>
                <w:sz w:val="13"/>
                <w:szCs w:val="13"/>
                <w:color w:val="0E191E"/>
              </w:rPr>
              <w:t>300,049</w:t>
            </w:r>
          </w:p>
        </w:tc>
        <w:tc>
          <w:tcPr>
            <w:tcW w:w="1140" w:type="dxa"/>
            <w:vAlign w:val="bottom"/>
            <w:tcBorders>
              <w:bottom w:val="single" w:sz="8" w:color="0E191E"/>
            </w:tcBorders>
            <w:shd w:val="clear" w:color="auto" w:fill="E7F1F5"/>
          </w:tcPr>
          <w:p>
            <w:pPr>
              <w:jc w:val="right"/>
              <w:ind w:right="93"/>
              <w:spacing w:after="0"/>
              <w:rPr>
                <w:sz w:val="20"/>
                <w:szCs w:val="20"/>
                <w:color w:val="auto"/>
              </w:rPr>
            </w:pPr>
            <w:r>
              <w:rPr>
                <w:rFonts w:ascii="Arial" w:cs="Arial" w:eastAsia="Arial" w:hAnsi="Arial"/>
                <w:sz w:val="13"/>
                <w:szCs w:val="13"/>
                <w:color w:val="0E191E"/>
              </w:rPr>
              <w:t>228,150</w:t>
            </w:r>
          </w:p>
        </w:tc>
      </w:tr>
      <w:tr>
        <w:trPr>
          <w:trHeight w:val="182"/>
        </w:trPr>
        <w:tc>
          <w:tcPr>
            <w:tcW w:w="8320" w:type="dxa"/>
            <w:vAlign w:val="bottom"/>
          </w:tcPr>
          <w:p>
            <w:pPr>
              <w:ind w:left="100"/>
              <w:spacing w:after="0"/>
              <w:rPr>
                <w:sz w:val="20"/>
                <w:szCs w:val="20"/>
                <w:color w:val="auto"/>
              </w:rPr>
            </w:pPr>
            <w:r>
              <w:rPr>
                <w:rFonts w:ascii="Arial" w:cs="Arial" w:eastAsia="Arial" w:hAnsi="Arial"/>
                <w:sz w:val="13"/>
                <w:szCs w:val="13"/>
                <w:b w:val="1"/>
                <w:bCs w:val="1"/>
                <w:color w:val="0E191E"/>
              </w:rPr>
              <w:t>Total</w:t>
            </w:r>
          </w:p>
        </w:tc>
        <w:tc>
          <w:tcPr>
            <w:tcW w:w="1780" w:type="dxa"/>
            <w:vAlign w:val="bottom"/>
          </w:tcPr>
          <w:p>
            <w:pPr>
              <w:jc w:val="right"/>
              <w:ind w:right="333"/>
              <w:spacing w:after="0"/>
              <w:rPr>
                <w:sz w:val="20"/>
                <w:szCs w:val="20"/>
                <w:color w:val="auto"/>
              </w:rPr>
            </w:pPr>
            <w:r>
              <w:rPr>
                <w:rFonts w:ascii="Arial" w:cs="Arial" w:eastAsia="Arial" w:hAnsi="Arial"/>
                <w:sz w:val="13"/>
                <w:szCs w:val="13"/>
                <w:b w:val="1"/>
                <w:bCs w:val="1"/>
                <w:color w:val="0E191E"/>
              </w:rPr>
              <w:t>3,428,802</w:t>
            </w:r>
          </w:p>
        </w:tc>
        <w:tc>
          <w:tcPr>
            <w:tcW w:w="1140" w:type="dxa"/>
            <w:vAlign w:val="bottom"/>
          </w:tcPr>
          <w:p>
            <w:pPr>
              <w:jc w:val="right"/>
              <w:ind w:right="93"/>
              <w:spacing w:after="0"/>
              <w:rPr>
                <w:sz w:val="20"/>
                <w:szCs w:val="20"/>
                <w:color w:val="auto"/>
              </w:rPr>
            </w:pPr>
            <w:r>
              <w:rPr>
                <w:rFonts w:ascii="Arial" w:cs="Arial" w:eastAsia="Arial" w:hAnsi="Arial"/>
                <w:sz w:val="13"/>
                <w:szCs w:val="13"/>
                <w:b w:val="1"/>
                <w:bCs w:val="1"/>
                <w:color w:val="0E191E"/>
              </w:rPr>
              <w:t>3,196,423</w:t>
            </w:r>
          </w:p>
        </w:tc>
      </w:tr>
      <w:tr>
        <w:trPr>
          <w:trHeight w:val="28"/>
        </w:trPr>
        <w:tc>
          <w:tcPr>
            <w:tcW w:w="8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68"/>
        </w:trPr>
        <w:tc>
          <w:tcPr>
            <w:tcW w:w="8320" w:type="dxa"/>
            <w:vAlign w:val="bottom"/>
          </w:tcPr>
          <w:p>
            <w:pPr>
              <w:spacing w:after="0"/>
              <w:rPr>
                <w:sz w:val="5"/>
                <w:szCs w:val="5"/>
                <w:color w:val="auto"/>
              </w:rPr>
            </w:pPr>
          </w:p>
        </w:tc>
        <w:tc>
          <w:tcPr>
            <w:tcW w:w="1780" w:type="dxa"/>
            <w:vAlign w:val="bottom"/>
            <w:tcBorders>
              <w:bottom w:val="single" w:sz="8" w:color="1EB7DF"/>
            </w:tcBorders>
          </w:tcPr>
          <w:p>
            <w:pPr>
              <w:spacing w:after="0"/>
              <w:rPr>
                <w:sz w:val="5"/>
                <w:szCs w:val="5"/>
                <w:color w:val="auto"/>
              </w:rPr>
            </w:pPr>
          </w:p>
        </w:tc>
        <w:tc>
          <w:tcPr>
            <w:tcW w:w="1140" w:type="dxa"/>
            <w:vAlign w:val="bottom"/>
            <w:tcBorders>
              <w:bottom w:val="single" w:sz="8" w:color="1EB7DF"/>
            </w:tcBorders>
          </w:tcPr>
          <w:p>
            <w:pPr>
              <w:spacing w:after="0"/>
              <w:rPr>
                <w:sz w:val="5"/>
                <w:szCs w:val="5"/>
                <w:color w:val="auto"/>
              </w:rPr>
            </w:pPr>
          </w:p>
        </w:tc>
      </w:tr>
    </w:tbl>
    <w:p>
      <w:pPr>
        <w:spacing w:after="0" w:line="172" w:lineRule="exact"/>
        <w:rPr>
          <w:sz w:val="20"/>
          <w:szCs w:val="20"/>
          <w:color w:val="auto"/>
        </w:rPr>
      </w:pPr>
    </w:p>
    <w:p>
      <w:pPr>
        <w:ind w:left="360" w:right="40" w:hanging="228"/>
        <w:spacing w:after="0" w:line="279" w:lineRule="auto"/>
        <w:tabs>
          <w:tab w:leader="none" w:pos="360" w:val="left"/>
        </w:tabs>
        <w:numPr>
          <w:ilvl w:val="0"/>
          <w:numId w:val="10"/>
        </w:numPr>
        <w:rPr>
          <w:rFonts w:ascii="Arial" w:cs="Arial" w:eastAsia="Arial" w:hAnsi="Arial"/>
          <w:sz w:val="15"/>
          <w:szCs w:val="15"/>
          <w:color w:val="auto"/>
        </w:rPr>
      </w:pPr>
      <w:r>
        <w:rPr>
          <w:rFonts w:ascii="Arial" w:cs="Arial" w:eastAsia="Arial" w:hAnsi="Arial"/>
          <w:sz w:val="15"/>
          <w:szCs w:val="15"/>
          <w:color w:val="0E191E"/>
        </w:rPr>
        <w:t>Relates to (i) the audit of our annual financial statements and internal controls, (ii) the review of the financial statements included in our quarterly reports, and (iii) statutory audits required by non-U.S. jurisdictions.</w:t>
      </w:r>
    </w:p>
    <w:p>
      <w:pPr>
        <w:spacing w:after="0" w:line="30" w:lineRule="exact"/>
        <w:rPr>
          <w:rFonts w:ascii="Arial" w:cs="Arial" w:eastAsia="Arial" w:hAnsi="Arial"/>
          <w:sz w:val="15"/>
          <w:szCs w:val="15"/>
          <w:color w:val="auto"/>
        </w:rPr>
      </w:pPr>
    </w:p>
    <w:p>
      <w:pPr>
        <w:ind w:left="360" w:hanging="228"/>
        <w:spacing w:after="0"/>
        <w:tabs>
          <w:tab w:leader="none" w:pos="360" w:val="left"/>
        </w:tabs>
        <w:numPr>
          <w:ilvl w:val="0"/>
          <w:numId w:val="10"/>
        </w:numPr>
        <w:rPr>
          <w:rFonts w:ascii="Arial" w:cs="Arial" w:eastAsia="Arial" w:hAnsi="Arial"/>
          <w:sz w:val="15"/>
          <w:szCs w:val="15"/>
          <w:color w:val="auto"/>
        </w:rPr>
      </w:pPr>
      <w:r>
        <w:rPr>
          <w:rFonts w:ascii="Arial" w:cs="Arial" w:eastAsia="Arial" w:hAnsi="Arial"/>
          <w:sz w:val="15"/>
          <w:szCs w:val="15"/>
          <w:color w:val="0E191E"/>
        </w:rPr>
        <w:t>Relates primarily to the research and development credit studies and international tax compliance and consulting services.</w:t>
      </w:r>
    </w:p>
    <w:p>
      <w:pPr>
        <w:spacing w:after="0" w:line="273" w:lineRule="exact"/>
        <w:rPr>
          <w:sz w:val="20"/>
          <w:szCs w:val="20"/>
          <w:color w:val="auto"/>
        </w:rPr>
      </w:pPr>
    </w:p>
    <w:p>
      <w:pPr>
        <w:ind w:right="160"/>
        <w:spacing w:after="0" w:line="317" w:lineRule="auto"/>
        <w:rPr>
          <w:sz w:val="20"/>
          <w:szCs w:val="20"/>
          <w:color w:val="auto"/>
        </w:rPr>
      </w:pPr>
      <w:r>
        <w:rPr>
          <w:rFonts w:ascii="Arial" w:cs="Arial" w:eastAsia="Arial" w:hAnsi="Arial"/>
          <w:sz w:val="15"/>
          <w:szCs w:val="15"/>
          <w:color w:val="0E191E"/>
        </w:rPr>
        <w:t>The Audit Committee considered whether the provision of the foregoing services by KPMG was compatible with maintaining KPMG's independence and determined that they were compatible.</w:t>
      </w:r>
    </w:p>
    <w:p>
      <w:pPr>
        <w:spacing w:after="0" w:line="138" w:lineRule="exact"/>
        <w:rPr>
          <w:sz w:val="20"/>
          <w:szCs w:val="20"/>
          <w:color w:val="auto"/>
        </w:rPr>
      </w:pPr>
    </w:p>
    <w:p>
      <w:pPr>
        <w:spacing w:after="0" w:line="306" w:lineRule="auto"/>
        <w:rPr>
          <w:sz w:val="20"/>
          <w:szCs w:val="20"/>
          <w:color w:val="auto"/>
        </w:rPr>
      </w:pPr>
      <w:r>
        <w:rPr>
          <w:rFonts w:ascii="Arial" w:cs="Arial" w:eastAsia="Arial" w:hAnsi="Arial"/>
          <w:sz w:val="15"/>
          <w:szCs w:val="15"/>
          <w:color w:val="0E191E"/>
        </w:rPr>
        <w:t>In accordance with its charter, the Audit Committee is required to pre-approve all audit and audit related services and permitted non-audit services, including the terms of all engagements, to be performed by our independent registered public accounting firm. As part of its review, the Audit Committee furthermore considers whether the non-audit services will or may potentially impact the independence of our independent registered public accounting firm. During fiscal years 2020 and 2021, all services performed by KPMG for our benefit were pre-approved by the Audit Committee in accordance with its charter and all applicable laws, rules, and regulations.</w:t>
      </w:r>
    </w:p>
    <w:p>
      <w:pPr>
        <w:spacing w:after="0" w:line="358"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16</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54"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32"/>
          <w:szCs w:val="32"/>
          <w:b w:val="1"/>
          <w:bCs w:val="1"/>
          <w:color w:val="0E191E"/>
        </w:rPr>
        <w:t>Audit Committee Report</w:t>
      </w:r>
    </w:p>
    <w:p>
      <w:pPr>
        <w:spacing w:after="0" w:line="216" w:lineRule="exact"/>
        <w:rPr>
          <w:sz w:val="20"/>
          <w:szCs w:val="20"/>
          <w:color w:val="auto"/>
        </w:rPr>
      </w:pPr>
    </w:p>
    <w:p>
      <w:pPr>
        <w:jc w:val="both"/>
        <w:ind w:right="60"/>
        <w:spacing w:after="0" w:line="319" w:lineRule="auto"/>
        <w:rPr>
          <w:sz w:val="20"/>
          <w:szCs w:val="20"/>
          <w:color w:val="auto"/>
        </w:rPr>
      </w:pPr>
      <w:r>
        <w:rPr>
          <w:rFonts w:ascii="Arial" w:cs="Arial" w:eastAsia="Arial" w:hAnsi="Arial"/>
          <w:sz w:val="15"/>
          <w:szCs w:val="15"/>
          <w:i w:val="1"/>
          <w:iCs w:val="1"/>
          <w:color w:val="0E191E"/>
        </w:rPr>
        <w:t>The material in this report shall not be deemed to be (i) “soliciting material,” (ii) “filed” with the SEC, (iii) subject to Regulations 14A or 14C of the Exchange Act, or (iv) subject to the liabilities of Section 18 of the Exchange Act. This report shall not be deemed incorporated by reference into any of our other filings under the Exchange Act or the Securities Act of 1933, as amended (the “Securities Act”), except to the extent the Company specifically incorporates it by reference into such filing.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Role of the Audit Committee</w:t>
      </w:r>
    </w:p>
    <w:p>
      <w:pPr>
        <w:spacing w:after="0" w:line="136" w:lineRule="exact"/>
        <w:rPr>
          <w:sz w:val="20"/>
          <w:szCs w:val="20"/>
          <w:color w:val="auto"/>
        </w:rPr>
      </w:pPr>
    </w:p>
    <w:p>
      <w:pPr>
        <w:spacing w:after="0" w:line="303" w:lineRule="auto"/>
        <w:rPr>
          <w:sz w:val="20"/>
          <w:szCs w:val="20"/>
          <w:color w:val="auto"/>
        </w:rPr>
      </w:pPr>
      <w:r>
        <w:rPr>
          <w:rFonts w:ascii="Arial" w:cs="Arial" w:eastAsia="Arial" w:hAnsi="Arial"/>
          <w:sz w:val="15"/>
          <w:szCs w:val="15"/>
          <w:color w:val="0E191E"/>
        </w:rPr>
        <w:t>The Audit Committee operates under a written charter adopted by our board of directors in connection with the Company's initial public offering, which provides that its functions include the oversight of the quality of the Company's financial reports and other financial information and its compliance with legal and regulatory requirements; the appointment, compensation, and oversight of the Company's independent registered public accounting firm including reviewing their independence; reviewing and approving the planned scope of the Company's annual audit; reviewing and pre-approving any non-audit services that may be performed by the Company's independent registered public accounting firm; reviewing with management and the Company's independent registered public accounting firm the adequacy of internal financial controls; and reviewing the Company's critical accounting policies and estimates and the application of U.S. generally accepted accounting principles (“GAAP”). The Audit Committee held seven meetings during fiscal year 2021.</w:t>
      </w:r>
    </w:p>
    <w:p>
      <w:pPr>
        <w:spacing w:after="0" w:line="150" w:lineRule="exact"/>
        <w:rPr>
          <w:sz w:val="20"/>
          <w:szCs w:val="20"/>
          <w:color w:val="auto"/>
        </w:rPr>
      </w:pPr>
    </w:p>
    <w:p>
      <w:pPr>
        <w:ind w:right="140"/>
        <w:spacing w:after="0" w:line="304" w:lineRule="auto"/>
        <w:rPr>
          <w:sz w:val="20"/>
          <w:szCs w:val="20"/>
          <w:color w:val="auto"/>
        </w:rPr>
      </w:pPr>
      <w:r>
        <w:rPr>
          <w:rFonts w:ascii="Arial" w:cs="Arial" w:eastAsia="Arial" w:hAnsi="Arial"/>
          <w:sz w:val="15"/>
          <w:szCs w:val="15"/>
          <w:color w:val="0E191E"/>
        </w:rPr>
        <w:t>The Audit Committee oversees the Company's financial reporting process on behalf of the board of directors. Management is responsible for the Company's internal controls, financial reporting process, and compliance with laws and regulations and ethical business standards. The Company's independent registered public accounting firm is responsible for performing an independent audit of the Company's consolidated financial statements and an independent audit of the Company's internal control over financial reporting, both in accordance with the standards of the Public Company Accounting Oversight Board (United States) (“PCAOB”). The Audit Committee's responsibility is to monitor and oversee this process.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Review of Audited Financial Statements for Fiscal Year Ended July 31, 2021</w:t>
      </w:r>
    </w:p>
    <w:p>
      <w:pPr>
        <w:spacing w:after="0" w:line="136" w:lineRule="exact"/>
        <w:rPr>
          <w:sz w:val="20"/>
          <w:szCs w:val="20"/>
          <w:color w:val="auto"/>
        </w:rPr>
      </w:pPr>
    </w:p>
    <w:p>
      <w:pPr>
        <w:ind w:right="500"/>
        <w:spacing w:after="0" w:line="317" w:lineRule="auto"/>
        <w:rPr>
          <w:sz w:val="20"/>
          <w:szCs w:val="20"/>
          <w:color w:val="auto"/>
        </w:rPr>
      </w:pPr>
      <w:r>
        <w:rPr>
          <w:rFonts w:ascii="Arial" w:cs="Arial" w:eastAsia="Arial" w:hAnsi="Arial"/>
          <w:sz w:val="15"/>
          <w:szCs w:val="15"/>
          <w:color w:val="0E191E"/>
        </w:rPr>
        <w:t>The Audit Committee reviewed and discussed the Company's audited financial statements for the fiscal year ended July 31, 2021 with management. The Audit Committee discussed with KPMG the matters required to be discussed under the PCAOB standards.</w:t>
      </w:r>
    </w:p>
    <w:p>
      <w:pPr>
        <w:spacing w:after="0" w:line="138" w:lineRule="exact"/>
        <w:rPr>
          <w:sz w:val="20"/>
          <w:szCs w:val="20"/>
          <w:color w:val="auto"/>
        </w:rPr>
      </w:pPr>
    </w:p>
    <w:p>
      <w:pPr>
        <w:jc w:val="both"/>
        <w:ind w:right="320"/>
        <w:spacing w:after="0" w:line="308" w:lineRule="auto"/>
        <w:rPr>
          <w:sz w:val="20"/>
          <w:szCs w:val="20"/>
          <w:color w:val="auto"/>
        </w:rPr>
      </w:pPr>
      <w:r>
        <w:rPr>
          <w:rFonts w:ascii="Arial" w:cs="Arial" w:eastAsia="Arial" w:hAnsi="Arial"/>
          <w:sz w:val="15"/>
          <w:szCs w:val="15"/>
          <w:color w:val="0E191E"/>
        </w:rPr>
        <w:t>The Audit Committee received the written disclosures and the letter from KPMG required by PCAOB Standards regarding KPMG's communications with the Audit Committee concerning independence (Communication with Audit Committees Concerning Independence) and the Audit Committee has discussed with KPMG its independence from the Company and its management.</w:t>
      </w:r>
    </w:p>
    <w:p>
      <w:pPr>
        <w:spacing w:after="0" w:line="146" w:lineRule="exact"/>
        <w:rPr>
          <w:sz w:val="20"/>
          <w:szCs w:val="20"/>
          <w:color w:val="auto"/>
        </w:rPr>
      </w:pPr>
    </w:p>
    <w:p>
      <w:pPr>
        <w:jc w:val="both"/>
        <w:ind w:right="20"/>
        <w:spacing w:after="0" w:line="308" w:lineRule="auto"/>
        <w:rPr>
          <w:sz w:val="20"/>
          <w:szCs w:val="20"/>
          <w:color w:val="auto"/>
        </w:rPr>
      </w:pPr>
      <w:r>
        <w:rPr>
          <w:rFonts w:ascii="Arial" w:cs="Arial" w:eastAsia="Arial" w:hAnsi="Arial"/>
          <w:sz w:val="15"/>
          <w:szCs w:val="15"/>
          <w:color w:val="0E191E"/>
        </w:rPr>
        <w:t>The Company's management has established and the Audit Committee has reviewed and approved procedures for the receipt, retention, and treatment of complaints received by the Company regarding accounting, internal accounting controls, or auditing matters, including the confidential, anonymous submission by the Company's employees, received through established procedures, of concerns regarding questionable accounting or auditing matters.</w:t>
      </w:r>
    </w:p>
    <w:p>
      <w:pPr>
        <w:spacing w:after="0" w:line="146" w:lineRule="exact"/>
        <w:rPr>
          <w:sz w:val="20"/>
          <w:szCs w:val="20"/>
          <w:color w:val="auto"/>
        </w:rPr>
      </w:pPr>
    </w:p>
    <w:p>
      <w:pPr>
        <w:ind w:right="680"/>
        <w:spacing w:after="0" w:line="317" w:lineRule="auto"/>
        <w:rPr>
          <w:sz w:val="20"/>
          <w:szCs w:val="20"/>
          <w:color w:val="auto"/>
        </w:rPr>
      </w:pPr>
      <w:r>
        <w:rPr>
          <w:rFonts w:ascii="Arial" w:cs="Arial" w:eastAsia="Arial" w:hAnsi="Arial"/>
          <w:sz w:val="15"/>
          <w:szCs w:val="15"/>
          <w:color w:val="0E191E"/>
        </w:rPr>
        <w:t>Based on the Audit Committee's review and discussions with management and KPMG, the Audit Committee recommended to our board of directors that the Company's audited consolidated financial statements be included in the Company's 2021 Annual Report on Form 10-K for filing with the SEC.</w:t>
      </w:r>
    </w:p>
    <w:p>
      <w:pPr>
        <w:spacing w:after="0" w:line="138"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0E191E"/>
        </w:rPr>
        <w:t>Members of the Audit Committee rely without independent verification on the information provided to them and on the representations made by management and the independent registered public accounting firm. Accordingly, Audit Committee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assure that the audit of the Company's financial statements has been carried out in accordance with the standards of the PCAOB, that the consolidated financial statements are presented in accordance with U.S. generally accepted accounting principles or that KPMG is in fact “independent.”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0E191E"/>
        </w:rPr>
        <w:t>THE AUDIT COMMITTEE</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Catherine P. Lego (Chair)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Margaret Dillon</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Paul Lavin</w:t>
      </w:r>
    </w:p>
    <w:p>
      <w:pPr>
        <w:spacing w:after="0" w:line="200" w:lineRule="exact"/>
        <w:rPr>
          <w:sz w:val="20"/>
          <w:szCs w:val="20"/>
          <w:color w:val="auto"/>
        </w:rPr>
      </w:pPr>
    </w:p>
    <w:p>
      <w:pPr>
        <w:spacing w:after="0" w:line="208"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17</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1" w:right="3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2626360</wp:posOffset>
            </wp:positionV>
            <wp:extent cx="2228850" cy="1028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28850" cy="102870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808990</wp:posOffset>
            </wp:positionV>
            <wp:extent cx="299720" cy="300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0" w:right="20"/>
        <w:spacing w:after="0" w:line="275" w:lineRule="auto"/>
        <w:rPr>
          <w:sz w:val="20"/>
          <w:szCs w:val="20"/>
          <w:color w:val="auto"/>
        </w:rPr>
      </w:pPr>
      <w:r>
        <w:rPr>
          <w:rFonts w:ascii="Arial" w:cs="Arial" w:eastAsia="Arial" w:hAnsi="Arial"/>
          <w:sz w:val="15"/>
          <w:szCs w:val="15"/>
          <w:b w:val="1"/>
          <w:bCs w:val="1"/>
          <w:color w:val="0E191E"/>
        </w:rPr>
        <w:t>The Board of Directors recommends a vote "FOR" the approval of the compensation of our named executive officers, as disclosed in the proxy.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39D"/>
        </w:rPr>
        <w:t>Proposal Three</w:t>
      </w:r>
    </w:p>
    <w:p>
      <w:pPr>
        <w:spacing w:after="0" w:line="77" w:lineRule="exact"/>
        <w:rPr>
          <w:sz w:val="20"/>
          <w:szCs w:val="20"/>
          <w:color w:val="auto"/>
        </w:rPr>
      </w:pPr>
    </w:p>
    <w:p>
      <w:pPr>
        <w:ind w:right="760"/>
        <w:spacing w:after="0" w:line="286" w:lineRule="auto"/>
        <w:rPr>
          <w:sz w:val="20"/>
          <w:szCs w:val="20"/>
          <w:color w:val="auto"/>
        </w:rPr>
      </w:pPr>
      <w:r>
        <w:rPr>
          <w:rFonts w:ascii="Arial" w:cs="Arial" w:eastAsia="Arial" w:hAnsi="Arial"/>
          <w:sz w:val="32"/>
          <w:szCs w:val="32"/>
          <w:b w:val="1"/>
          <w:bCs w:val="1"/>
          <w:color w:val="0E191E"/>
        </w:rPr>
        <w:t>Advisory Vote on Compensation of Named Executive Officers</w:t>
      </w:r>
    </w:p>
    <w:p>
      <w:pPr>
        <w:spacing w:after="0" w:line="101"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0E191E"/>
        </w:rPr>
        <w:t>Section 14A of the Exchange Act generally requires each public company to include in its proxy statement a separate resolution subject to a non-binding, advisory stockholder vote to approve the compensation of the company’s named executive officers, as disclosed in its proxy statement pursuant to Item 402 of Regulation S-K, not less frequently than once every three years. This is commonly known as, and is referred to herein as, a “say-on-pay” proposal or resolution.</w:t>
      </w:r>
    </w:p>
    <w:p>
      <w:pPr>
        <w:spacing w:after="0" w:line="150"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0E191E"/>
        </w:rPr>
        <w:t>As described in detail under the heading “Compensation Discussion and Analysis,” our executive compensation programs are designed to attract, retain, and motivate our named executive officers, who are critical to our success. Under these programs, our named executive officers are rewarded for the achievement of specific annual, long-term, and strategic goals, and the realization of increased stockholder value. Please refer to the “Compensation Discussion and Analysis” in our proxy statement for additional details about our executive compensation programs, including information about the compensation of our named executive officers for the fiscal year ended July 31, 2021.</w:t>
      </w:r>
    </w:p>
    <w:p>
      <w:pPr>
        <w:spacing w:after="0" w:line="150"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0E191E"/>
        </w:rPr>
        <w:t>The compensation committee of the board of directors (the “Compensation Committee”) annually reviews the compensation programs for our named executive officers to ensure that they achieve the desired goals of aligning our executive compensation structure with our stockholders’ interests.</w:t>
      </w:r>
    </w:p>
    <w:p>
      <w:pPr>
        <w:spacing w:after="0" w:line="146" w:lineRule="exact"/>
        <w:rPr>
          <w:sz w:val="20"/>
          <w:szCs w:val="20"/>
          <w:color w:val="auto"/>
        </w:rPr>
      </w:pPr>
    </w:p>
    <w:p>
      <w:pPr>
        <w:spacing w:after="0" w:line="309" w:lineRule="auto"/>
        <w:rPr>
          <w:sz w:val="20"/>
          <w:szCs w:val="20"/>
          <w:color w:val="auto"/>
        </w:rPr>
      </w:pPr>
      <w:r>
        <w:rPr>
          <w:rFonts w:ascii="Arial" w:cs="Arial" w:eastAsia="Arial" w:hAnsi="Arial"/>
          <w:sz w:val="15"/>
          <w:szCs w:val="15"/>
          <w:color w:val="0E191E"/>
        </w:rPr>
        <w:t>The say-on-pay proposal is advisory, and therefore will not have any binding legal effect on the Company, our board of directors or the Compensation Committee. However, our board of directors and the Compensation Committee do value the opinions of our stockholders and intend to take the results of the vote on this proposal into account in its future decisions regarding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981075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720"/>
            <w:col w:w="7320"/>
          </w:cols>
          <w:pgMar w:left="320" w:top="95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Recommendation</w:t>
      </w:r>
    </w:p>
    <w:p>
      <w:pPr>
        <w:spacing w:after="0" w:line="136"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0E191E"/>
        </w:rPr>
        <w:t>We are asking our stockholders to indicate their support for our named executive officers’ compensation as described in this proxy statement. This say-on-pay proposal gives our stockholders the opportunity to express their views on our named executive officers’ compensation. This vote is not limited to any specific item of compensation, but rather addresses the overall compensation of our named executive officers and our philosophy, policies, and practices relating to their compensation as described in this proxy statement pursuant to Item 402 of Regulation S-K. The following say-on-pay resolution is submitted for a stockholder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737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368" w:lineRule="exact"/>
        <w:rPr>
          <w:sz w:val="20"/>
          <w:szCs w:val="20"/>
          <w:color w:val="auto"/>
        </w:rPr>
      </w:pPr>
    </w:p>
    <w:p>
      <w:pPr>
        <w:ind w:left="260" w:right="620"/>
        <w:spacing w:after="0" w:line="342" w:lineRule="auto"/>
        <w:rPr>
          <w:sz w:val="20"/>
          <w:szCs w:val="20"/>
          <w:color w:val="auto"/>
        </w:rPr>
      </w:pPr>
      <w:r>
        <w:rPr>
          <w:rFonts w:ascii="Arial" w:cs="Arial" w:eastAsia="Arial" w:hAnsi="Arial"/>
          <w:sz w:val="15"/>
          <w:szCs w:val="15"/>
          <w:color w:val="0E191E"/>
        </w:rPr>
        <w:t>“</w:t>
      </w:r>
      <w:r>
        <w:rPr>
          <w:rFonts w:ascii="Arial" w:cs="Arial" w:eastAsia="Arial" w:hAnsi="Arial"/>
          <w:sz w:val="15"/>
          <w:szCs w:val="15"/>
          <w:b w:val="1"/>
          <w:bCs w:val="1"/>
          <w:color w:val="0E191E"/>
        </w:rPr>
        <w:t>RESOLVED</w:t>
      </w:r>
      <w:r>
        <w:rPr>
          <w:rFonts w:ascii="Arial" w:cs="Arial" w:eastAsia="Arial" w:hAnsi="Arial"/>
          <w:sz w:val="15"/>
          <w:szCs w:val="15"/>
          <w:color w:val="0E191E"/>
        </w:rPr>
        <w:t xml:space="preserve">, that the compensation paid to the Company’s named executive officers, as disclosed pursuant to Item 402 of Regulation S-K, including the Compensation Discussion and Analysis, compensation tables and narrative discussion, is hereby </w:t>
      </w:r>
      <w:r>
        <w:rPr>
          <w:rFonts w:ascii="Arial" w:cs="Arial" w:eastAsia="Arial" w:hAnsi="Arial"/>
          <w:sz w:val="15"/>
          <w:szCs w:val="15"/>
          <w:b w:val="1"/>
          <w:bCs w:val="1"/>
          <w:color w:val="0E191E"/>
        </w:rPr>
        <w:t>APPROVED</w:t>
      </w:r>
      <w:r>
        <w:rPr>
          <w:rFonts w:ascii="Arial" w:cs="Arial" w:eastAsia="Arial" w:hAnsi="Arial"/>
          <w:sz w:val="15"/>
          <w:szCs w:val="15"/>
          <w:color w:val="0E191E"/>
        </w:rPr>
        <w:t>.”</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Vote Required for Approval</w:t>
      </w:r>
    </w:p>
    <w:p>
      <w:pPr>
        <w:spacing w:after="0" w:line="136" w:lineRule="exact"/>
        <w:rPr>
          <w:sz w:val="20"/>
          <w:szCs w:val="20"/>
          <w:color w:val="auto"/>
        </w:rPr>
      </w:pPr>
    </w:p>
    <w:p>
      <w:pPr>
        <w:ind w:right="280"/>
        <w:spacing w:after="0" w:line="317" w:lineRule="auto"/>
        <w:rPr>
          <w:sz w:val="20"/>
          <w:szCs w:val="20"/>
          <w:color w:val="auto"/>
        </w:rPr>
      </w:pPr>
      <w:r>
        <w:rPr>
          <w:rFonts w:ascii="Arial" w:cs="Arial" w:eastAsia="Arial" w:hAnsi="Arial"/>
          <w:sz w:val="15"/>
          <w:szCs w:val="15"/>
          <w:color w:val="0E191E"/>
        </w:rPr>
        <w:t>The advisory approval of our executive compensation requires the approval of a majority of the shares present or represented by proxy and entitled to vote on the proposal at the annual meeting.</w:t>
      </w:r>
    </w:p>
    <w:p>
      <w:pPr>
        <w:spacing w:after="0" w:line="350"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18</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954" w:right="37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3672205</wp:posOffset>
            </wp:positionV>
            <wp:extent cx="2228850" cy="12598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28850" cy="125984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1760220</wp:posOffset>
            </wp:positionV>
            <wp:extent cx="299720" cy="300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right="80"/>
        <w:spacing w:after="0" w:line="271" w:lineRule="auto"/>
        <w:rPr>
          <w:sz w:val="20"/>
          <w:szCs w:val="20"/>
          <w:color w:val="auto"/>
        </w:rPr>
      </w:pPr>
      <w:r>
        <w:rPr>
          <w:rFonts w:ascii="Arial" w:cs="Arial" w:eastAsia="Arial" w:hAnsi="Arial"/>
          <w:sz w:val="15"/>
          <w:szCs w:val="15"/>
          <w:b w:val="1"/>
          <w:bCs w:val="1"/>
          <w:color w:val="0E191E"/>
        </w:rPr>
        <w:t>The Board of Directors recommends our stockholders vote "FOR" the amendment and restatement of our certificate of incorporation to remove the supermajority voting provision therein.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39D"/>
        </w:rPr>
        <w:t>Proposal Four</w:t>
      </w:r>
    </w:p>
    <w:p>
      <w:pPr>
        <w:spacing w:after="0" w:line="50" w:lineRule="exact"/>
        <w:rPr>
          <w:sz w:val="20"/>
          <w:szCs w:val="20"/>
          <w:color w:val="auto"/>
        </w:rPr>
      </w:pPr>
    </w:p>
    <w:p>
      <w:pPr>
        <w:ind w:right="20"/>
        <w:spacing w:after="0" w:line="234" w:lineRule="auto"/>
        <w:rPr>
          <w:sz w:val="20"/>
          <w:szCs w:val="20"/>
          <w:color w:val="auto"/>
        </w:rPr>
      </w:pPr>
      <w:r>
        <w:rPr>
          <w:rFonts w:ascii="Arial" w:cs="Arial" w:eastAsia="Arial" w:hAnsi="Arial"/>
          <w:sz w:val="32"/>
          <w:szCs w:val="32"/>
          <w:b w:val="1"/>
          <w:bCs w:val="1"/>
          <w:color w:val="0E191E"/>
        </w:rPr>
        <w:t>Amendment and Restatement of Our Certificate of Incorporation to Remove the Supermajority Voting Provision Therein</w:t>
      </w:r>
    </w:p>
    <w:p>
      <w:pPr>
        <w:spacing w:after="0" w:line="144" w:lineRule="exact"/>
        <w:rPr>
          <w:sz w:val="20"/>
          <w:szCs w:val="20"/>
          <w:color w:val="auto"/>
        </w:rPr>
      </w:pPr>
    </w:p>
    <w:p>
      <w:pPr>
        <w:spacing w:after="0" w:line="302" w:lineRule="auto"/>
        <w:rPr>
          <w:sz w:val="20"/>
          <w:szCs w:val="20"/>
          <w:color w:val="auto"/>
        </w:rPr>
      </w:pPr>
      <w:r>
        <w:rPr>
          <w:rFonts w:ascii="Arial" w:cs="Arial" w:eastAsia="Arial" w:hAnsi="Arial"/>
          <w:sz w:val="15"/>
          <w:szCs w:val="15"/>
          <w:color w:val="0E191E"/>
        </w:rPr>
        <w:t>Under our current amended and restated certificate of incorporation (the “Current Certificate”), the affirmative vote of the holders of at least sixty-six and two-thirds percent (66 2/3%) of the voting power of all then outstanding shares of capital stock of the company entitled to vote generally in the election of directors is required to amend, alter or repeal certain provisions of the Current Certificate, or to adopt any provision as part of the certificate of incorporation that is inconsistent with the purpose and intent of certain provisions of the Current Certificate. We received a stockholder proposal for our 2020 annual meeting of stockholders requesting that our board of directors take the steps necessary to amend the appropriate company governing documents so that each stockholder voting requirement that calls for a greater than simple majority vote be eliminated, and replaced by a requirement for a majority of the votes cast for and against applicable proposals, or a simple majority in compliance with applicable laws (the “2020 Proposal”).</w:t>
      </w:r>
    </w:p>
    <w:p>
      <w:pPr>
        <w:spacing w:after="0" w:line="152" w:lineRule="exact"/>
        <w:rPr>
          <w:sz w:val="20"/>
          <w:szCs w:val="20"/>
          <w:color w:val="auto"/>
        </w:rPr>
      </w:pPr>
    </w:p>
    <w:p>
      <w:pPr>
        <w:jc w:val="both"/>
        <w:ind w:right="80"/>
        <w:spacing w:after="0" w:line="308" w:lineRule="auto"/>
        <w:rPr>
          <w:sz w:val="20"/>
          <w:szCs w:val="20"/>
          <w:color w:val="auto"/>
        </w:rPr>
      </w:pPr>
      <w:r>
        <w:rPr>
          <w:rFonts w:ascii="Arial" w:cs="Arial" w:eastAsia="Arial" w:hAnsi="Arial"/>
          <w:sz w:val="15"/>
          <w:szCs w:val="15"/>
          <w:color w:val="0E191E"/>
        </w:rPr>
        <w:t>After carefully considering the 2020 Proposal and related matters, our board of directors recommended that our stockholders approve the 2020 Proposal. At the 2020 annual meeting of stockholders, over 98% of our stockholders voted in favor of the 2020 Proposal, which was advisory in nature.</w:t>
      </w:r>
    </w:p>
    <w:p>
      <w:pPr>
        <w:spacing w:after="0" w:line="146"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0E191E"/>
        </w:rPr>
        <w:t>In order to implement the changes requested in the 2020 Proposal and to make certain other “clean-up” changes to the Current Certificate, we are asking our stockholders to approve the amendment and restatement of the Current Certificate. A copy of the proposed Amended and Restated Certificate of Incorporation, marked to show the proposed changes to the Current Certificate, is attached hereto as Annex A (the “Amended and Restated Certificate”). Our amended and restated bylaws do not include any supermajority voting requirements.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Current Supermajority Voting</w:t>
      </w:r>
    </w:p>
    <w:p>
      <w:pPr>
        <w:spacing w:after="0" w:line="136" w:lineRule="exact"/>
        <w:rPr>
          <w:sz w:val="20"/>
          <w:szCs w:val="20"/>
          <w:color w:val="auto"/>
        </w:rPr>
      </w:pPr>
    </w:p>
    <w:p>
      <w:pPr>
        <w:spacing w:after="0" w:line="302" w:lineRule="auto"/>
        <w:rPr>
          <w:sz w:val="20"/>
          <w:szCs w:val="20"/>
          <w:color w:val="auto"/>
        </w:rPr>
      </w:pPr>
      <w:r>
        <w:rPr>
          <w:rFonts w:ascii="Arial" w:cs="Arial" w:eastAsia="Arial" w:hAnsi="Arial"/>
          <w:sz w:val="15"/>
          <w:szCs w:val="15"/>
          <w:color w:val="0E191E"/>
        </w:rPr>
        <w:t>Our Current Certificate requires the approval of the holders of at least sixty-six and two-thirds percent (66 2/3%) of the voting power of all then outstanding shares of capital stock of the Company entitled to vote generally in the election of directors, voting together as a single class, to amend, alter or repeal, or to adopt any provision as part of the Company’s certificate of incorporation inconsistent with the purpose and intent of certain provisions of the Current Certificate, including provisions with respect to the board of directors, the adoption, amendment, or repeal of the Company’s bylaws, and the ability of stockholders to act by written consent or to call special meetings of the Company. Our amended and restated bylaws do not include any supermajority voting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1522730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720"/>
            <w:col w:w="7340"/>
          </w:cols>
          <w:pgMar w:left="320" w:top="95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Proposed Amendment and Restatement of the Current Certificate</w:t>
      </w:r>
    </w:p>
    <w:p>
      <w:pPr>
        <w:spacing w:after="0" w:line="136" w:lineRule="exact"/>
        <w:rPr>
          <w:sz w:val="20"/>
          <w:szCs w:val="20"/>
          <w:color w:val="auto"/>
        </w:rPr>
      </w:pPr>
    </w:p>
    <w:p>
      <w:pPr>
        <w:spacing w:after="0" w:line="306" w:lineRule="auto"/>
        <w:rPr>
          <w:sz w:val="20"/>
          <w:szCs w:val="20"/>
          <w:color w:val="auto"/>
        </w:rPr>
      </w:pPr>
      <w:r>
        <w:rPr>
          <w:rFonts w:ascii="Arial" w:cs="Arial" w:eastAsia="Arial" w:hAnsi="Arial"/>
          <w:sz w:val="15"/>
          <w:szCs w:val="15"/>
          <w:color w:val="0E191E"/>
        </w:rPr>
        <w:t>The proposed Amended and Restated Certificate would eliminate the supermajority voting requirement set forth in Article IX of the Current Certificate. Under the Delaware General Corporation Law, in the absence of specification in the certificate of incorporation or bylaws of a corporation, in all matters other than the election of directors, the affirmative vote of the majority of shares present in person or represented by proxy at the meeting and entitled to vote on the subject matter shall be the act of the stockholders.</w:t>
      </w:r>
    </w:p>
    <w:p>
      <w:pPr>
        <w:sectPr>
          <w:pgSz w:w="11900" w:h="16838" w:orient="portrait"/>
          <w:cols w:equalWidth="0" w:num="1">
            <w:col w:w="11220"/>
          </w:cols>
          <w:pgMar w:left="320" w:top="954" w:right="359" w:bottom="1440" w:gutter="0" w:footer="0" w:header="0"/>
          <w:type w:val="continuous"/>
        </w:sectPr>
      </w:pPr>
    </w:p>
    <w:p>
      <w:pPr>
        <w:spacing w:after="0" w:line="358"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31"/>
          <w:szCs w:val="31"/>
          <w:b w:val="1"/>
          <w:bCs w:val="1"/>
          <w:color w:val="00739D"/>
          <w:vertAlign w:val="superscript"/>
        </w:rPr>
        <w:t>19</w:t>
      </w:r>
      <w:r>
        <w:rPr>
          <w:sz w:val="20"/>
          <w:szCs w:val="20"/>
          <w:color w:val="auto"/>
        </w:rPr>
        <w:tab/>
      </w:r>
      <w:r>
        <w:rPr>
          <w:rFonts w:ascii="Arial" w:cs="Arial" w:eastAsia="Arial" w:hAnsi="Arial"/>
          <w:sz w:val="12"/>
          <w:szCs w:val="12"/>
          <w:color w:val="0E191E"/>
        </w:rPr>
        <w:t>2021 Proxy Statement</w:t>
      </w:r>
    </w:p>
    <w:p>
      <w:pPr>
        <w:sectPr>
          <w:pgSz w:w="11900" w:h="16838" w:orient="portrait"/>
          <w:cols w:equalWidth="0" w:num="1">
            <w:col w:w="11220"/>
          </w:cols>
          <w:pgMar w:left="320" w:top="954" w:right="359" w:bottom="1440" w:gutter="0" w:footer="0" w:header="0"/>
          <w:type w:val="continuous"/>
        </w:sectPr>
      </w:pPr>
    </w:p>
    <w:bookmarkStart w:id="23" w:name="page24"/>
    <w:bookmarkEnd w:id="23"/>
    <w:p>
      <w:pPr>
        <w:ind w:right="60"/>
        <w:spacing w:after="0" w:line="304" w:lineRule="auto"/>
        <w:rPr>
          <w:sz w:val="20"/>
          <w:szCs w:val="20"/>
          <w:color w:val="auto"/>
        </w:rPr>
      </w:pPr>
      <w:r>
        <w:rPr>
          <w:rFonts w:ascii="Arial" w:cs="Arial" w:eastAsia="Arial" w:hAnsi="Arial"/>
          <w:sz w:val="15"/>
          <w:szCs w:val="15"/>
          <w:color w:val="0E191E"/>
        </w:rPr>
        <w:t>In addition, the board of directors recommends making certain “clean-up” changes to the Current Certificate to eliminate the provisions related to the phased declassification of the Company’s board of directors, which will have been fully implemented at the time of the 2021 annual meeting. Pursuant to the Current Certificate and the proposed Amended and Restated Certificate, at the 2021 annual meeting and at each annual meeting of stockholders thereafter, each member of the Company’s board of directors will be elected to hold office for a one-year term expiring at the next annual meeting of stockholders; provided, that the term of each director shall continue until his or her successor is duly elected and qualified or until his or her earlier death, resignation or removal.</w:t>
      </w:r>
    </w:p>
    <w:p>
      <w:pPr>
        <w:spacing w:after="0" w:line="150" w:lineRule="exact"/>
        <w:rPr>
          <w:sz w:val="20"/>
          <w:szCs w:val="20"/>
          <w:color w:val="auto"/>
        </w:rPr>
      </w:pPr>
    </w:p>
    <w:p>
      <w:pPr>
        <w:ind w:right="120"/>
        <w:spacing w:after="0" w:line="317" w:lineRule="auto"/>
        <w:rPr>
          <w:sz w:val="20"/>
          <w:szCs w:val="20"/>
          <w:color w:val="auto"/>
        </w:rPr>
      </w:pPr>
      <w:r>
        <w:rPr>
          <w:rFonts w:ascii="Arial" w:cs="Arial" w:eastAsia="Arial" w:hAnsi="Arial"/>
          <w:sz w:val="15"/>
          <w:szCs w:val="15"/>
          <w:color w:val="0E191E"/>
        </w:rPr>
        <w:t>This description of the proposed Amended and Restated Certificate is a summary and is qualified by the full text of the proposed Amended and Restated Certificate, which is attached to this proxy statement as Annex A and is marked to show the changes described above.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Recommendation</w:t>
      </w:r>
    </w:p>
    <w:p>
      <w:pPr>
        <w:spacing w:after="0" w:line="136" w:lineRule="exact"/>
        <w:rPr>
          <w:sz w:val="20"/>
          <w:szCs w:val="20"/>
          <w:color w:val="auto"/>
        </w:rPr>
      </w:pPr>
    </w:p>
    <w:p>
      <w:pPr>
        <w:jc w:val="both"/>
        <w:ind w:right="200"/>
        <w:spacing w:after="0" w:line="308" w:lineRule="auto"/>
        <w:rPr>
          <w:sz w:val="20"/>
          <w:szCs w:val="20"/>
          <w:color w:val="auto"/>
        </w:rPr>
      </w:pPr>
      <w:r>
        <w:rPr>
          <w:rFonts w:ascii="Arial" w:cs="Arial" w:eastAsia="Arial" w:hAnsi="Arial"/>
          <w:sz w:val="15"/>
          <w:szCs w:val="15"/>
          <w:color w:val="0E191E"/>
        </w:rPr>
        <w:t>After consideration of the foregoing and other factors, including the results of the 2020 Proposal, our board of directors has unanimously determined that it is in the best interests of the Company and our stockholders to amend and restate the Current Certificate in order to eliminate the supermajority voting provision. Therefore, our board of directors has unanimously approved the proposed Amended and Restated Certificate.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Vote Required</w:t>
      </w:r>
    </w:p>
    <w:p>
      <w:pPr>
        <w:spacing w:after="0" w:line="136"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0E191E"/>
        </w:rPr>
        <w:t>The affirmative vote of the holders of at least sixty-six and two-thirds percent (66 2/3%) of the voting power of all of the outstanding shares of the capital stock of the Company entitled to vote at the 2021 annual meeting is required to approve the Amended and Restated Certificate. Shares that are voted “abstain” are treated as the same as voting “against” this proposal.</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0E191E"/>
        </w:rPr>
        <w:t>If our stockholders approve the Amended and Restated Certificate, our board of directors has authorized our officers to file the Amended and Restated Certificate with the Delaware Secretary of State, and the Amended and Restated Certificate would become effective upon acceptance by the Delaware Secretary of State. Our board of directors intends to make that filing if, and as soon as practicable after, this proposal is approved at this annual meeting.</w:t>
      </w:r>
    </w:p>
    <w:p>
      <w:pPr>
        <w:spacing w:after="0" w:line="146"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0E191E"/>
        </w:rPr>
        <w:t>If our stockholders do not approve the Amended and Restated Certificate, then the Amended and Restated Certificate will not be adopted, and the Current Certificate, including the supermajority voting requirements therein, will remain in place.</w:t>
      </w:r>
    </w:p>
    <w:p>
      <w:pPr>
        <w:spacing w:after="0" w:line="350"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20</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811" w:right="359" w:bottom="1440" w:gutter="0" w:footer="0" w:header="0"/>
        </w:sectPr>
      </w:pPr>
    </w:p>
    <w:bookmarkStart w:id="24" w:name="page25"/>
    <w:bookmarkEnd w:id="24"/>
    <w:p>
      <w:pPr>
        <w:spacing w:after="0"/>
        <w:rPr>
          <w:sz w:val="20"/>
          <w:szCs w:val="20"/>
          <w:color w:val="auto"/>
        </w:rPr>
      </w:pPr>
      <w:r>
        <w:rPr>
          <w:rFonts w:ascii="Arial" w:cs="Arial" w:eastAsia="Arial" w:hAnsi="Arial"/>
          <w:sz w:val="32"/>
          <w:szCs w:val="32"/>
          <w:b w:val="1"/>
          <w:bCs w:val="1"/>
          <w:color w:val="0E191E"/>
        </w:rPr>
        <w:t>Information about the Board of Directors and Corporate Governance</w:t>
      </w:r>
    </w:p>
    <w:p>
      <w:pPr>
        <w:spacing w:after="0" w:line="232" w:lineRule="exact"/>
        <w:rPr>
          <w:sz w:val="20"/>
          <w:szCs w:val="20"/>
          <w:color w:val="auto"/>
        </w:rPr>
      </w:pPr>
    </w:p>
    <w:p>
      <w:pPr>
        <w:spacing w:after="0" w:line="308" w:lineRule="auto"/>
        <w:rPr>
          <w:sz w:val="20"/>
          <w:szCs w:val="20"/>
          <w:color w:val="auto"/>
        </w:rPr>
      </w:pPr>
      <w:r>
        <w:rPr>
          <w:rFonts w:ascii="Arial" w:cs="Arial" w:eastAsia="Arial" w:hAnsi="Arial"/>
          <w:sz w:val="15"/>
          <w:szCs w:val="15"/>
          <w:color w:val="0E191E"/>
        </w:rPr>
        <w:t>Our board of directors, which is elected by our stockholders, is responsible for directing and overseeing our business and affairs. In carrying out its responsibilities, the board of directors selects and monitors our top management, provides oversight of our financial reporting processes, and determines and implements our corporate governance policies.</w:t>
      </w:r>
    </w:p>
    <w:p>
      <w:pPr>
        <w:spacing w:after="0" w:line="146" w:lineRule="exact"/>
        <w:rPr>
          <w:sz w:val="20"/>
          <w:szCs w:val="20"/>
          <w:color w:val="auto"/>
        </w:rPr>
      </w:pPr>
    </w:p>
    <w:p>
      <w:pPr>
        <w:ind w:right="100"/>
        <w:spacing w:after="0" w:line="306" w:lineRule="auto"/>
        <w:rPr>
          <w:sz w:val="20"/>
          <w:szCs w:val="20"/>
          <w:color w:val="auto"/>
        </w:rPr>
      </w:pPr>
      <w:r>
        <w:rPr>
          <w:rFonts w:ascii="Arial" w:cs="Arial" w:eastAsia="Arial" w:hAnsi="Arial"/>
          <w:sz w:val="15"/>
          <w:szCs w:val="15"/>
          <w:color w:val="0E191E"/>
        </w:rPr>
        <w:t>Our board of directors and management are committed to good corporate governance to ensure that we are managed for the long-term benefit of our stockholders, and we have a variety of policies and procedures to promote such goals. To that end, during the past year, our management reviewed our corporate governance policies and practices to ensure that they remain consistent with the requirements of the Sarbanes-Oxley Act of 2002 (the “Sarbanes-Oxley Act”), SEC rules, and the listing standards of the New York Stock Exchange (“NYSE”).</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E191E"/>
        </w:rPr>
        <w:t xml:space="preserve">Besides verifying the independence of the members of our board of directors and committees (which is discussed in the section titled </w:t>
      </w:r>
      <w:r>
        <w:rPr>
          <w:rFonts w:ascii="Arial" w:cs="Arial" w:eastAsia="Arial" w:hAnsi="Arial"/>
          <w:sz w:val="15"/>
          <w:szCs w:val="15"/>
          <w:i w:val="1"/>
          <w:iCs w:val="1"/>
          <w:color w:val="0E191E"/>
        </w:rPr>
        <w:t>“Independence of the Board of</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i w:val="1"/>
          <w:iCs w:val="1"/>
          <w:color w:val="0E191E"/>
        </w:rPr>
        <w:t xml:space="preserve">Directors” </w:t>
      </w:r>
      <w:r>
        <w:rPr>
          <w:rFonts w:ascii="Arial" w:cs="Arial" w:eastAsia="Arial" w:hAnsi="Arial"/>
          <w:sz w:val="15"/>
          <w:szCs w:val="15"/>
          <w:color w:val="0E191E"/>
        </w:rPr>
        <w:t>below), at the direction of our board of directors, we also:</w:t>
      </w:r>
    </w:p>
    <w:p>
      <w:pPr>
        <w:spacing w:after="0" w:line="181" w:lineRule="exact"/>
        <w:rPr>
          <w:sz w:val="20"/>
          <w:szCs w:val="20"/>
          <w:color w:val="auto"/>
        </w:rPr>
      </w:pPr>
    </w:p>
    <w:p>
      <w:pPr>
        <w:ind w:left="500" w:hanging="168"/>
        <w:spacing w:after="0"/>
        <w:tabs>
          <w:tab w:leader="none" w:pos="500" w:val="left"/>
        </w:tabs>
        <w:numPr>
          <w:ilvl w:val="0"/>
          <w:numId w:val="11"/>
        </w:numPr>
        <w:rPr>
          <w:rFonts w:ascii="Arial" w:cs="Arial" w:eastAsia="Arial" w:hAnsi="Arial"/>
          <w:sz w:val="15"/>
          <w:szCs w:val="15"/>
          <w:color w:val="0E191E"/>
        </w:rPr>
      </w:pPr>
      <w:r>
        <w:rPr>
          <w:rFonts w:ascii="Arial" w:cs="Arial" w:eastAsia="Arial" w:hAnsi="Arial"/>
          <w:sz w:val="15"/>
          <w:szCs w:val="15"/>
          <w:color w:val="0E191E"/>
        </w:rPr>
        <w:t>Periodically review and make necessary changes to the charters for our audit, compensation, nominating and corporate governance, and risk committees;</w:t>
      </w:r>
    </w:p>
    <w:p>
      <w:pPr>
        <w:spacing w:after="0" w:line="97" w:lineRule="exact"/>
        <w:rPr>
          <w:rFonts w:ascii="Arial" w:cs="Arial" w:eastAsia="Arial" w:hAnsi="Arial"/>
          <w:sz w:val="15"/>
          <w:szCs w:val="15"/>
          <w:color w:val="0E191E"/>
        </w:rPr>
      </w:pPr>
    </w:p>
    <w:p>
      <w:pPr>
        <w:ind w:left="500" w:right="100" w:hanging="168"/>
        <w:spacing w:after="0" w:line="317" w:lineRule="auto"/>
        <w:tabs>
          <w:tab w:leader="none" w:pos="499" w:val="left"/>
        </w:tabs>
        <w:numPr>
          <w:ilvl w:val="0"/>
          <w:numId w:val="11"/>
        </w:numPr>
        <w:rPr>
          <w:rFonts w:ascii="Arial" w:cs="Arial" w:eastAsia="Arial" w:hAnsi="Arial"/>
          <w:sz w:val="15"/>
          <w:szCs w:val="15"/>
          <w:color w:val="0E191E"/>
        </w:rPr>
      </w:pPr>
      <w:r>
        <w:rPr>
          <w:rFonts w:ascii="Arial" w:cs="Arial" w:eastAsia="Arial" w:hAnsi="Arial"/>
          <w:sz w:val="15"/>
          <w:szCs w:val="15"/>
          <w:color w:val="0E191E"/>
        </w:rPr>
        <w:t>Have established disclosures control policies and procedures in accordance with the requirements of the Sarbanes-Oxley Act and the rules and regulations of the SEC;</w:t>
      </w:r>
    </w:p>
    <w:p>
      <w:pPr>
        <w:spacing w:after="0" w:line="30" w:lineRule="exact"/>
        <w:rPr>
          <w:rFonts w:ascii="Arial" w:cs="Arial" w:eastAsia="Arial" w:hAnsi="Arial"/>
          <w:sz w:val="15"/>
          <w:szCs w:val="15"/>
          <w:color w:val="0E191E"/>
        </w:rPr>
      </w:pPr>
    </w:p>
    <w:p>
      <w:pPr>
        <w:ind w:left="500" w:hanging="168"/>
        <w:spacing w:after="0"/>
        <w:tabs>
          <w:tab w:leader="none" w:pos="500" w:val="left"/>
        </w:tabs>
        <w:numPr>
          <w:ilvl w:val="0"/>
          <w:numId w:val="11"/>
        </w:numPr>
        <w:rPr>
          <w:rFonts w:ascii="Arial" w:cs="Arial" w:eastAsia="Arial" w:hAnsi="Arial"/>
          <w:sz w:val="15"/>
          <w:szCs w:val="15"/>
          <w:color w:val="0E191E"/>
        </w:rPr>
      </w:pPr>
      <w:r>
        <w:rPr>
          <w:rFonts w:ascii="Arial" w:cs="Arial" w:eastAsia="Arial" w:hAnsi="Arial"/>
          <w:sz w:val="15"/>
          <w:szCs w:val="15"/>
          <w:color w:val="0E191E"/>
        </w:rPr>
        <w:t>Have a procedure for receipt and treatment of anonymous and confidential complaints or concerns regarding audit or accounting matters; and</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11"/>
        </w:numPr>
        <w:rPr>
          <w:rFonts w:ascii="Arial" w:cs="Arial" w:eastAsia="Arial" w:hAnsi="Arial"/>
          <w:sz w:val="15"/>
          <w:szCs w:val="15"/>
          <w:color w:val="0E191E"/>
        </w:rPr>
      </w:pPr>
      <w:r>
        <w:rPr>
          <w:rFonts w:ascii="Arial" w:cs="Arial" w:eastAsia="Arial" w:hAnsi="Arial"/>
          <w:sz w:val="15"/>
          <w:szCs w:val="15"/>
          <w:color w:val="0E191E"/>
        </w:rPr>
        <w:t>Have a code of business conduct and ethics that applies to our officers, directors, and employees.</w:t>
      </w:r>
    </w:p>
    <w:p>
      <w:pPr>
        <w:spacing w:after="0" w:line="206" w:lineRule="exact"/>
        <w:rPr>
          <w:sz w:val="20"/>
          <w:szCs w:val="20"/>
          <w:color w:val="auto"/>
        </w:rPr>
      </w:pPr>
    </w:p>
    <w:p>
      <w:pPr>
        <w:ind w:right="220"/>
        <w:spacing w:after="0" w:line="308" w:lineRule="auto"/>
        <w:rPr>
          <w:sz w:val="20"/>
          <w:szCs w:val="20"/>
          <w:color w:val="auto"/>
        </w:rPr>
      </w:pPr>
      <w:r>
        <w:rPr>
          <w:rFonts w:ascii="Arial" w:cs="Arial" w:eastAsia="Arial" w:hAnsi="Arial"/>
          <w:sz w:val="15"/>
          <w:szCs w:val="15"/>
          <w:color w:val="0E191E"/>
        </w:rPr>
        <w:t>In addition, we have adopted a set of corporate governance guidelines. The Nominating and Corporate Governance Committee is responsible for reviewing our corporate governance guidelines from time to time and reporting and making recommendations to the board of directors concerning corporate governance matters. Our corporate governance guidelines address such matters as:</w:t>
      </w:r>
    </w:p>
    <w:p>
      <w:pPr>
        <w:spacing w:after="0" w:line="92" w:lineRule="exact"/>
        <w:rPr>
          <w:sz w:val="20"/>
          <w:szCs w:val="20"/>
          <w:color w:val="auto"/>
        </w:rPr>
      </w:pPr>
    </w:p>
    <w:p>
      <w:pPr>
        <w:ind w:left="500" w:hanging="168"/>
        <w:spacing w:after="0"/>
        <w:tabs>
          <w:tab w:leader="none" w:pos="500" w:val="left"/>
        </w:tabs>
        <w:numPr>
          <w:ilvl w:val="0"/>
          <w:numId w:val="12"/>
        </w:numPr>
        <w:rPr>
          <w:rFonts w:ascii="Arial" w:cs="Arial" w:eastAsia="Arial" w:hAnsi="Arial"/>
          <w:sz w:val="15"/>
          <w:szCs w:val="15"/>
          <w:color w:val="0E191E"/>
        </w:rPr>
      </w:pPr>
      <w:r>
        <w:rPr>
          <w:rFonts w:ascii="Arial" w:cs="Arial" w:eastAsia="Arial" w:hAnsi="Arial"/>
          <w:sz w:val="15"/>
          <w:szCs w:val="15"/>
          <w:color w:val="0E191E"/>
        </w:rPr>
        <w:t>Director Independence – Independent directors must constitute at least a majority of our board of directors;</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12"/>
        </w:numPr>
        <w:rPr>
          <w:rFonts w:ascii="Arial" w:cs="Arial" w:eastAsia="Arial" w:hAnsi="Arial"/>
          <w:sz w:val="15"/>
          <w:szCs w:val="15"/>
          <w:color w:val="0E191E"/>
        </w:rPr>
      </w:pPr>
      <w:r>
        <w:rPr>
          <w:rFonts w:ascii="Arial" w:cs="Arial" w:eastAsia="Arial" w:hAnsi="Arial"/>
          <w:sz w:val="15"/>
          <w:szCs w:val="15"/>
          <w:color w:val="0E191E"/>
        </w:rPr>
        <w:t>Monitoring Board Effectiveness – Our board of directors must conduct an annual self-evaluation of the board of directors and its committees;</w:t>
      </w:r>
    </w:p>
    <w:p>
      <w:pPr>
        <w:spacing w:after="0" w:line="97" w:lineRule="exact"/>
        <w:rPr>
          <w:rFonts w:ascii="Arial" w:cs="Arial" w:eastAsia="Arial" w:hAnsi="Arial"/>
          <w:sz w:val="15"/>
          <w:szCs w:val="15"/>
          <w:color w:val="0E191E"/>
        </w:rPr>
      </w:pPr>
    </w:p>
    <w:p>
      <w:pPr>
        <w:ind w:left="500" w:right="480" w:hanging="168"/>
        <w:spacing w:after="0" w:line="317" w:lineRule="auto"/>
        <w:tabs>
          <w:tab w:leader="none" w:pos="499" w:val="left"/>
        </w:tabs>
        <w:numPr>
          <w:ilvl w:val="0"/>
          <w:numId w:val="12"/>
        </w:numPr>
        <w:rPr>
          <w:rFonts w:ascii="Arial" w:cs="Arial" w:eastAsia="Arial" w:hAnsi="Arial"/>
          <w:sz w:val="15"/>
          <w:szCs w:val="15"/>
          <w:color w:val="0E191E"/>
        </w:rPr>
      </w:pPr>
      <w:r>
        <w:rPr>
          <w:rFonts w:ascii="Arial" w:cs="Arial" w:eastAsia="Arial" w:hAnsi="Arial"/>
          <w:sz w:val="15"/>
          <w:szCs w:val="15"/>
          <w:color w:val="0E191E"/>
        </w:rPr>
        <w:t xml:space="preserve">Chairman of the Board – The roles and responsibilities of the Chairman of the Board are generally described in our corporate governance guidelines, as described under the section titled, </w:t>
      </w:r>
      <w:r>
        <w:rPr>
          <w:rFonts w:ascii="Arial" w:cs="Arial" w:eastAsia="Arial" w:hAnsi="Arial"/>
          <w:sz w:val="15"/>
          <w:szCs w:val="15"/>
          <w:i w:val="1"/>
          <w:iCs w:val="1"/>
          <w:color w:val="0E191E"/>
        </w:rPr>
        <w:t>“Chairman of the Board” below;</w:t>
      </w:r>
    </w:p>
    <w:p>
      <w:pPr>
        <w:spacing w:after="0" w:line="30" w:lineRule="exact"/>
        <w:rPr>
          <w:rFonts w:ascii="Arial" w:cs="Arial" w:eastAsia="Arial" w:hAnsi="Arial"/>
          <w:sz w:val="15"/>
          <w:szCs w:val="15"/>
          <w:color w:val="0E191E"/>
        </w:rPr>
      </w:pPr>
    </w:p>
    <w:p>
      <w:pPr>
        <w:ind w:left="500" w:right="140" w:hanging="168"/>
        <w:spacing w:after="0" w:line="317" w:lineRule="auto"/>
        <w:tabs>
          <w:tab w:leader="none" w:pos="499" w:val="left"/>
        </w:tabs>
        <w:numPr>
          <w:ilvl w:val="0"/>
          <w:numId w:val="12"/>
        </w:numPr>
        <w:rPr>
          <w:rFonts w:ascii="Arial" w:cs="Arial" w:eastAsia="Arial" w:hAnsi="Arial"/>
          <w:sz w:val="15"/>
          <w:szCs w:val="15"/>
          <w:color w:val="0E191E"/>
        </w:rPr>
      </w:pPr>
      <w:r>
        <w:rPr>
          <w:rFonts w:ascii="Arial" w:cs="Arial" w:eastAsia="Arial" w:hAnsi="Arial"/>
          <w:sz w:val="15"/>
          <w:szCs w:val="15"/>
          <w:color w:val="0E191E"/>
        </w:rPr>
        <w:t xml:space="preserve">Lead Independent Director – The roles and responsibilities of the Lead Independent Director are generally described in our corporate governance guidelines, as described under the section titled, </w:t>
      </w:r>
      <w:r>
        <w:rPr>
          <w:rFonts w:ascii="Arial" w:cs="Arial" w:eastAsia="Arial" w:hAnsi="Arial"/>
          <w:sz w:val="15"/>
          <w:szCs w:val="15"/>
          <w:i w:val="1"/>
          <w:iCs w:val="1"/>
          <w:color w:val="0E191E"/>
        </w:rPr>
        <w:t>“Lead Independent Director” below;</w:t>
      </w:r>
    </w:p>
    <w:p>
      <w:pPr>
        <w:spacing w:after="0" w:line="30" w:lineRule="exact"/>
        <w:rPr>
          <w:rFonts w:ascii="Arial" w:cs="Arial" w:eastAsia="Arial" w:hAnsi="Arial"/>
          <w:sz w:val="15"/>
          <w:szCs w:val="15"/>
          <w:color w:val="0E191E"/>
        </w:rPr>
      </w:pPr>
    </w:p>
    <w:p>
      <w:pPr>
        <w:ind w:left="500" w:right="160" w:hanging="168"/>
        <w:spacing w:after="0" w:line="317" w:lineRule="auto"/>
        <w:tabs>
          <w:tab w:leader="none" w:pos="499" w:val="left"/>
        </w:tabs>
        <w:numPr>
          <w:ilvl w:val="0"/>
          <w:numId w:val="12"/>
        </w:numPr>
        <w:rPr>
          <w:rFonts w:ascii="Arial" w:cs="Arial" w:eastAsia="Arial" w:hAnsi="Arial"/>
          <w:sz w:val="15"/>
          <w:szCs w:val="15"/>
          <w:color w:val="0E191E"/>
        </w:rPr>
      </w:pPr>
      <w:r>
        <w:rPr>
          <w:rFonts w:ascii="Arial" w:cs="Arial" w:eastAsia="Arial" w:hAnsi="Arial"/>
          <w:sz w:val="15"/>
          <w:szCs w:val="15"/>
          <w:color w:val="0E191E"/>
        </w:rPr>
        <w:t>Executive Sessions of Directors – The Chairman of the Board regularly leads meetings among non-employee directors without management present and the Lead Independent Director regularly leads meetings among the independent directors;</w:t>
      </w:r>
    </w:p>
    <w:p>
      <w:pPr>
        <w:spacing w:after="0" w:line="30" w:lineRule="exact"/>
        <w:rPr>
          <w:rFonts w:ascii="Arial" w:cs="Arial" w:eastAsia="Arial" w:hAnsi="Arial"/>
          <w:sz w:val="15"/>
          <w:szCs w:val="15"/>
          <w:color w:val="0E191E"/>
        </w:rPr>
      </w:pPr>
    </w:p>
    <w:p>
      <w:pPr>
        <w:ind w:left="500" w:right="520" w:hanging="168"/>
        <w:spacing w:after="0" w:line="317" w:lineRule="auto"/>
        <w:tabs>
          <w:tab w:leader="none" w:pos="499" w:val="left"/>
        </w:tabs>
        <w:numPr>
          <w:ilvl w:val="0"/>
          <w:numId w:val="12"/>
        </w:numPr>
        <w:rPr>
          <w:rFonts w:ascii="Arial" w:cs="Arial" w:eastAsia="Arial" w:hAnsi="Arial"/>
          <w:sz w:val="15"/>
          <w:szCs w:val="15"/>
          <w:color w:val="0E191E"/>
        </w:rPr>
      </w:pPr>
      <w:r>
        <w:rPr>
          <w:rFonts w:ascii="Arial" w:cs="Arial" w:eastAsia="Arial" w:hAnsi="Arial"/>
          <w:sz w:val="15"/>
          <w:szCs w:val="15"/>
          <w:color w:val="0E191E"/>
        </w:rPr>
        <w:t>Board Access to Independent Advisors – Our board of directors as a whole, and each of its committees separately, have authority to retain independent consultants, counselors, or advisors as each deems necessary or appropriate; and</w:t>
      </w:r>
    </w:p>
    <w:p>
      <w:pPr>
        <w:spacing w:after="0" w:line="30" w:lineRule="exact"/>
        <w:rPr>
          <w:rFonts w:ascii="Arial" w:cs="Arial" w:eastAsia="Arial" w:hAnsi="Arial"/>
          <w:sz w:val="15"/>
          <w:szCs w:val="15"/>
          <w:color w:val="0E191E"/>
        </w:rPr>
      </w:pPr>
    </w:p>
    <w:p>
      <w:pPr>
        <w:ind w:left="500" w:right="380" w:hanging="168"/>
        <w:spacing w:after="0" w:line="317" w:lineRule="auto"/>
        <w:tabs>
          <w:tab w:leader="none" w:pos="499" w:val="left"/>
        </w:tabs>
        <w:numPr>
          <w:ilvl w:val="0"/>
          <w:numId w:val="12"/>
        </w:numPr>
        <w:rPr>
          <w:rFonts w:ascii="Arial" w:cs="Arial" w:eastAsia="Arial" w:hAnsi="Arial"/>
          <w:sz w:val="15"/>
          <w:szCs w:val="15"/>
          <w:color w:val="0E191E"/>
        </w:rPr>
      </w:pPr>
      <w:r>
        <w:rPr>
          <w:rFonts w:ascii="Arial" w:cs="Arial" w:eastAsia="Arial" w:hAnsi="Arial"/>
          <w:sz w:val="15"/>
          <w:szCs w:val="15"/>
          <w:color w:val="0E191E"/>
        </w:rPr>
        <w:t>Board Committees – All members of the audit, compensation, and nominating and corporate governance committees are independent in accordance with applicable NYSE criteria.</w:t>
      </w:r>
    </w:p>
    <w:p>
      <w:pPr>
        <w:spacing w:after="0" w:line="122" w:lineRule="exact"/>
        <w:rPr>
          <w:sz w:val="20"/>
          <w:szCs w:val="20"/>
          <w:color w:val="auto"/>
        </w:rPr>
      </w:pPr>
    </w:p>
    <w:p>
      <w:pPr>
        <w:ind w:right="300"/>
        <w:spacing w:after="0" w:line="339" w:lineRule="auto"/>
        <w:rPr>
          <w:sz w:val="20"/>
          <w:szCs w:val="20"/>
          <w:color w:val="auto"/>
        </w:rPr>
      </w:pPr>
      <w:r>
        <w:rPr>
          <w:rFonts w:ascii="Arial" w:cs="Arial" w:eastAsia="Arial" w:hAnsi="Arial"/>
          <w:sz w:val="15"/>
          <w:szCs w:val="15"/>
          <w:color w:val="0E191E"/>
        </w:rPr>
        <w:t xml:space="preserve">Copies of our corporate governance guidelines, code of business conduct and ethics, and committee charters can be found on our website at </w:t>
      </w:r>
      <w:r>
        <w:rPr>
          <w:rFonts w:ascii="Arial" w:cs="Arial" w:eastAsia="Arial" w:hAnsi="Arial"/>
          <w:sz w:val="15"/>
          <w:szCs w:val="15"/>
          <w:i w:val="1"/>
          <w:iCs w:val="1"/>
          <w:color w:val="0E191E"/>
        </w:rPr>
        <w:t>www.guidewire.com</w:t>
      </w:r>
      <w:r>
        <w:rPr>
          <w:rFonts w:ascii="Arial" w:cs="Arial" w:eastAsia="Arial" w:hAnsi="Arial"/>
          <w:sz w:val="15"/>
          <w:szCs w:val="15"/>
          <w:color w:val="0E191E"/>
        </w:rPr>
        <w:t xml:space="preserve"> under “About/Investor Relations/Corporate Governance.”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Meetings of the Board of Directors</w:t>
      </w:r>
    </w:p>
    <w:p>
      <w:pPr>
        <w:spacing w:after="0" w:line="136" w:lineRule="exact"/>
        <w:rPr>
          <w:sz w:val="20"/>
          <w:szCs w:val="20"/>
          <w:color w:val="auto"/>
        </w:rPr>
      </w:pPr>
    </w:p>
    <w:p>
      <w:pPr>
        <w:ind w:right="140"/>
        <w:spacing w:after="0" w:line="308" w:lineRule="auto"/>
        <w:rPr>
          <w:sz w:val="20"/>
          <w:szCs w:val="20"/>
          <w:color w:val="auto"/>
        </w:rPr>
      </w:pPr>
      <w:r>
        <w:rPr>
          <w:rFonts w:ascii="Arial" w:cs="Arial" w:eastAsia="Arial" w:hAnsi="Arial"/>
          <w:sz w:val="15"/>
          <w:szCs w:val="15"/>
          <w:color w:val="0E191E"/>
        </w:rPr>
        <w:t>Our board of directors held eight meetings in fiscal year 2021. During fiscal year 2021, each director attended at least 75% of all meetings held of the board of directors and the committees on which he or she served at the time. Under our corporate governance guidelines, directors are expected to be active and engaged in discharging their duties and to keep themselves informed about our business and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Listening to Our Stockholders</w:t>
      </w:r>
    </w:p>
    <w:p>
      <w:pPr>
        <w:spacing w:after="0" w:line="136" w:lineRule="exact"/>
        <w:rPr>
          <w:sz w:val="20"/>
          <w:szCs w:val="20"/>
          <w:color w:val="auto"/>
        </w:rPr>
      </w:pPr>
    </w:p>
    <w:p>
      <w:pPr>
        <w:ind w:right="140"/>
        <w:spacing w:after="0" w:line="317" w:lineRule="auto"/>
        <w:rPr>
          <w:sz w:val="20"/>
          <w:szCs w:val="20"/>
          <w:color w:val="auto"/>
        </w:rPr>
      </w:pPr>
      <w:r>
        <w:rPr>
          <w:rFonts w:ascii="Arial" w:cs="Arial" w:eastAsia="Arial" w:hAnsi="Arial"/>
          <w:sz w:val="15"/>
          <w:szCs w:val="15"/>
          <w:color w:val="0E191E"/>
        </w:rPr>
        <w:t>Our board of directors welcomes feedback from stockholders on our governance practices and policies, board composition, executive compensation framework, and other matters related to our strategy and performance. During 2021, we continued our</w:t>
      </w:r>
    </w:p>
    <w:p>
      <w:pPr>
        <w:spacing w:after="0" w:line="350"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21</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1" w:right="339" w:bottom="1440" w:gutter="0" w:footer="0" w:header="0"/>
        </w:sectPr>
      </w:pPr>
    </w:p>
    <w:bookmarkStart w:id="25" w:name="page26"/>
    <w:bookmarkEnd w:id="25"/>
    <w:p>
      <w:pPr>
        <w:ind w:right="60"/>
        <w:spacing w:after="0" w:line="322" w:lineRule="auto"/>
        <w:rPr>
          <w:sz w:val="20"/>
          <w:szCs w:val="20"/>
          <w:color w:val="auto"/>
        </w:rPr>
      </w:pPr>
      <w:r>
        <w:rPr>
          <w:rFonts w:ascii="Arial" w:cs="Arial" w:eastAsia="Arial" w:hAnsi="Arial"/>
          <w:sz w:val="15"/>
          <w:szCs w:val="15"/>
          <w:color w:val="0E191E"/>
        </w:rPr>
        <w:t xml:space="preserve">ongoing outreach efforts and received valuable feedback from stockholders, as further discussed in the </w:t>
      </w:r>
      <w:r>
        <w:rPr>
          <w:rFonts w:ascii="Arial" w:cs="Arial" w:eastAsia="Arial" w:hAnsi="Arial"/>
          <w:sz w:val="15"/>
          <w:szCs w:val="15"/>
          <w:i w:val="1"/>
          <w:iCs w:val="1"/>
          <w:color w:val="0E191E"/>
        </w:rPr>
        <w:t>Compensation Discussion and Analysis</w:t>
      </w:r>
      <w:r>
        <w:rPr>
          <w:rFonts w:ascii="Arial" w:cs="Arial" w:eastAsia="Arial" w:hAnsi="Arial"/>
          <w:sz w:val="15"/>
          <w:szCs w:val="15"/>
          <w:color w:val="0E191E"/>
        </w:rPr>
        <w:t xml:space="preserve"> section provided herein. As a result of these discussions, the board of directors has committed to amending our bylaws and proposing an amendment to our certificate of incorporation at our 2022 annual meeting of stockholders that would permit stockholders holding 20% or more of our outstanding common stock to call a special meeting of stockholders.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Stockholder Communications with the Board of Directors</w:t>
      </w:r>
    </w:p>
    <w:p>
      <w:pPr>
        <w:spacing w:after="0" w:line="136"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0E191E"/>
        </w:rPr>
        <w:t>Stockholders and other parties interested in communicating directly with the board of directors may do so by writing to: Board of Directors, c/o Guidewire Software, Inc., 2850 South Delaware St., Suite 400, San Mateo, California 94403. Concerns relating to accounting, internal controls or auditing matters are immediately brought to the attention of our Audit Committee and handled in accordance with applicable procedures established by the Audit Committee.</w:t>
      </w:r>
    </w:p>
    <w:p>
      <w:pPr>
        <w:spacing w:after="0" w:line="146" w:lineRule="exact"/>
        <w:rPr>
          <w:sz w:val="20"/>
          <w:szCs w:val="20"/>
          <w:color w:val="auto"/>
        </w:rPr>
      </w:pPr>
    </w:p>
    <w:p>
      <w:pPr>
        <w:ind w:right="200"/>
        <w:spacing w:after="0" w:line="308" w:lineRule="auto"/>
        <w:rPr>
          <w:sz w:val="20"/>
          <w:szCs w:val="20"/>
          <w:color w:val="auto"/>
        </w:rPr>
      </w:pPr>
      <w:r>
        <w:rPr>
          <w:rFonts w:ascii="Arial" w:cs="Arial" w:eastAsia="Arial" w:hAnsi="Arial"/>
          <w:sz w:val="15"/>
          <w:szCs w:val="15"/>
          <w:color w:val="0E191E"/>
        </w:rPr>
        <w:t>For a stockholder communication directed to an individual director in his or her capacity as a member of our board of directors, to our Chairman of the Board, or our Lead Independent Director, stockholders and other parties interested in communicating directly with such director may do so by writing to: Board of Directors, c/o Guidewire Software, Inc., 2850 South Delaware St., Suite 400, San Mateo, California 94403, Attention: [Name of Individual Director].</w:t>
      </w:r>
    </w:p>
    <w:p>
      <w:pPr>
        <w:spacing w:after="0" w:line="146" w:lineRule="exact"/>
        <w:rPr>
          <w:sz w:val="20"/>
          <w:szCs w:val="20"/>
          <w:color w:val="auto"/>
        </w:rPr>
      </w:pPr>
    </w:p>
    <w:p>
      <w:pPr>
        <w:ind w:right="480"/>
        <w:spacing w:after="0" w:line="317" w:lineRule="auto"/>
        <w:rPr>
          <w:sz w:val="20"/>
          <w:szCs w:val="20"/>
          <w:color w:val="auto"/>
        </w:rPr>
      </w:pPr>
      <w:r>
        <w:rPr>
          <w:rFonts w:ascii="Arial" w:cs="Arial" w:eastAsia="Arial" w:hAnsi="Arial"/>
          <w:sz w:val="15"/>
          <w:szCs w:val="15"/>
          <w:color w:val="0E191E"/>
        </w:rPr>
        <w:t>Our General Counsel, in consultation with members of our board of directors as necessary, will review all incoming communications and, if appropriate, all such communications will be forwarded to the relevant member or members of our board of directors, or if none is specified, to our Chairman of the Board.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Code of Business Conduct and Ethics</w:t>
      </w:r>
    </w:p>
    <w:p>
      <w:pPr>
        <w:spacing w:after="0" w:line="136" w:lineRule="exact"/>
        <w:rPr>
          <w:sz w:val="20"/>
          <w:szCs w:val="20"/>
          <w:color w:val="auto"/>
        </w:rPr>
      </w:pPr>
    </w:p>
    <w:p>
      <w:pPr>
        <w:ind w:right="80"/>
        <w:spacing w:after="0" w:line="317" w:lineRule="auto"/>
        <w:rPr>
          <w:sz w:val="20"/>
          <w:szCs w:val="20"/>
          <w:color w:val="auto"/>
        </w:rPr>
      </w:pPr>
      <w:r>
        <w:rPr>
          <w:rFonts w:ascii="Arial" w:cs="Arial" w:eastAsia="Arial" w:hAnsi="Arial"/>
          <w:sz w:val="15"/>
          <w:szCs w:val="15"/>
          <w:color w:val="0E191E"/>
        </w:rPr>
        <w:t>We have adopted a code of business conduct and ethics that applies to all of our directors, officers, and employees, including our CEO, principal financial officer, and principal accounting officer. During fiscal year 2021, no waivers were granted from any provision of the code of business conduct and ethics.</w:t>
      </w:r>
    </w:p>
    <w:p>
      <w:pPr>
        <w:spacing w:after="0" w:line="122" w:lineRule="exact"/>
        <w:rPr>
          <w:sz w:val="20"/>
          <w:szCs w:val="20"/>
          <w:color w:val="auto"/>
        </w:rPr>
      </w:pPr>
    </w:p>
    <w:p>
      <w:pPr>
        <w:ind w:right="240"/>
        <w:spacing w:after="0" w:line="313" w:lineRule="auto"/>
        <w:rPr>
          <w:sz w:val="20"/>
          <w:szCs w:val="20"/>
          <w:color w:val="auto"/>
        </w:rPr>
      </w:pPr>
      <w:r>
        <w:rPr>
          <w:rFonts w:ascii="Arial" w:cs="Arial" w:eastAsia="Arial" w:hAnsi="Arial"/>
          <w:sz w:val="15"/>
          <w:szCs w:val="15"/>
          <w:color w:val="0E191E"/>
        </w:rPr>
        <w:t xml:space="preserve">A copy of our code of business conduct and ethics is available on our website at </w:t>
      </w:r>
      <w:r>
        <w:rPr>
          <w:rFonts w:ascii="Arial" w:cs="Arial" w:eastAsia="Arial" w:hAnsi="Arial"/>
          <w:sz w:val="15"/>
          <w:szCs w:val="15"/>
          <w:i w:val="1"/>
          <w:iCs w:val="1"/>
          <w:color w:val="0E191E"/>
        </w:rPr>
        <w:t>www.guidewire.com</w:t>
      </w:r>
      <w:r>
        <w:rPr>
          <w:rFonts w:ascii="Arial" w:cs="Arial" w:eastAsia="Arial" w:hAnsi="Arial"/>
          <w:sz w:val="15"/>
          <w:szCs w:val="15"/>
          <w:color w:val="0E191E"/>
        </w:rPr>
        <w:t xml:space="preserve"> under “About/Investor Relations/Corporate Governance” and may also be obtained without charge by contacting our Secretary at Guidewire Software, Inc., 2850 S. Delaware St., Suite 400, San Mateo, California 94403. We intend to post any amendments to or waivers of our code of business conduct and ethics (to the extent applicable to our CEO, principal financial officer, or principal accounting officer) on our website.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Independence of the Board of Directors</w:t>
      </w:r>
    </w:p>
    <w:p>
      <w:pPr>
        <w:spacing w:after="0" w:line="136" w:lineRule="exact"/>
        <w:rPr>
          <w:sz w:val="20"/>
          <w:szCs w:val="20"/>
          <w:color w:val="auto"/>
        </w:rPr>
      </w:pPr>
    </w:p>
    <w:p>
      <w:pPr>
        <w:spacing w:after="0" w:line="302" w:lineRule="auto"/>
        <w:rPr>
          <w:sz w:val="20"/>
          <w:szCs w:val="20"/>
          <w:color w:val="auto"/>
        </w:rPr>
      </w:pPr>
      <w:r>
        <w:rPr>
          <w:rFonts w:ascii="Arial" w:cs="Arial" w:eastAsia="Arial" w:hAnsi="Arial"/>
          <w:sz w:val="15"/>
          <w:szCs w:val="15"/>
          <w:color w:val="0E191E"/>
        </w:rPr>
        <w:t>Consistent with our corporate governance guidelines and NYSE rules, our board of directors has determined that, as of the date of this proxy statement, six out of the eight members of our board of directors are “independent,” the two non-independent members being Mike Rosenbaum, our CEO, and Marcus S. Ryu, our former President and CEO. Our board of directors considered Michael Keller’s consultant role as chairman of our Strategic Customer Advisory Council when determining that Mr. Keller is independent under our corporate governance guidelines and NYSE rules. Mr. Keller served in this consulting role from April 2019 to September 3, 2019, when he was appointed to our board of directors. His compensation was less than $120,000 in fiscal year 2019, and he did not receive payment for his consulting role after September 3, 2019. Based on these and other factors that could affect Mr. Keller's independence and decision making, our board of directors determined that Mr. Keller is independent under our corporate governance guidelines and NYSE rules. In addition, all members of the Audit, Compensation, and Nominating and Corporate Governance committees satisfy such independence criteria.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Structure of the Board of Directors</w:t>
      </w:r>
    </w:p>
    <w:p>
      <w:pPr>
        <w:spacing w:after="0" w:line="136"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color w:val="0E191E"/>
        </w:rPr>
        <w:t>The positions of CEO and Chairman of the Board are separated. Our board of directors believes that separating these roles provides the right foundation to pursue strategic and operational objectives while maintaining effective oversight and objective evaluation of corporate performance. Our Chairman of the Board is Marcus Ryu, who is not independent, based on his service as a Company executive within the prior three years. Our board of directors has appointed Paul Lavin as our Lead Independent Director. We believe having a Lead Independent Director is an important governance practice given that the Chairman of the Board, Mr. Ryu, is not an independent director. This structure optimizes the roles of CEO, Chairman of the Board, and Lead Independent Director and provides us with sound corporate governance in the management of our business.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0E191E"/>
        </w:rPr>
        <w:t>We also have a Lead Customer Advocate, Michael Keller, who knows the insurance industry well, to interact with and advocate on the behalf of our customers.</w:t>
      </w:r>
    </w:p>
    <w:p>
      <w:pPr>
        <w:spacing w:after="0" w:line="200" w:lineRule="exact"/>
        <w:rPr>
          <w:sz w:val="20"/>
          <w:szCs w:val="20"/>
          <w:color w:val="auto"/>
        </w:rPr>
      </w:pPr>
    </w:p>
    <w:p>
      <w:pPr>
        <w:spacing w:after="0" w:line="217"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22</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1EB7DF"/>
        </w:rPr>
        <w:t>Chairman of the Board</w:t>
      </w:r>
    </w:p>
    <w:p>
      <w:pPr>
        <w:spacing w:after="0" w:line="47"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0E191E"/>
        </w:rPr>
        <w:t>The duties of the Chairman of the Board include: (i) collaborating with the CEO on the Company's strategy, product roadmap, management organization, acquisitions, and legal matters, (ii) reviewing meeting agendas of the board of directors in consultation with the CEO, (iii) presiding over meetings of the board of directors,</w:t>
      </w:r>
    </w:p>
    <w:p>
      <w:pPr>
        <w:spacing w:after="0" w:line="1" w:lineRule="exact"/>
        <w:rPr>
          <w:sz w:val="20"/>
          <w:szCs w:val="20"/>
          <w:color w:val="auto"/>
        </w:rPr>
      </w:pPr>
    </w:p>
    <w:p>
      <w:pPr>
        <w:ind w:right="40" w:firstLine="8"/>
        <w:spacing w:after="0" w:line="317" w:lineRule="auto"/>
        <w:tabs>
          <w:tab w:leader="none" w:pos="255" w:val="left"/>
        </w:tabs>
        <w:numPr>
          <w:ilvl w:val="0"/>
          <w:numId w:val="13"/>
        </w:numPr>
        <w:rPr>
          <w:rFonts w:ascii="Arial" w:cs="Arial" w:eastAsia="Arial" w:hAnsi="Arial"/>
          <w:sz w:val="15"/>
          <w:szCs w:val="15"/>
          <w:color w:val="0E191E"/>
        </w:rPr>
      </w:pPr>
      <w:r>
        <w:rPr>
          <w:rFonts w:ascii="Arial" w:cs="Arial" w:eastAsia="Arial" w:hAnsi="Arial"/>
          <w:sz w:val="15"/>
          <w:szCs w:val="15"/>
          <w:color w:val="0E191E"/>
        </w:rPr>
        <w:t>approving meeting schedules to ensure that there is sufficient time for discussion of all items, (v) serving as a liaison between our CEO and our board of directors, and (vi) leading the board of directors' annual evaluation process of the CEO.</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1EB7DF"/>
        </w:rPr>
        <w:t>Lead Independent Director</w:t>
      </w:r>
    </w:p>
    <w:p>
      <w:pPr>
        <w:spacing w:after="0" w:line="47" w:lineRule="exact"/>
        <w:rPr>
          <w:sz w:val="20"/>
          <w:szCs w:val="20"/>
          <w:color w:val="auto"/>
        </w:rPr>
      </w:pPr>
    </w:p>
    <w:p>
      <w:pPr>
        <w:ind w:right="100"/>
        <w:spacing w:after="0" w:line="303" w:lineRule="auto"/>
        <w:rPr>
          <w:sz w:val="20"/>
          <w:szCs w:val="20"/>
          <w:color w:val="auto"/>
        </w:rPr>
      </w:pPr>
      <w:r>
        <w:rPr>
          <w:rFonts w:ascii="Arial" w:cs="Arial" w:eastAsia="Arial" w:hAnsi="Arial"/>
          <w:sz w:val="15"/>
          <w:szCs w:val="15"/>
          <w:color w:val="0E191E"/>
        </w:rPr>
        <w:t>The duties of the Lead Independent Director include (i) chairing executive sessions of independent directors, (ii) presiding over meetings of the board of directors in the Chairman of the Board’s absence, (iii) serving as liaison between the Chairman of the Board and the independent directors, (iv) approving meeting agendas for our board of directors (created by the CEO and Chairman of the Board), and ensuring there is sufficient time for discussion of all agenda items, (v) providing input on the amount and type of information shared with our board of directors (the Chairman of the Board and CEO are responsible for determining and gathering such information), (vi) having authority to call meetings of the independent directors, and (vii) if requested by major stockholders, ensuring that he or she is available for consultation and direct communication.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1EB7DF"/>
        </w:rPr>
        <w:t>Lead Customer Advocate</w:t>
      </w:r>
    </w:p>
    <w:p>
      <w:pPr>
        <w:spacing w:after="0" w:line="47" w:lineRule="exact"/>
        <w:rPr>
          <w:sz w:val="20"/>
          <w:szCs w:val="20"/>
          <w:color w:val="auto"/>
        </w:rPr>
      </w:pPr>
    </w:p>
    <w:p>
      <w:pPr>
        <w:ind w:right="240"/>
        <w:spacing w:after="0" w:line="306" w:lineRule="auto"/>
        <w:rPr>
          <w:sz w:val="20"/>
          <w:szCs w:val="20"/>
          <w:color w:val="auto"/>
        </w:rPr>
      </w:pPr>
      <w:r>
        <w:rPr>
          <w:rFonts w:ascii="Arial" w:cs="Arial" w:eastAsia="Arial" w:hAnsi="Arial"/>
          <w:sz w:val="15"/>
          <w:szCs w:val="15"/>
          <w:color w:val="0E191E"/>
        </w:rPr>
        <w:t>The duties of the Lead Customer Advocate include (i) serving as a representative and liaison for any requested interactions between our board of directors and our customers, (ii) overseeing and advising management on the development of customer engagement strategies, (iii) participating as a representative of our board of directors at customer-focused events, including the annual user conference, leadership symposiums, and customer advisory council meetings, and (iv) being available for consultation, direction, and interaction on sales engagements with large strategic customers, to the extent requested by management.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Executive Sessions</w:t>
      </w:r>
    </w:p>
    <w:p>
      <w:pPr>
        <w:spacing w:after="0" w:line="136" w:lineRule="exact"/>
        <w:rPr>
          <w:sz w:val="20"/>
          <w:szCs w:val="20"/>
          <w:color w:val="auto"/>
        </w:rPr>
      </w:pPr>
    </w:p>
    <w:p>
      <w:pPr>
        <w:ind w:right="240"/>
        <w:spacing w:after="0" w:line="308" w:lineRule="auto"/>
        <w:rPr>
          <w:sz w:val="20"/>
          <w:szCs w:val="20"/>
          <w:color w:val="auto"/>
        </w:rPr>
      </w:pPr>
      <w:r>
        <w:rPr>
          <w:rFonts w:ascii="Arial" w:cs="Arial" w:eastAsia="Arial" w:hAnsi="Arial"/>
          <w:sz w:val="15"/>
          <w:szCs w:val="15"/>
          <w:color w:val="0E191E"/>
        </w:rPr>
        <w:t>The board of directors regularly holds executive sessions without the presence of executive management. The sessions are scheduled and led by our Chairman of the Board. We also regularly hold sessions of our independent directors led by our Lead Independent Director. Any director can request additional executive session(s) be scheduled.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Director Attendance at Annual Stockholder Meetings</w:t>
      </w:r>
    </w:p>
    <w:p>
      <w:pPr>
        <w:spacing w:after="0" w:line="136" w:lineRule="exact"/>
        <w:rPr>
          <w:sz w:val="20"/>
          <w:szCs w:val="20"/>
          <w:color w:val="auto"/>
        </w:rPr>
      </w:pPr>
    </w:p>
    <w:p>
      <w:pPr>
        <w:ind w:right="260"/>
        <w:spacing w:after="0" w:line="317" w:lineRule="auto"/>
        <w:rPr>
          <w:sz w:val="20"/>
          <w:szCs w:val="20"/>
          <w:color w:val="auto"/>
        </w:rPr>
      </w:pPr>
      <w:r>
        <w:rPr>
          <w:rFonts w:ascii="Arial" w:cs="Arial" w:eastAsia="Arial" w:hAnsi="Arial"/>
          <w:sz w:val="15"/>
          <w:szCs w:val="15"/>
          <w:color w:val="0E191E"/>
        </w:rPr>
        <w:t>Directors are encouraged, but not required, to attend our annual meeting of stockholders. Six of the seven directors serving as of December 17, 2020 attended the 2020 annual meeting of stockholders.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Board's Role in Risk Oversight</w:t>
      </w:r>
    </w:p>
    <w:p>
      <w:pPr>
        <w:spacing w:after="0" w:line="136" w:lineRule="exact"/>
        <w:rPr>
          <w:sz w:val="20"/>
          <w:szCs w:val="20"/>
          <w:color w:val="auto"/>
        </w:rPr>
      </w:pPr>
    </w:p>
    <w:p>
      <w:pPr>
        <w:spacing w:after="0" w:line="302" w:lineRule="auto"/>
        <w:rPr>
          <w:sz w:val="20"/>
          <w:szCs w:val="20"/>
          <w:color w:val="auto"/>
        </w:rPr>
      </w:pPr>
      <w:r>
        <w:rPr>
          <w:rFonts w:ascii="Arial" w:cs="Arial" w:eastAsia="Arial" w:hAnsi="Arial"/>
          <w:sz w:val="15"/>
          <w:szCs w:val="15"/>
          <w:color w:val="0E191E"/>
        </w:rPr>
        <w:t>Our board of directors has overall responsibility for our risk oversight with a focus on the most significant risks. The board of director's risk oversight process builds upon management's risk assessment and mitigation processes. Our enterprise risk management program is overseen by our Audit Committee, general counsel, chief financial officer, chief operating officer, and vice president of enterprise risk management and internal audit. Individual risks are identified and prioritized based on their overall impact to the organization in the context of significance and likelihood. The most significant risks are then identified to the board of directors and each significant risk is individually evaluated, including a review of mitigating activities related to such risk and a discussion is undertaken between the board of directors and management. The management team communicates regularly with the board of directors, through the Audit Committee, regarding management's ongoing enterprise risk management assessments. Our board of directors also receives committee reports from each of the standing committees of the board of directors periodically to assist it in overseeing the Company's enterprise risk management. In addition, the Risk Committee assists our board of directors in its oversight of key risks, including risks related to operations, business continuity, information security, and data management and privacy. The Risk Committee also assists our board of directors in oversight of guidelines, policies, and processes for monitoring and mitigating such key risks. The board of directors also considers and discusses with management the processes in place relating to enterprise risk management and any potential changes to be made to such processes going forward. Additional review or reporting of enterprise risks is conducted as needed or as requested by the board of directors or any of its committees.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Compensation Plans Risk Assessment</w:t>
      </w:r>
    </w:p>
    <w:p>
      <w:pPr>
        <w:spacing w:after="0" w:line="136" w:lineRule="exact"/>
        <w:rPr>
          <w:sz w:val="20"/>
          <w:szCs w:val="20"/>
          <w:color w:val="auto"/>
        </w:rPr>
      </w:pPr>
    </w:p>
    <w:p>
      <w:pPr>
        <w:ind w:right="220"/>
        <w:spacing w:after="0" w:line="308" w:lineRule="auto"/>
        <w:rPr>
          <w:sz w:val="20"/>
          <w:szCs w:val="20"/>
          <w:color w:val="auto"/>
        </w:rPr>
      </w:pPr>
      <w:r>
        <w:rPr>
          <w:rFonts w:ascii="Arial" w:cs="Arial" w:eastAsia="Arial" w:hAnsi="Arial"/>
          <w:sz w:val="15"/>
          <w:szCs w:val="15"/>
          <w:color w:val="0E191E"/>
        </w:rPr>
        <w:t>As part of its oversight function, our board of directors and our Compensation Committee in particular, along with our management team, considers potential risks when reviewing and approving various compensation plans, including executive compensation. Based on this review, our Compensation Committee has concluded that such compensation plans, including</w:t>
      </w:r>
    </w:p>
    <w:p>
      <w:pPr>
        <w:spacing w:after="0" w:line="357"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23</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4" w:right="339" w:bottom="1440" w:gutter="0" w:footer="0" w:header="0"/>
        </w:sectPr>
      </w:pPr>
    </w:p>
    <w:bookmarkStart w:id="27" w:name="page28"/>
    <w:bookmarkEnd w:id="27"/>
    <w:p>
      <w:pPr>
        <w:spacing w:after="0"/>
        <w:rPr>
          <w:sz w:val="20"/>
          <w:szCs w:val="20"/>
          <w:color w:val="auto"/>
        </w:rPr>
      </w:pPr>
      <w:r>
        <w:rPr>
          <w:rFonts w:ascii="Arial" w:cs="Arial" w:eastAsia="Arial" w:hAnsi="Arial"/>
          <w:sz w:val="15"/>
          <w:szCs w:val="15"/>
          <w:color w:val="0E191E"/>
        </w:rPr>
        <w:t>executive compensation, do not encourage risk taking to a degree that is reasonably likely to have a materially adverse impact on us or our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Whistleblower Procedures</w:t>
      </w:r>
    </w:p>
    <w:p>
      <w:pPr>
        <w:spacing w:after="0" w:line="136" w:lineRule="exact"/>
        <w:rPr>
          <w:sz w:val="20"/>
          <w:szCs w:val="20"/>
          <w:color w:val="auto"/>
        </w:rPr>
      </w:pPr>
    </w:p>
    <w:p>
      <w:pPr>
        <w:spacing w:after="0" w:line="303" w:lineRule="auto"/>
        <w:rPr>
          <w:sz w:val="20"/>
          <w:szCs w:val="20"/>
          <w:color w:val="auto"/>
        </w:rPr>
      </w:pPr>
      <w:r>
        <w:rPr>
          <w:rFonts w:ascii="Arial" w:cs="Arial" w:eastAsia="Arial" w:hAnsi="Arial"/>
          <w:sz w:val="15"/>
          <w:szCs w:val="15"/>
          <w:color w:val="0E191E"/>
        </w:rPr>
        <w:t>In accordance with the Sarbanes-Oxley Act, we have established procedures for the receipt, retention, and treatment of complaints regarding accounting, internal accounting controls, or auditing matters and for the confidential, anonymous submission of concerns regarding accounting or auditing matters. If an individual has a concern regarding questionable accounting, internal accounting controls, or auditing matters, or the reporting of fraudulent financial information, such individual may report his or her concern by sending a letter (which may be anonymous at the discretion of the reporting person) to us at our principal executive offices to the attention of the general counsel and to the chair of the Audit Committee. Individual employees may also report their concerns by telephone or online (which may be anonymous at the discretion of the reporting person) by using our ethics reporting system accessible through our dedicated reporting website. Such complaints received by telephone or via online reporting system are promptly sent to the general counsel and to the chair of the Audit Committee.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Committees of the Board of Directors</w:t>
      </w:r>
    </w:p>
    <w:p>
      <w:pPr>
        <w:spacing w:after="0" w:line="136"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0E191E"/>
        </w:rPr>
        <w:t xml:space="preserve">Our board of directors uses committees to work on certain issues in more detail than would be reasonable at a meeting of the full board of directors. Each committee reviews the progress and results of its meetings with the full board of directors and makes recommendations to our board of directors as and when appropriate. Our board of directors presently has four standing committees: an Audit Committee, a Compensation Committee, a Nominating and Corporate Governance Committee, and a Risk Committee. Each of the four standing committees of our board of directors described below operates pursuant to a written committee charter that is available to stockholders on our website at </w:t>
      </w:r>
      <w:r>
        <w:rPr>
          <w:rFonts w:ascii="Arial" w:cs="Arial" w:eastAsia="Arial" w:hAnsi="Arial"/>
          <w:sz w:val="15"/>
          <w:szCs w:val="15"/>
          <w:i w:val="1"/>
          <w:iCs w:val="1"/>
          <w:color w:val="0E191E"/>
        </w:rPr>
        <w:t>www.guidewire.com</w:t>
      </w:r>
      <w:r>
        <w:rPr>
          <w:rFonts w:ascii="Arial" w:cs="Arial" w:eastAsia="Arial" w:hAnsi="Arial"/>
          <w:sz w:val="15"/>
          <w:szCs w:val="15"/>
          <w:color w:val="0E191E"/>
        </w:rPr>
        <w:t xml:space="preserve"> under “About/Investor Relations/Corporate Governance.”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0E191E"/>
        </w:rPr>
        <w:t>A summary of our committee structure and membership information of each of our directors as of the date of this proxy statement is available at page 2 above.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1EB7DF"/>
        </w:rPr>
        <w:t>Audit Committee</w:t>
      </w:r>
    </w:p>
    <w:p>
      <w:pPr>
        <w:spacing w:after="0" w:line="47"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0E191E"/>
        </w:rPr>
        <w:t>The Audit Committee met seven times in fiscal year 2021. The board of directors has determined that each of the members of the Audit Committee (1) is “independent” as defined by current NYSE listing standards and (2) meets the independence requirements of Rule 10A of the Exchange Act. Ms. Dillon and Ms. Lego each qualifies as a “financial expert” as defined by SEC rules. Pursuant to its charter, the Audit Committee is responsible for the oversight of the quality and integrity of our financial statements, our compliance with legal and regulatory requirements, the qualifications and independence of our independent registered public accounting firm, the performance of our independent registered public accounting firm, and other significant financial matters. In discharging its duties, the Audit Committee:</w:t>
      </w:r>
    </w:p>
    <w:p>
      <w:pPr>
        <w:spacing w:after="0" w:line="304" w:lineRule="exact"/>
        <w:rPr>
          <w:sz w:val="20"/>
          <w:szCs w:val="20"/>
          <w:color w:val="auto"/>
        </w:rPr>
      </w:pPr>
    </w:p>
    <w:p>
      <w:pPr>
        <w:ind w:left="500" w:hanging="168"/>
        <w:spacing w:after="0"/>
        <w:tabs>
          <w:tab w:leader="none" w:pos="500" w:val="left"/>
        </w:tabs>
        <w:numPr>
          <w:ilvl w:val="0"/>
          <w:numId w:val="14"/>
        </w:numPr>
        <w:rPr>
          <w:rFonts w:ascii="Arial" w:cs="Arial" w:eastAsia="Arial" w:hAnsi="Arial"/>
          <w:sz w:val="15"/>
          <w:szCs w:val="15"/>
          <w:color w:val="0E191E"/>
        </w:rPr>
      </w:pPr>
      <w:r>
        <w:rPr>
          <w:rFonts w:ascii="Arial" w:cs="Arial" w:eastAsia="Arial" w:hAnsi="Arial"/>
          <w:sz w:val="15"/>
          <w:szCs w:val="15"/>
          <w:color w:val="0E191E"/>
        </w:rPr>
        <w:t>Has the sole authority to appoint, compensate, retain, oversee, and terminate the independent registered public accounting firm;</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14"/>
        </w:numPr>
        <w:rPr>
          <w:rFonts w:ascii="Arial" w:cs="Arial" w:eastAsia="Arial" w:hAnsi="Arial"/>
          <w:sz w:val="15"/>
          <w:szCs w:val="15"/>
          <w:color w:val="0E191E"/>
        </w:rPr>
      </w:pPr>
      <w:r>
        <w:rPr>
          <w:rFonts w:ascii="Arial" w:cs="Arial" w:eastAsia="Arial" w:hAnsi="Arial"/>
          <w:sz w:val="15"/>
          <w:szCs w:val="15"/>
          <w:color w:val="0E191E"/>
        </w:rPr>
        <w:t>Reviews and approves the scope of the annual audit;</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14"/>
        </w:numPr>
        <w:rPr>
          <w:rFonts w:ascii="Arial" w:cs="Arial" w:eastAsia="Arial" w:hAnsi="Arial"/>
          <w:sz w:val="15"/>
          <w:szCs w:val="15"/>
          <w:color w:val="0E191E"/>
        </w:rPr>
      </w:pPr>
      <w:r>
        <w:rPr>
          <w:rFonts w:ascii="Arial" w:cs="Arial" w:eastAsia="Arial" w:hAnsi="Arial"/>
          <w:sz w:val="15"/>
          <w:szCs w:val="15"/>
          <w:color w:val="0E191E"/>
        </w:rPr>
        <w:t>Reviews and approves the scope of internal audit;</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14"/>
        </w:numPr>
        <w:rPr>
          <w:rFonts w:ascii="Arial" w:cs="Arial" w:eastAsia="Arial" w:hAnsi="Arial"/>
          <w:sz w:val="15"/>
          <w:szCs w:val="15"/>
          <w:color w:val="0E191E"/>
        </w:rPr>
      </w:pPr>
      <w:r>
        <w:rPr>
          <w:rFonts w:ascii="Arial" w:cs="Arial" w:eastAsia="Arial" w:hAnsi="Arial"/>
          <w:sz w:val="15"/>
          <w:szCs w:val="15"/>
          <w:color w:val="0E191E"/>
        </w:rPr>
        <w:t>Reviews and pre-approves the engagement of our independent registered public accounting firm to perform audit and non-audit services and related fees;</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14"/>
        </w:numPr>
        <w:rPr>
          <w:rFonts w:ascii="Arial" w:cs="Arial" w:eastAsia="Arial" w:hAnsi="Arial"/>
          <w:sz w:val="15"/>
          <w:szCs w:val="15"/>
          <w:color w:val="0E191E"/>
        </w:rPr>
      </w:pPr>
      <w:r>
        <w:rPr>
          <w:rFonts w:ascii="Arial" w:cs="Arial" w:eastAsia="Arial" w:hAnsi="Arial"/>
          <w:sz w:val="15"/>
          <w:szCs w:val="15"/>
          <w:color w:val="0E191E"/>
        </w:rPr>
        <w:t>Reviews the integrity of our financial reporting process;</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14"/>
        </w:numPr>
        <w:rPr>
          <w:rFonts w:ascii="Arial" w:cs="Arial" w:eastAsia="Arial" w:hAnsi="Arial"/>
          <w:sz w:val="15"/>
          <w:szCs w:val="15"/>
          <w:color w:val="0E191E"/>
        </w:rPr>
      </w:pPr>
      <w:r>
        <w:rPr>
          <w:rFonts w:ascii="Arial" w:cs="Arial" w:eastAsia="Arial" w:hAnsi="Arial"/>
          <w:sz w:val="15"/>
          <w:szCs w:val="15"/>
          <w:color w:val="0E191E"/>
        </w:rPr>
        <w:t>Reviews our financial statements, disclosures and filings with the SEC;</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14"/>
        </w:numPr>
        <w:rPr>
          <w:rFonts w:ascii="Arial" w:cs="Arial" w:eastAsia="Arial" w:hAnsi="Arial"/>
          <w:sz w:val="15"/>
          <w:szCs w:val="15"/>
          <w:color w:val="0E191E"/>
        </w:rPr>
      </w:pPr>
      <w:r>
        <w:rPr>
          <w:rFonts w:ascii="Arial" w:cs="Arial" w:eastAsia="Arial" w:hAnsi="Arial"/>
          <w:sz w:val="15"/>
          <w:szCs w:val="15"/>
          <w:color w:val="0E191E"/>
        </w:rPr>
        <w:t>Reviews and approves an annual report of the Audit Committee for inclusion in this proxy statement;</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14"/>
        </w:numPr>
        <w:rPr>
          <w:rFonts w:ascii="Arial" w:cs="Arial" w:eastAsia="Arial" w:hAnsi="Arial"/>
          <w:sz w:val="15"/>
          <w:szCs w:val="15"/>
          <w:color w:val="0E191E"/>
        </w:rPr>
      </w:pPr>
      <w:r>
        <w:rPr>
          <w:rFonts w:ascii="Arial" w:cs="Arial" w:eastAsia="Arial" w:hAnsi="Arial"/>
          <w:sz w:val="15"/>
          <w:szCs w:val="15"/>
          <w:color w:val="0E191E"/>
        </w:rPr>
        <w:t>Reviews disclosures from our independent registered public accounting firm regarding independence standards;</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14"/>
        </w:numPr>
        <w:rPr>
          <w:rFonts w:ascii="Arial" w:cs="Arial" w:eastAsia="Arial" w:hAnsi="Arial"/>
          <w:sz w:val="15"/>
          <w:szCs w:val="15"/>
          <w:color w:val="0E191E"/>
        </w:rPr>
      </w:pPr>
      <w:r>
        <w:rPr>
          <w:rFonts w:ascii="Arial" w:cs="Arial" w:eastAsia="Arial" w:hAnsi="Arial"/>
          <w:sz w:val="15"/>
          <w:szCs w:val="15"/>
          <w:color w:val="0E191E"/>
        </w:rPr>
        <w:t>Reviews and, if appropriate, approves, related-party transactions;</w:t>
      </w:r>
    </w:p>
    <w:p>
      <w:pPr>
        <w:spacing w:after="0" w:line="97" w:lineRule="exact"/>
        <w:rPr>
          <w:rFonts w:ascii="Arial" w:cs="Arial" w:eastAsia="Arial" w:hAnsi="Arial"/>
          <w:sz w:val="15"/>
          <w:szCs w:val="15"/>
          <w:color w:val="0E191E"/>
        </w:rPr>
      </w:pPr>
    </w:p>
    <w:p>
      <w:pPr>
        <w:ind w:left="500" w:right="140" w:hanging="168"/>
        <w:spacing w:after="0" w:line="317" w:lineRule="auto"/>
        <w:tabs>
          <w:tab w:leader="none" w:pos="499" w:val="left"/>
        </w:tabs>
        <w:numPr>
          <w:ilvl w:val="0"/>
          <w:numId w:val="14"/>
        </w:numPr>
        <w:rPr>
          <w:rFonts w:ascii="Arial" w:cs="Arial" w:eastAsia="Arial" w:hAnsi="Arial"/>
          <w:sz w:val="15"/>
          <w:szCs w:val="15"/>
          <w:color w:val="0E191E"/>
        </w:rPr>
      </w:pPr>
      <w:r>
        <w:rPr>
          <w:rFonts w:ascii="Arial" w:cs="Arial" w:eastAsia="Arial" w:hAnsi="Arial"/>
          <w:sz w:val="15"/>
          <w:szCs w:val="15"/>
          <w:color w:val="0E191E"/>
        </w:rPr>
        <w:t>Oversees procedures for the receipt, retention, and treatment of complaints regarding accounting, internal accounting controls or auditing matters and for the confidential, anonymous submission of concerns regarding accounting or auditing matters;</w:t>
      </w:r>
    </w:p>
    <w:p>
      <w:pPr>
        <w:spacing w:after="0" w:line="30" w:lineRule="exact"/>
        <w:rPr>
          <w:rFonts w:ascii="Arial" w:cs="Arial" w:eastAsia="Arial" w:hAnsi="Arial"/>
          <w:sz w:val="15"/>
          <w:szCs w:val="15"/>
          <w:color w:val="0E191E"/>
        </w:rPr>
      </w:pPr>
    </w:p>
    <w:p>
      <w:pPr>
        <w:ind w:left="500" w:right="80" w:hanging="168"/>
        <w:spacing w:after="0" w:line="317" w:lineRule="auto"/>
        <w:tabs>
          <w:tab w:leader="none" w:pos="499" w:val="left"/>
        </w:tabs>
        <w:numPr>
          <w:ilvl w:val="0"/>
          <w:numId w:val="14"/>
        </w:numPr>
        <w:rPr>
          <w:rFonts w:ascii="Arial" w:cs="Arial" w:eastAsia="Arial" w:hAnsi="Arial"/>
          <w:sz w:val="15"/>
          <w:szCs w:val="15"/>
          <w:color w:val="0E191E"/>
        </w:rPr>
      </w:pPr>
      <w:r>
        <w:rPr>
          <w:rFonts w:ascii="Arial" w:cs="Arial" w:eastAsia="Arial" w:hAnsi="Arial"/>
          <w:sz w:val="15"/>
          <w:szCs w:val="15"/>
          <w:color w:val="0E191E"/>
        </w:rPr>
        <w:t>Annually reviews with management the Company’s ESG and climate disclosures and the adequacy and effectiveness of applicable internal controls related to such disclosures; and</w:t>
      </w:r>
    </w:p>
    <w:p>
      <w:pPr>
        <w:spacing w:after="0" w:line="30" w:lineRule="exact"/>
        <w:rPr>
          <w:rFonts w:ascii="Arial" w:cs="Arial" w:eastAsia="Arial" w:hAnsi="Arial"/>
          <w:sz w:val="15"/>
          <w:szCs w:val="15"/>
          <w:color w:val="0E191E"/>
        </w:rPr>
      </w:pPr>
    </w:p>
    <w:p>
      <w:pPr>
        <w:ind w:left="500" w:hanging="168"/>
        <w:spacing w:after="0"/>
        <w:tabs>
          <w:tab w:leader="none" w:pos="500" w:val="left"/>
        </w:tabs>
        <w:numPr>
          <w:ilvl w:val="0"/>
          <w:numId w:val="14"/>
        </w:numPr>
        <w:rPr>
          <w:rFonts w:ascii="Arial" w:cs="Arial" w:eastAsia="Arial" w:hAnsi="Arial"/>
          <w:sz w:val="15"/>
          <w:szCs w:val="15"/>
          <w:color w:val="0E191E"/>
        </w:rPr>
      </w:pPr>
      <w:r>
        <w:rPr>
          <w:rFonts w:ascii="Arial" w:cs="Arial" w:eastAsia="Arial" w:hAnsi="Arial"/>
          <w:sz w:val="15"/>
          <w:szCs w:val="15"/>
          <w:color w:val="0E191E"/>
        </w:rPr>
        <w:t>Annually reviews and assesses its performance and the adequacy of its charter.</w:t>
      </w:r>
    </w:p>
    <w:p>
      <w:pPr>
        <w:spacing w:after="0" w:line="200" w:lineRule="exact"/>
        <w:rPr>
          <w:sz w:val="20"/>
          <w:szCs w:val="20"/>
          <w:color w:val="auto"/>
        </w:rPr>
      </w:pPr>
    </w:p>
    <w:p>
      <w:pPr>
        <w:spacing w:after="0" w:line="217"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24</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81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1EB7DF"/>
        </w:rPr>
        <w:t>Compensation Committee</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0E191E"/>
        </w:rPr>
        <w:t>The Compensation Committee met five times in fiscal year 2021. The board of directors has determined that each of the members of the Compensation Committee is</w:t>
      </w:r>
    </w:p>
    <w:p>
      <w:pPr>
        <w:spacing w:after="0" w:line="44" w:lineRule="exact"/>
        <w:rPr>
          <w:sz w:val="20"/>
          <w:szCs w:val="20"/>
          <w:color w:val="auto"/>
        </w:rPr>
      </w:pPr>
    </w:p>
    <w:p>
      <w:pPr>
        <w:ind w:right="180" w:firstLine="8"/>
        <w:spacing w:after="0" w:line="317" w:lineRule="auto"/>
        <w:tabs>
          <w:tab w:leader="none" w:pos="229" w:val="left"/>
        </w:tabs>
        <w:numPr>
          <w:ilvl w:val="0"/>
          <w:numId w:val="15"/>
        </w:numPr>
        <w:rPr>
          <w:rFonts w:ascii="Arial" w:cs="Arial" w:eastAsia="Arial" w:hAnsi="Arial"/>
          <w:sz w:val="15"/>
          <w:szCs w:val="15"/>
          <w:color w:val="0E191E"/>
        </w:rPr>
      </w:pPr>
      <w:r>
        <w:rPr>
          <w:rFonts w:ascii="Arial" w:cs="Arial" w:eastAsia="Arial" w:hAnsi="Arial"/>
          <w:sz w:val="15"/>
          <w:szCs w:val="15"/>
          <w:color w:val="0E191E"/>
        </w:rPr>
        <w:t>a “non-employee director” as defined in Rule 16b-3 promulgated under the Exchange Act, (2) an “outside director” as defined pursuant to Section 162(m) of the Internal Revenue Code of 1986, as amended, (the “Code”) and (3) “independent” as defined by current NYSE listing standards.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0E191E"/>
        </w:rPr>
        <w:t>The Compensation Committee's specific responsibilities include the following:</w:t>
      </w:r>
    </w:p>
    <w:p>
      <w:pPr>
        <w:spacing w:after="0" w:line="152" w:lineRule="exact"/>
        <w:rPr>
          <w:sz w:val="20"/>
          <w:szCs w:val="20"/>
          <w:color w:val="auto"/>
        </w:rPr>
      </w:pPr>
    </w:p>
    <w:p>
      <w:pPr>
        <w:ind w:left="500" w:hanging="168"/>
        <w:spacing w:after="0"/>
        <w:tabs>
          <w:tab w:leader="none" w:pos="500" w:val="left"/>
        </w:tabs>
        <w:numPr>
          <w:ilvl w:val="0"/>
          <w:numId w:val="16"/>
        </w:numPr>
        <w:rPr>
          <w:rFonts w:ascii="Arial" w:cs="Arial" w:eastAsia="Arial" w:hAnsi="Arial"/>
          <w:sz w:val="15"/>
          <w:szCs w:val="15"/>
          <w:color w:val="0E191E"/>
        </w:rPr>
      </w:pPr>
      <w:r>
        <w:rPr>
          <w:rFonts w:ascii="Arial" w:cs="Arial" w:eastAsia="Arial" w:hAnsi="Arial"/>
          <w:sz w:val="15"/>
          <w:szCs w:val="15"/>
          <w:color w:val="0E191E"/>
        </w:rPr>
        <w:t>Overseeing our compensation and benefits policies generally;</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16"/>
        </w:numPr>
        <w:rPr>
          <w:rFonts w:ascii="Arial" w:cs="Arial" w:eastAsia="Arial" w:hAnsi="Arial"/>
          <w:sz w:val="15"/>
          <w:szCs w:val="15"/>
          <w:color w:val="0E191E"/>
        </w:rPr>
      </w:pPr>
      <w:r>
        <w:rPr>
          <w:rFonts w:ascii="Arial" w:cs="Arial" w:eastAsia="Arial" w:hAnsi="Arial"/>
          <w:sz w:val="15"/>
          <w:szCs w:val="15"/>
          <w:color w:val="0E191E"/>
        </w:rPr>
        <w:t>Evaluating the performance of our executives;</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16"/>
        </w:numPr>
        <w:rPr>
          <w:rFonts w:ascii="Arial" w:cs="Arial" w:eastAsia="Arial" w:hAnsi="Arial"/>
          <w:sz w:val="15"/>
          <w:szCs w:val="15"/>
          <w:color w:val="0E191E"/>
        </w:rPr>
      </w:pPr>
      <w:r>
        <w:rPr>
          <w:rFonts w:ascii="Arial" w:cs="Arial" w:eastAsia="Arial" w:hAnsi="Arial"/>
          <w:sz w:val="15"/>
          <w:szCs w:val="15"/>
          <w:color w:val="0E191E"/>
        </w:rPr>
        <w:t>Overseeing, evaluating the performance of and setting compensation for our executive officers;</w:t>
      </w:r>
    </w:p>
    <w:p>
      <w:pPr>
        <w:spacing w:after="0" w:line="97" w:lineRule="exact"/>
        <w:rPr>
          <w:rFonts w:ascii="Arial" w:cs="Arial" w:eastAsia="Arial" w:hAnsi="Arial"/>
          <w:sz w:val="15"/>
          <w:szCs w:val="15"/>
          <w:color w:val="0E191E"/>
        </w:rPr>
      </w:pPr>
    </w:p>
    <w:p>
      <w:pPr>
        <w:ind w:left="500" w:right="380" w:hanging="168"/>
        <w:spacing w:after="0" w:line="317" w:lineRule="auto"/>
        <w:tabs>
          <w:tab w:leader="none" w:pos="499" w:val="left"/>
        </w:tabs>
        <w:numPr>
          <w:ilvl w:val="0"/>
          <w:numId w:val="16"/>
        </w:numPr>
        <w:rPr>
          <w:rFonts w:ascii="Arial" w:cs="Arial" w:eastAsia="Arial" w:hAnsi="Arial"/>
          <w:sz w:val="15"/>
          <w:szCs w:val="15"/>
          <w:color w:val="0E191E"/>
        </w:rPr>
      </w:pPr>
      <w:r>
        <w:rPr>
          <w:rFonts w:ascii="Arial" w:cs="Arial" w:eastAsia="Arial" w:hAnsi="Arial"/>
          <w:sz w:val="15"/>
          <w:szCs w:val="15"/>
          <w:color w:val="0E191E"/>
        </w:rPr>
        <w:t>Reviewing and approving any employment, severance, and change of control agreements with our executive officers, as well as any other compensation arrangements;</w:t>
      </w:r>
    </w:p>
    <w:p>
      <w:pPr>
        <w:spacing w:after="0" w:line="30" w:lineRule="exact"/>
        <w:rPr>
          <w:rFonts w:ascii="Arial" w:cs="Arial" w:eastAsia="Arial" w:hAnsi="Arial"/>
          <w:sz w:val="15"/>
          <w:szCs w:val="15"/>
          <w:color w:val="0E191E"/>
        </w:rPr>
      </w:pPr>
    </w:p>
    <w:p>
      <w:pPr>
        <w:ind w:left="500" w:hanging="168"/>
        <w:spacing w:after="0"/>
        <w:tabs>
          <w:tab w:leader="none" w:pos="500" w:val="left"/>
        </w:tabs>
        <w:numPr>
          <w:ilvl w:val="0"/>
          <w:numId w:val="16"/>
        </w:numPr>
        <w:rPr>
          <w:rFonts w:ascii="Arial" w:cs="Arial" w:eastAsia="Arial" w:hAnsi="Arial"/>
          <w:sz w:val="15"/>
          <w:szCs w:val="15"/>
          <w:color w:val="0E191E"/>
        </w:rPr>
      </w:pPr>
      <w:r>
        <w:rPr>
          <w:rFonts w:ascii="Arial" w:cs="Arial" w:eastAsia="Arial" w:hAnsi="Arial"/>
          <w:sz w:val="15"/>
          <w:szCs w:val="15"/>
          <w:color w:val="0E191E"/>
        </w:rPr>
        <w:t>Evaluating and recommending equity grants and compensation for our directors;</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16"/>
        </w:numPr>
        <w:rPr>
          <w:rFonts w:ascii="Arial" w:cs="Arial" w:eastAsia="Arial" w:hAnsi="Arial"/>
          <w:sz w:val="15"/>
          <w:szCs w:val="15"/>
          <w:color w:val="0E191E"/>
        </w:rPr>
      </w:pPr>
      <w:r>
        <w:rPr>
          <w:rFonts w:ascii="Arial" w:cs="Arial" w:eastAsia="Arial" w:hAnsi="Arial"/>
          <w:sz w:val="15"/>
          <w:szCs w:val="15"/>
          <w:color w:val="0E191E"/>
        </w:rPr>
        <w:t>Acting as administrator of our equity compensation plans;</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16"/>
        </w:numPr>
        <w:rPr>
          <w:rFonts w:ascii="Arial" w:cs="Arial" w:eastAsia="Arial" w:hAnsi="Arial"/>
          <w:sz w:val="15"/>
          <w:szCs w:val="15"/>
          <w:color w:val="0E191E"/>
        </w:rPr>
      </w:pPr>
      <w:r>
        <w:rPr>
          <w:rFonts w:ascii="Arial" w:cs="Arial" w:eastAsia="Arial" w:hAnsi="Arial"/>
          <w:sz w:val="15"/>
          <w:szCs w:val="15"/>
          <w:color w:val="0E191E"/>
        </w:rPr>
        <w:t>Reviewing an annual discussion and analysis on executive compensation for inclusion in our annual proxy statement;</w:t>
      </w:r>
    </w:p>
    <w:p>
      <w:pPr>
        <w:spacing w:after="0" w:line="97" w:lineRule="exact"/>
        <w:rPr>
          <w:rFonts w:ascii="Arial" w:cs="Arial" w:eastAsia="Arial" w:hAnsi="Arial"/>
          <w:sz w:val="15"/>
          <w:szCs w:val="15"/>
          <w:color w:val="0E191E"/>
        </w:rPr>
      </w:pPr>
    </w:p>
    <w:p>
      <w:pPr>
        <w:ind w:left="500" w:right="260" w:hanging="168"/>
        <w:spacing w:after="0" w:line="317" w:lineRule="auto"/>
        <w:tabs>
          <w:tab w:leader="none" w:pos="499" w:val="left"/>
        </w:tabs>
        <w:numPr>
          <w:ilvl w:val="0"/>
          <w:numId w:val="16"/>
        </w:numPr>
        <w:rPr>
          <w:rFonts w:ascii="Arial" w:cs="Arial" w:eastAsia="Arial" w:hAnsi="Arial"/>
          <w:sz w:val="15"/>
          <w:szCs w:val="15"/>
          <w:color w:val="0E191E"/>
        </w:rPr>
      </w:pPr>
      <w:r>
        <w:rPr>
          <w:rFonts w:ascii="Arial" w:cs="Arial" w:eastAsia="Arial" w:hAnsi="Arial"/>
          <w:sz w:val="15"/>
          <w:szCs w:val="15"/>
          <w:color w:val="0E191E"/>
        </w:rPr>
        <w:t>Overseeing all matters relating to stockholder advisory voting on executive compensation for our named executive officers (“say-on-pay”), the frequency of such voting, and stockholder advisory voting regarding change of control or “golden parachute” payments;</w:t>
      </w:r>
    </w:p>
    <w:p>
      <w:pPr>
        <w:spacing w:after="0" w:line="30" w:lineRule="exact"/>
        <w:rPr>
          <w:rFonts w:ascii="Arial" w:cs="Arial" w:eastAsia="Arial" w:hAnsi="Arial"/>
          <w:sz w:val="15"/>
          <w:szCs w:val="15"/>
          <w:color w:val="0E191E"/>
        </w:rPr>
      </w:pPr>
    </w:p>
    <w:p>
      <w:pPr>
        <w:ind w:left="500" w:hanging="168"/>
        <w:spacing w:after="0"/>
        <w:tabs>
          <w:tab w:leader="none" w:pos="500" w:val="left"/>
        </w:tabs>
        <w:numPr>
          <w:ilvl w:val="0"/>
          <w:numId w:val="16"/>
        </w:numPr>
        <w:rPr>
          <w:rFonts w:ascii="Arial" w:cs="Arial" w:eastAsia="Arial" w:hAnsi="Arial"/>
          <w:sz w:val="15"/>
          <w:szCs w:val="15"/>
          <w:color w:val="0E191E"/>
        </w:rPr>
      </w:pPr>
      <w:r>
        <w:rPr>
          <w:rFonts w:ascii="Arial" w:cs="Arial" w:eastAsia="Arial" w:hAnsi="Arial"/>
          <w:sz w:val="15"/>
          <w:szCs w:val="15"/>
          <w:color w:val="0E191E"/>
        </w:rPr>
        <w:t>Retaining or obtaining the advice of compensation consultants, legal counsel, and/or other advisers on compensation arrangements;</w:t>
      </w:r>
    </w:p>
    <w:p>
      <w:pPr>
        <w:spacing w:after="0" w:line="97" w:lineRule="exact"/>
        <w:rPr>
          <w:rFonts w:ascii="Arial" w:cs="Arial" w:eastAsia="Arial" w:hAnsi="Arial"/>
          <w:sz w:val="15"/>
          <w:szCs w:val="15"/>
          <w:color w:val="0E191E"/>
        </w:rPr>
      </w:pPr>
    </w:p>
    <w:p>
      <w:pPr>
        <w:ind w:left="500" w:right="220" w:hanging="168"/>
        <w:spacing w:after="0" w:line="317" w:lineRule="auto"/>
        <w:tabs>
          <w:tab w:leader="none" w:pos="499" w:val="left"/>
        </w:tabs>
        <w:numPr>
          <w:ilvl w:val="0"/>
          <w:numId w:val="16"/>
        </w:numPr>
        <w:rPr>
          <w:rFonts w:ascii="Arial" w:cs="Arial" w:eastAsia="Arial" w:hAnsi="Arial"/>
          <w:sz w:val="15"/>
          <w:szCs w:val="15"/>
          <w:color w:val="0E191E"/>
        </w:rPr>
      </w:pPr>
      <w:r>
        <w:rPr>
          <w:rFonts w:ascii="Arial" w:cs="Arial" w:eastAsia="Arial" w:hAnsi="Arial"/>
          <w:sz w:val="15"/>
          <w:szCs w:val="15"/>
          <w:color w:val="0E191E"/>
        </w:rPr>
        <w:t>Reviewing and approving the peer group of companies used to inform the Company's evaluation of compensation for its CEO, other executive officers, and directors;</w:t>
      </w:r>
    </w:p>
    <w:p>
      <w:pPr>
        <w:spacing w:after="0" w:line="30" w:lineRule="exact"/>
        <w:rPr>
          <w:rFonts w:ascii="Arial" w:cs="Arial" w:eastAsia="Arial" w:hAnsi="Arial"/>
          <w:sz w:val="15"/>
          <w:szCs w:val="15"/>
          <w:color w:val="0E191E"/>
        </w:rPr>
      </w:pPr>
    </w:p>
    <w:p>
      <w:pPr>
        <w:ind w:left="500" w:right="60" w:hanging="168"/>
        <w:spacing w:after="0" w:line="317" w:lineRule="auto"/>
        <w:tabs>
          <w:tab w:leader="none" w:pos="499" w:val="left"/>
        </w:tabs>
        <w:numPr>
          <w:ilvl w:val="0"/>
          <w:numId w:val="16"/>
        </w:numPr>
        <w:rPr>
          <w:rFonts w:ascii="Arial" w:cs="Arial" w:eastAsia="Arial" w:hAnsi="Arial"/>
          <w:sz w:val="15"/>
          <w:szCs w:val="15"/>
          <w:color w:val="0E191E"/>
        </w:rPr>
      </w:pPr>
      <w:r>
        <w:rPr>
          <w:rFonts w:ascii="Arial" w:cs="Arial" w:eastAsia="Arial" w:hAnsi="Arial"/>
          <w:sz w:val="15"/>
          <w:szCs w:val="15"/>
          <w:color w:val="0E191E"/>
        </w:rPr>
        <w:t>Reviewing any risks arising from our compensation philosophy and practices applicable to all employees that are reasonably likely to have a material adverse effect on the Company;</w:t>
      </w:r>
    </w:p>
    <w:p>
      <w:pPr>
        <w:spacing w:after="0" w:line="30" w:lineRule="exact"/>
        <w:rPr>
          <w:rFonts w:ascii="Arial" w:cs="Arial" w:eastAsia="Arial" w:hAnsi="Arial"/>
          <w:sz w:val="15"/>
          <w:szCs w:val="15"/>
          <w:color w:val="0E191E"/>
        </w:rPr>
      </w:pPr>
    </w:p>
    <w:p>
      <w:pPr>
        <w:ind w:left="500" w:right="480" w:hanging="168"/>
        <w:spacing w:after="0" w:line="317" w:lineRule="auto"/>
        <w:tabs>
          <w:tab w:leader="none" w:pos="499" w:val="left"/>
        </w:tabs>
        <w:numPr>
          <w:ilvl w:val="0"/>
          <w:numId w:val="16"/>
        </w:numPr>
        <w:rPr>
          <w:rFonts w:ascii="Arial" w:cs="Arial" w:eastAsia="Arial" w:hAnsi="Arial"/>
          <w:sz w:val="15"/>
          <w:szCs w:val="15"/>
          <w:color w:val="0E191E"/>
        </w:rPr>
      </w:pPr>
      <w:r>
        <w:rPr>
          <w:rFonts w:ascii="Arial" w:cs="Arial" w:eastAsia="Arial" w:hAnsi="Arial"/>
          <w:sz w:val="15"/>
          <w:szCs w:val="15"/>
          <w:color w:val="0E191E"/>
        </w:rPr>
        <w:t>Reviewing and discussing with management the Company’s compensation initiatives, policies, practices, reporting and disclosures with respect to ESG matters;</w:t>
      </w:r>
    </w:p>
    <w:p>
      <w:pPr>
        <w:spacing w:after="0" w:line="30" w:lineRule="exact"/>
        <w:rPr>
          <w:rFonts w:ascii="Arial" w:cs="Arial" w:eastAsia="Arial" w:hAnsi="Arial"/>
          <w:sz w:val="15"/>
          <w:szCs w:val="15"/>
          <w:color w:val="0E191E"/>
        </w:rPr>
      </w:pPr>
    </w:p>
    <w:p>
      <w:pPr>
        <w:ind w:left="500" w:hanging="168"/>
        <w:spacing w:after="0"/>
        <w:tabs>
          <w:tab w:leader="none" w:pos="500" w:val="left"/>
        </w:tabs>
        <w:numPr>
          <w:ilvl w:val="0"/>
          <w:numId w:val="16"/>
        </w:numPr>
        <w:rPr>
          <w:rFonts w:ascii="Arial" w:cs="Arial" w:eastAsia="Arial" w:hAnsi="Arial"/>
          <w:sz w:val="15"/>
          <w:szCs w:val="15"/>
          <w:color w:val="0E191E"/>
        </w:rPr>
      </w:pPr>
      <w:r>
        <w:rPr>
          <w:rFonts w:ascii="Arial" w:cs="Arial" w:eastAsia="Arial" w:hAnsi="Arial"/>
          <w:sz w:val="15"/>
          <w:szCs w:val="15"/>
          <w:color w:val="0E191E"/>
        </w:rPr>
        <w:t>Evaluating the impact of ESG matters on executive officer employee performance; and</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16"/>
        </w:numPr>
        <w:rPr>
          <w:rFonts w:ascii="Arial" w:cs="Arial" w:eastAsia="Arial" w:hAnsi="Arial"/>
          <w:sz w:val="15"/>
          <w:szCs w:val="15"/>
          <w:color w:val="0E191E"/>
        </w:rPr>
      </w:pPr>
      <w:r>
        <w:rPr>
          <w:rFonts w:ascii="Arial" w:cs="Arial" w:eastAsia="Arial" w:hAnsi="Arial"/>
          <w:sz w:val="15"/>
          <w:szCs w:val="15"/>
          <w:color w:val="0E191E"/>
        </w:rPr>
        <w:t>Annually reviewing and assessing its performance and periodically reviewing the adequacy of its charter.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1EB7DF"/>
        </w:rPr>
        <w:t>Nominating and Corporate Governance Committee</w:t>
      </w:r>
    </w:p>
    <w:p>
      <w:pPr>
        <w:spacing w:after="0" w:line="47" w:lineRule="exact"/>
        <w:rPr>
          <w:sz w:val="20"/>
          <w:szCs w:val="20"/>
          <w:color w:val="auto"/>
        </w:rPr>
      </w:pPr>
    </w:p>
    <w:p>
      <w:pPr>
        <w:ind w:right="160"/>
        <w:spacing w:after="0" w:line="308" w:lineRule="auto"/>
        <w:rPr>
          <w:sz w:val="20"/>
          <w:szCs w:val="20"/>
          <w:color w:val="auto"/>
        </w:rPr>
      </w:pPr>
      <w:r>
        <w:rPr>
          <w:rFonts w:ascii="Arial" w:cs="Arial" w:eastAsia="Arial" w:hAnsi="Arial"/>
          <w:sz w:val="15"/>
          <w:szCs w:val="15"/>
          <w:color w:val="0E191E"/>
        </w:rPr>
        <w:t>The Nominating and Corporate Governance Committee met three times in fiscal year 2021. The board of directors has determined that each of the members of the Nominating and Corporate Governance Committee is “independent” as defined under current NYSE listing standards. Pursuant to its charter, the Nominating and Corporate Governance Committee is responsible for, among other things:</w:t>
      </w:r>
    </w:p>
    <w:p>
      <w:pPr>
        <w:spacing w:after="0" w:line="92" w:lineRule="exact"/>
        <w:rPr>
          <w:sz w:val="20"/>
          <w:szCs w:val="20"/>
          <w:color w:val="auto"/>
        </w:rPr>
      </w:pPr>
    </w:p>
    <w:p>
      <w:pPr>
        <w:ind w:left="500" w:right="660" w:hanging="168"/>
        <w:spacing w:after="0" w:line="317" w:lineRule="auto"/>
        <w:tabs>
          <w:tab w:leader="none" w:pos="499" w:val="left"/>
        </w:tabs>
        <w:numPr>
          <w:ilvl w:val="0"/>
          <w:numId w:val="17"/>
        </w:numPr>
        <w:rPr>
          <w:rFonts w:ascii="Arial" w:cs="Arial" w:eastAsia="Arial" w:hAnsi="Arial"/>
          <w:sz w:val="15"/>
          <w:szCs w:val="15"/>
          <w:color w:val="0E191E"/>
        </w:rPr>
      </w:pPr>
      <w:r>
        <w:rPr>
          <w:rFonts w:ascii="Arial" w:cs="Arial" w:eastAsia="Arial" w:hAnsi="Arial"/>
          <w:sz w:val="15"/>
          <w:szCs w:val="15"/>
          <w:color w:val="0E191E"/>
        </w:rPr>
        <w:t>Making recommendations to our board of directors regarding nominees to the board of directors proposed for election by our stockholders as well as individuals to be considered to fill any vacancies that may occur on the board of directors;</w:t>
      </w:r>
    </w:p>
    <w:p>
      <w:pPr>
        <w:spacing w:after="0" w:line="30" w:lineRule="exact"/>
        <w:rPr>
          <w:rFonts w:ascii="Arial" w:cs="Arial" w:eastAsia="Arial" w:hAnsi="Arial"/>
          <w:sz w:val="15"/>
          <w:szCs w:val="15"/>
          <w:color w:val="0E191E"/>
        </w:rPr>
      </w:pPr>
    </w:p>
    <w:p>
      <w:pPr>
        <w:ind w:left="500" w:hanging="168"/>
        <w:spacing w:after="0"/>
        <w:tabs>
          <w:tab w:leader="none" w:pos="500" w:val="left"/>
        </w:tabs>
        <w:numPr>
          <w:ilvl w:val="0"/>
          <w:numId w:val="17"/>
        </w:numPr>
        <w:rPr>
          <w:rFonts w:ascii="Arial" w:cs="Arial" w:eastAsia="Arial" w:hAnsi="Arial"/>
          <w:sz w:val="15"/>
          <w:szCs w:val="15"/>
          <w:color w:val="0E191E"/>
        </w:rPr>
      </w:pPr>
      <w:r>
        <w:rPr>
          <w:rFonts w:ascii="Arial" w:cs="Arial" w:eastAsia="Arial" w:hAnsi="Arial"/>
          <w:sz w:val="15"/>
          <w:szCs w:val="15"/>
          <w:color w:val="0E191E"/>
        </w:rPr>
        <w:t>Evaluating and recommending to our board of directors any revisions to our corporate governance guidelines;</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17"/>
        </w:numPr>
        <w:rPr>
          <w:rFonts w:ascii="Arial" w:cs="Arial" w:eastAsia="Arial" w:hAnsi="Arial"/>
          <w:sz w:val="15"/>
          <w:szCs w:val="15"/>
          <w:color w:val="0E191E"/>
        </w:rPr>
      </w:pPr>
      <w:r>
        <w:rPr>
          <w:rFonts w:ascii="Arial" w:cs="Arial" w:eastAsia="Arial" w:hAnsi="Arial"/>
          <w:sz w:val="15"/>
          <w:szCs w:val="15"/>
          <w:color w:val="0E191E"/>
        </w:rPr>
        <w:t>Establishing criteria for membership on the board of directors and its committees, including criteria as to director independence;</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17"/>
        </w:numPr>
        <w:rPr>
          <w:rFonts w:ascii="Arial" w:cs="Arial" w:eastAsia="Arial" w:hAnsi="Arial"/>
          <w:sz w:val="15"/>
          <w:szCs w:val="15"/>
          <w:color w:val="0E191E"/>
        </w:rPr>
      </w:pPr>
      <w:r>
        <w:rPr>
          <w:rFonts w:ascii="Arial" w:cs="Arial" w:eastAsia="Arial" w:hAnsi="Arial"/>
          <w:sz w:val="15"/>
          <w:szCs w:val="15"/>
          <w:color w:val="0E191E"/>
        </w:rPr>
        <w:t>Overseeing the process for evaluating the performance of our board of directors and its committees;</w:t>
      </w:r>
    </w:p>
    <w:p>
      <w:pPr>
        <w:spacing w:after="0" w:line="97" w:lineRule="exact"/>
        <w:rPr>
          <w:rFonts w:ascii="Arial" w:cs="Arial" w:eastAsia="Arial" w:hAnsi="Arial"/>
          <w:sz w:val="15"/>
          <w:szCs w:val="15"/>
          <w:color w:val="0E191E"/>
        </w:rPr>
      </w:pPr>
    </w:p>
    <w:p>
      <w:pPr>
        <w:ind w:left="500" w:right="180" w:hanging="168"/>
        <w:spacing w:after="0" w:line="317" w:lineRule="auto"/>
        <w:tabs>
          <w:tab w:leader="none" w:pos="499" w:val="left"/>
        </w:tabs>
        <w:numPr>
          <w:ilvl w:val="0"/>
          <w:numId w:val="17"/>
        </w:numPr>
        <w:rPr>
          <w:rFonts w:ascii="Arial" w:cs="Arial" w:eastAsia="Arial" w:hAnsi="Arial"/>
          <w:sz w:val="15"/>
          <w:szCs w:val="15"/>
          <w:color w:val="0E191E"/>
        </w:rPr>
      </w:pPr>
      <w:r>
        <w:rPr>
          <w:rFonts w:ascii="Arial" w:cs="Arial" w:eastAsia="Arial" w:hAnsi="Arial"/>
          <w:sz w:val="15"/>
          <w:szCs w:val="15"/>
          <w:color w:val="0E191E"/>
        </w:rPr>
        <w:t>Evaluating the current composition, organization, and governance of our board of directors and its committees, determining future requirements and making recommendations to our board of directors for approval;</w:t>
      </w:r>
    </w:p>
    <w:p>
      <w:pPr>
        <w:spacing w:after="0" w:line="30" w:lineRule="exact"/>
        <w:rPr>
          <w:rFonts w:ascii="Arial" w:cs="Arial" w:eastAsia="Arial" w:hAnsi="Arial"/>
          <w:sz w:val="15"/>
          <w:szCs w:val="15"/>
          <w:color w:val="0E191E"/>
        </w:rPr>
      </w:pPr>
    </w:p>
    <w:p>
      <w:pPr>
        <w:ind w:left="500" w:hanging="168"/>
        <w:spacing w:after="0"/>
        <w:tabs>
          <w:tab w:leader="none" w:pos="500" w:val="left"/>
        </w:tabs>
        <w:numPr>
          <w:ilvl w:val="0"/>
          <w:numId w:val="17"/>
        </w:numPr>
        <w:rPr>
          <w:rFonts w:ascii="Arial" w:cs="Arial" w:eastAsia="Arial" w:hAnsi="Arial"/>
          <w:sz w:val="15"/>
          <w:szCs w:val="15"/>
          <w:color w:val="0E191E"/>
        </w:rPr>
      </w:pPr>
      <w:r>
        <w:rPr>
          <w:rFonts w:ascii="Arial" w:cs="Arial" w:eastAsia="Arial" w:hAnsi="Arial"/>
          <w:sz w:val="15"/>
          <w:szCs w:val="15"/>
          <w:color w:val="0E191E"/>
        </w:rPr>
        <w:t>Reviewing conflicts of interest policies;</w:t>
      </w:r>
    </w:p>
    <w:p>
      <w:pPr>
        <w:spacing w:after="0" w:line="97" w:lineRule="exact"/>
        <w:rPr>
          <w:rFonts w:ascii="Arial" w:cs="Arial" w:eastAsia="Arial" w:hAnsi="Arial"/>
          <w:sz w:val="15"/>
          <w:szCs w:val="15"/>
          <w:color w:val="0E191E"/>
        </w:rPr>
      </w:pPr>
    </w:p>
    <w:p>
      <w:pPr>
        <w:ind w:left="500" w:right="60" w:hanging="168"/>
        <w:spacing w:after="0" w:line="317" w:lineRule="auto"/>
        <w:tabs>
          <w:tab w:leader="none" w:pos="499" w:val="left"/>
        </w:tabs>
        <w:numPr>
          <w:ilvl w:val="0"/>
          <w:numId w:val="17"/>
        </w:numPr>
        <w:rPr>
          <w:rFonts w:ascii="Arial" w:cs="Arial" w:eastAsia="Arial" w:hAnsi="Arial"/>
          <w:sz w:val="15"/>
          <w:szCs w:val="15"/>
          <w:color w:val="0E191E"/>
        </w:rPr>
      </w:pPr>
      <w:r>
        <w:rPr>
          <w:rFonts w:ascii="Arial" w:cs="Arial" w:eastAsia="Arial" w:hAnsi="Arial"/>
          <w:sz w:val="15"/>
          <w:szCs w:val="15"/>
          <w:color w:val="0E191E"/>
        </w:rPr>
        <w:t>Oversight of the Company’s ESG efforts, including reviewing with management the impact of the Company’s business operations and business practices with respect to issues such as environment, diversity, equity, and inclusion, corporate citizenship and community involvement;</w:t>
      </w:r>
    </w:p>
    <w:p>
      <w:pPr>
        <w:spacing w:after="0" w:line="30" w:lineRule="exact"/>
        <w:rPr>
          <w:rFonts w:ascii="Arial" w:cs="Arial" w:eastAsia="Arial" w:hAnsi="Arial"/>
          <w:sz w:val="15"/>
          <w:szCs w:val="15"/>
          <w:color w:val="0E191E"/>
        </w:rPr>
      </w:pPr>
    </w:p>
    <w:p>
      <w:pPr>
        <w:ind w:left="500" w:hanging="168"/>
        <w:spacing w:after="0"/>
        <w:tabs>
          <w:tab w:leader="none" w:pos="500" w:val="left"/>
        </w:tabs>
        <w:numPr>
          <w:ilvl w:val="0"/>
          <w:numId w:val="17"/>
        </w:numPr>
        <w:rPr>
          <w:rFonts w:ascii="Arial" w:cs="Arial" w:eastAsia="Arial" w:hAnsi="Arial"/>
          <w:sz w:val="15"/>
          <w:szCs w:val="15"/>
          <w:color w:val="0E191E"/>
        </w:rPr>
      </w:pPr>
      <w:r>
        <w:rPr>
          <w:rFonts w:ascii="Arial" w:cs="Arial" w:eastAsia="Arial" w:hAnsi="Arial"/>
          <w:sz w:val="15"/>
          <w:szCs w:val="15"/>
          <w:color w:val="0E191E"/>
        </w:rPr>
        <w:t>Oversight of the Company’s Human Capital management; and</w:t>
      </w:r>
    </w:p>
    <w:p>
      <w:pPr>
        <w:spacing w:after="0" w:line="205" w:lineRule="exact"/>
        <w:rPr>
          <w:rFonts w:ascii="Arial" w:cs="Arial" w:eastAsia="Arial" w:hAnsi="Arial"/>
          <w:sz w:val="15"/>
          <w:szCs w:val="15"/>
          <w:color w:val="0E191E"/>
        </w:rPr>
      </w:pPr>
    </w:p>
    <w:p>
      <w:pPr>
        <w:ind w:left="500" w:hanging="168"/>
        <w:spacing w:after="0"/>
        <w:tabs>
          <w:tab w:leader="none" w:pos="500" w:val="left"/>
        </w:tabs>
        <w:numPr>
          <w:ilvl w:val="0"/>
          <w:numId w:val="17"/>
        </w:numPr>
        <w:rPr>
          <w:rFonts w:ascii="Arial" w:cs="Arial" w:eastAsia="Arial" w:hAnsi="Arial"/>
          <w:sz w:val="15"/>
          <w:szCs w:val="15"/>
          <w:color w:val="0E191E"/>
        </w:rPr>
      </w:pPr>
      <w:r>
        <w:rPr>
          <w:rFonts w:ascii="Arial" w:cs="Arial" w:eastAsia="Arial" w:hAnsi="Arial"/>
          <w:sz w:val="15"/>
          <w:szCs w:val="15"/>
          <w:color w:val="0E191E"/>
        </w:rPr>
        <w:t>Annually reviewing and evaluating its performance, including compliance with its charter.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25</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814"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1EB7DF"/>
        </w:rPr>
        <w:t>Risk Committee</w:t>
      </w:r>
    </w:p>
    <w:p>
      <w:pPr>
        <w:spacing w:after="0" w:line="47" w:lineRule="exact"/>
        <w:rPr>
          <w:sz w:val="20"/>
          <w:szCs w:val="20"/>
          <w:color w:val="auto"/>
        </w:rPr>
      </w:pPr>
    </w:p>
    <w:p>
      <w:pPr>
        <w:ind w:right="100"/>
        <w:spacing w:after="0" w:line="317" w:lineRule="auto"/>
        <w:rPr>
          <w:sz w:val="20"/>
          <w:szCs w:val="20"/>
          <w:color w:val="auto"/>
        </w:rPr>
      </w:pPr>
      <w:r>
        <w:rPr>
          <w:rFonts w:ascii="Arial" w:cs="Arial" w:eastAsia="Arial" w:hAnsi="Arial"/>
          <w:sz w:val="15"/>
          <w:szCs w:val="15"/>
          <w:color w:val="0E191E"/>
        </w:rPr>
        <w:t>The Risk Committee ("Risk Committee") was established in September 2019 and met four times in fiscal year 2021. Pursuant to its charter, the Risk Committee may meet as often as may be deemed necessary or appropriate, in its judgment, in order to fulfill its responsibilities, including, among other things:</w:t>
      </w:r>
    </w:p>
    <w:p>
      <w:pPr>
        <w:spacing w:after="0" w:line="84" w:lineRule="exact"/>
        <w:rPr>
          <w:sz w:val="20"/>
          <w:szCs w:val="20"/>
          <w:color w:val="auto"/>
        </w:rPr>
      </w:pPr>
    </w:p>
    <w:p>
      <w:pPr>
        <w:jc w:val="both"/>
        <w:ind w:left="500" w:hanging="168"/>
        <w:spacing w:after="0" w:line="308" w:lineRule="auto"/>
        <w:tabs>
          <w:tab w:leader="none" w:pos="499" w:val="left"/>
        </w:tabs>
        <w:numPr>
          <w:ilvl w:val="0"/>
          <w:numId w:val="18"/>
        </w:numPr>
        <w:rPr>
          <w:rFonts w:ascii="Arial" w:cs="Arial" w:eastAsia="Arial" w:hAnsi="Arial"/>
          <w:sz w:val="15"/>
          <w:szCs w:val="15"/>
          <w:color w:val="0E191E"/>
        </w:rPr>
      </w:pPr>
      <w:r>
        <w:rPr>
          <w:rFonts w:ascii="Arial" w:cs="Arial" w:eastAsia="Arial" w:hAnsi="Arial"/>
          <w:sz w:val="15"/>
          <w:szCs w:val="15"/>
          <w:color w:val="0E191E"/>
        </w:rPr>
        <w:t>Reviewing key risk exposures, including risks related to operations, business continuity, ESG matters, information security, and data management and privacy; the steps the Company has taken to detect, monitor and actively manage such exposures; and the Company’s risk assessment and risk management policies relating to such exposures;</w:t>
      </w:r>
    </w:p>
    <w:p>
      <w:pPr>
        <w:spacing w:after="0" w:line="37" w:lineRule="exact"/>
        <w:rPr>
          <w:rFonts w:ascii="Arial" w:cs="Arial" w:eastAsia="Arial" w:hAnsi="Arial"/>
          <w:sz w:val="15"/>
          <w:szCs w:val="15"/>
          <w:color w:val="0E191E"/>
        </w:rPr>
      </w:pPr>
    </w:p>
    <w:p>
      <w:pPr>
        <w:ind w:left="500" w:hanging="168"/>
        <w:spacing w:after="0"/>
        <w:tabs>
          <w:tab w:leader="none" w:pos="500" w:val="left"/>
        </w:tabs>
        <w:numPr>
          <w:ilvl w:val="0"/>
          <w:numId w:val="18"/>
        </w:numPr>
        <w:rPr>
          <w:rFonts w:ascii="Arial" w:cs="Arial" w:eastAsia="Arial" w:hAnsi="Arial"/>
          <w:sz w:val="15"/>
          <w:szCs w:val="15"/>
          <w:color w:val="0E191E"/>
        </w:rPr>
      </w:pPr>
      <w:r>
        <w:rPr>
          <w:rFonts w:ascii="Arial" w:cs="Arial" w:eastAsia="Arial" w:hAnsi="Arial"/>
          <w:sz w:val="15"/>
          <w:szCs w:val="15"/>
          <w:color w:val="0E191E"/>
        </w:rPr>
        <w:t>Reviewing and discussing with management the tone and culture within the Company regarding such key risks;</w:t>
      </w:r>
    </w:p>
    <w:p>
      <w:pPr>
        <w:spacing w:after="0" w:line="97" w:lineRule="exact"/>
        <w:rPr>
          <w:rFonts w:ascii="Arial" w:cs="Arial" w:eastAsia="Arial" w:hAnsi="Arial"/>
          <w:sz w:val="15"/>
          <w:szCs w:val="15"/>
          <w:color w:val="0E191E"/>
        </w:rPr>
      </w:pPr>
    </w:p>
    <w:p>
      <w:pPr>
        <w:ind w:left="500" w:right="680" w:hanging="168"/>
        <w:spacing w:after="0" w:line="317" w:lineRule="auto"/>
        <w:tabs>
          <w:tab w:leader="none" w:pos="499" w:val="left"/>
        </w:tabs>
        <w:numPr>
          <w:ilvl w:val="0"/>
          <w:numId w:val="18"/>
        </w:numPr>
        <w:rPr>
          <w:rFonts w:ascii="Arial" w:cs="Arial" w:eastAsia="Arial" w:hAnsi="Arial"/>
          <w:sz w:val="15"/>
          <w:szCs w:val="15"/>
          <w:color w:val="0E191E"/>
        </w:rPr>
      </w:pPr>
      <w:r>
        <w:rPr>
          <w:rFonts w:ascii="Arial" w:cs="Arial" w:eastAsia="Arial" w:hAnsi="Arial"/>
          <w:sz w:val="15"/>
          <w:szCs w:val="15"/>
          <w:color w:val="0E191E"/>
        </w:rPr>
        <w:t>Reviewing management actions on significant compliance matters related to such key risks and the Company’s compliance with applicable laws and regulations related to such key risks; and</w:t>
      </w:r>
    </w:p>
    <w:p>
      <w:pPr>
        <w:spacing w:after="0" w:line="30" w:lineRule="exact"/>
        <w:rPr>
          <w:rFonts w:ascii="Arial" w:cs="Arial" w:eastAsia="Arial" w:hAnsi="Arial"/>
          <w:sz w:val="15"/>
          <w:szCs w:val="15"/>
          <w:color w:val="0E191E"/>
        </w:rPr>
      </w:pPr>
    </w:p>
    <w:p>
      <w:pPr>
        <w:ind w:left="500" w:hanging="168"/>
        <w:spacing w:after="0"/>
        <w:tabs>
          <w:tab w:leader="none" w:pos="500" w:val="left"/>
        </w:tabs>
        <w:numPr>
          <w:ilvl w:val="0"/>
          <w:numId w:val="18"/>
        </w:numPr>
        <w:rPr>
          <w:rFonts w:ascii="Arial" w:cs="Arial" w:eastAsia="Arial" w:hAnsi="Arial"/>
          <w:sz w:val="15"/>
          <w:szCs w:val="15"/>
          <w:color w:val="0E191E"/>
        </w:rPr>
      </w:pPr>
      <w:r>
        <w:rPr>
          <w:rFonts w:ascii="Arial" w:cs="Arial" w:eastAsia="Arial" w:hAnsi="Arial"/>
          <w:sz w:val="15"/>
          <w:szCs w:val="15"/>
          <w:color w:val="0E191E"/>
        </w:rPr>
        <w:t>Reviewing reports on selected key risk topics as the Risk Committee deems appropriate.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Consideration of Director Nominees</w:t>
      </w:r>
    </w:p>
    <w:p>
      <w:pPr>
        <w:spacing w:after="0" w:line="145"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b w:val="1"/>
          <w:bCs w:val="1"/>
          <w:i w:val="1"/>
          <w:iCs w:val="1"/>
          <w:color w:val="0E191E"/>
        </w:rPr>
        <w:t xml:space="preserve">Stockholder Nominees. </w:t>
      </w:r>
      <w:r>
        <w:rPr>
          <w:rFonts w:ascii="Arial" w:cs="Arial" w:eastAsia="Arial" w:hAnsi="Arial"/>
          <w:sz w:val="15"/>
          <w:szCs w:val="15"/>
          <w:color w:val="0E191E"/>
        </w:rPr>
        <w:t>Our amended and restated bylaws permit stockholders to nominate directors for consideration at our annual stockholder meeting. For a</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 xml:space="preserve">description of this process, see the section titled </w:t>
      </w:r>
      <w:r>
        <w:rPr>
          <w:rFonts w:ascii="Arial" w:cs="Arial" w:eastAsia="Arial" w:hAnsi="Arial"/>
          <w:sz w:val="15"/>
          <w:szCs w:val="15"/>
          <w:i w:val="1"/>
          <w:iCs w:val="1"/>
          <w:color w:val="0E191E"/>
        </w:rPr>
        <w:t>“Questions and Answers About the Annual Meeting, the Proxy Materials and Voting Your Shares - How can</w:t>
      </w:r>
      <w:r>
        <w:rPr>
          <w:rFonts w:ascii="Arial" w:cs="Arial" w:eastAsia="Arial" w:hAnsi="Arial"/>
          <w:sz w:val="15"/>
          <w:szCs w:val="15"/>
          <w:color w:val="0E191E"/>
        </w:rPr>
        <w:t xml:space="preserve"> </w:t>
      </w:r>
      <w:r>
        <w:rPr>
          <w:rFonts w:ascii="Arial" w:cs="Arial" w:eastAsia="Arial" w:hAnsi="Arial"/>
          <w:sz w:val="15"/>
          <w:szCs w:val="15"/>
          <w:i w:val="1"/>
          <w:iCs w:val="1"/>
          <w:color w:val="0E191E"/>
        </w:rPr>
        <w:t xml:space="preserve">stockholders submit a proposal for inclusion in our proxy statement for the 2022 annual meeting?” </w:t>
      </w:r>
      <w:r>
        <w:rPr>
          <w:rFonts w:ascii="Arial" w:cs="Arial" w:eastAsia="Arial" w:hAnsi="Arial"/>
          <w:sz w:val="15"/>
          <w:szCs w:val="15"/>
          <w:color w:val="0E191E"/>
        </w:rPr>
        <w:t>above. If any materials are provided by a stockholder in connection</w:t>
      </w:r>
      <w:r>
        <w:rPr>
          <w:rFonts w:ascii="Arial" w:cs="Arial" w:eastAsia="Arial" w:hAnsi="Arial"/>
          <w:sz w:val="15"/>
          <w:szCs w:val="15"/>
          <w:i w:val="1"/>
          <w:iCs w:val="1"/>
          <w:color w:val="0E191E"/>
        </w:rPr>
        <w:t xml:space="preserve"> </w:t>
      </w:r>
      <w:r>
        <w:rPr>
          <w:rFonts w:ascii="Arial" w:cs="Arial" w:eastAsia="Arial" w:hAnsi="Arial"/>
          <w:sz w:val="15"/>
          <w:szCs w:val="15"/>
          <w:color w:val="0E191E"/>
        </w:rPr>
        <w:t xml:space="preserve">with the nomination of a director candidate, such materials are forwarded to the NCG Committee. The NCG Committee's policy is to consider properly submitted stockholder nominations. In evaluating all director nominations, the NCG Committee seeks to balance an individual's knowledge, experience and capabilities and compliance with the membership criteria set forth below under the section titled </w:t>
      </w:r>
      <w:r>
        <w:rPr>
          <w:rFonts w:ascii="Arial" w:cs="Arial" w:eastAsia="Arial" w:hAnsi="Arial"/>
          <w:sz w:val="15"/>
          <w:szCs w:val="15"/>
          <w:i w:val="1"/>
          <w:iCs w:val="1"/>
          <w:color w:val="0E191E"/>
        </w:rPr>
        <w:t>“Director Qualifications.”</w:t>
      </w:r>
    </w:p>
    <w:p>
      <w:pPr>
        <w:spacing w:after="0" w:line="146"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b w:val="1"/>
          <w:bCs w:val="1"/>
          <w:i w:val="1"/>
          <w:iCs w:val="1"/>
          <w:color w:val="0E191E"/>
        </w:rPr>
        <w:t xml:space="preserve">Director Qualifications. </w:t>
      </w:r>
      <w:r>
        <w:rPr>
          <w:rFonts w:ascii="Arial" w:cs="Arial" w:eastAsia="Arial" w:hAnsi="Arial"/>
          <w:sz w:val="15"/>
          <w:szCs w:val="15"/>
          <w:color w:val="0E191E"/>
        </w:rPr>
        <w:t>Our corporate governance guidelines apply membership criteria to nominees recommended by the NCG Committee for a position on our</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board of directors. These include judgment, diversity, skills, background, and experience in light of our board of directors' present composition and the current challenges and needs of our board of directors and its committees. The NCG Committee also takes into account the independence, financial literacy, and financial expertise standards required under our corporate governance guidelines and committees' charters and applicable laws and regulations, and the ability of the candidate, in light of the candidate's present activities and our corporate governance guidelines, to devote the necessary time and attention to serving as a director and a committee member. Each director must represent the interests of all stockholders. While we take into account diversity of background, experience, knowledge, and abilities and are committed to diversity, we do not have a formal policy that requires nominees to meet specific criteria.</w:t>
      </w:r>
    </w:p>
    <w:p>
      <w:pPr>
        <w:spacing w:after="0" w:line="128"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b w:val="1"/>
          <w:bCs w:val="1"/>
          <w:i w:val="1"/>
          <w:iCs w:val="1"/>
          <w:color w:val="0E191E"/>
        </w:rPr>
        <w:t xml:space="preserve">Identifying and Evaluating Nominees for Directors. </w:t>
      </w:r>
      <w:r>
        <w:rPr>
          <w:rFonts w:ascii="Arial" w:cs="Arial" w:eastAsia="Arial" w:hAnsi="Arial"/>
          <w:sz w:val="15"/>
          <w:szCs w:val="15"/>
          <w:color w:val="0E191E"/>
        </w:rPr>
        <w:t>The NCG Committee utilizes a variety of methods to identify and evaluate director nominees. The NCG</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Committee plans to assess the appropriate size of our board of directors from time to time and whether any vacancies are expected. In the event that vacancies are anticipated or otherwise arise, the NCG Committee decides whether to fill such vacancies and, if so, considers various potential candidates. Candidates may come to the attention of the NCG Committee through current board of director members, professional search firms engaged by the NCG Committee, stockholders, or others. These candidates may be evaluated at meetings of the NCG Committee and may be considered at any point during the year.</w:t>
      </w:r>
    </w:p>
    <w:p>
      <w:pPr>
        <w:spacing w:after="0" w:line="358"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26</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14"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00739D"/>
        </w:rPr>
        <w:t>Corporate Sustainability and Environmental, Social, and Governance Matters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1EB7DF"/>
        </w:rPr>
        <w:t>Our Consideration of Corporate Sustainability</w:t>
      </w:r>
    </w:p>
    <w:p>
      <w:pPr>
        <w:spacing w:after="0" w:line="47"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0E191E"/>
        </w:rPr>
        <w:t>Our board of directors and ELT recognize the importance of solid governance, environmental stewardship, and social responsibility to our long-term business growth and value creation. We review and consider sustainable business practices and are implementing processes in our operations to effectively manage ESG matters relevant to our business over time.</w:t>
      </w:r>
    </w:p>
    <w:p>
      <w:pPr>
        <w:spacing w:after="0" w:line="146" w:lineRule="exact"/>
        <w:rPr>
          <w:sz w:val="20"/>
          <w:szCs w:val="20"/>
          <w:color w:val="auto"/>
        </w:rPr>
      </w:pPr>
    </w:p>
    <w:p>
      <w:pPr>
        <w:jc w:val="both"/>
        <w:ind w:right="200"/>
        <w:spacing w:after="0" w:line="306" w:lineRule="auto"/>
        <w:rPr>
          <w:sz w:val="20"/>
          <w:szCs w:val="20"/>
          <w:color w:val="auto"/>
        </w:rPr>
      </w:pPr>
      <w:r>
        <w:rPr>
          <w:rFonts w:ascii="Arial" w:cs="Arial" w:eastAsia="Arial" w:hAnsi="Arial"/>
          <w:sz w:val="15"/>
          <w:szCs w:val="15"/>
          <w:color w:val="0E191E"/>
        </w:rPr>
        <w:t xml:space="preserve">We are pleased to have launched our Corporate Sustainability website in September 2020 to communicate our approach and progress of our environmentally and socially responsible business practices, and we are working on an inaugural Sustainability Report. We are leveraging a materiality assessment to identify the most relevant ESG factors as they pertain to our business and stakeholders, including customers, employees, investors, partners, regulators and our communities. For more information, please visit </w:t>
      </w:r>
      <w:r>
        <w:rPr>
          <w:rFonts w:ascii="Arial" w:cs="Arial" w:eastAsia="Arial" w:hAnsi="Arial"/>
          <w:sz w:val="15"/>
          <w:szCs w:val="15"/>
          <w:i w:val="1"/>
          <w:iCs w:val="1"/>
          <w:color w:val="0E191E"/>
        </w:rPr>
        <w:t>www.guidewire.com</w:t>
      </w:r>
      <w:r>
        <w:rPr>
          <w:rFonts w:ascii="Arial" w:cs="Arial" w:eastAsia="Arial" w:hAnsi="Arial"/>
          <w:sz w:val="15"/>
          <w:szCs w:val="15"/>
          <w:color w:val="0E191E"/>
        </w:rPr>
        <w:t xml:space="preserve"> under “About/Corporate Sustainability.”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1EB7DF"/>
        </w:rPr>
        <w:t>Governance of ESG</w:t>
      </w:r>
    </w:p>
    <w:p>
      <w:pPr>
        <w:spacing w:after="0" w:line="47" w:lineRule="exact"/>
        <w:rPr>
          <w:sz w:val="20"/>
          <w:szCs w:val="20"/>
          <w:color w:val="auto"/>
        </w:rPr>
      </w:pPr>
    </w:p>
    <w:p>
      <w:pPr>
        <w:spacing w:after="0" w:line="317" w:lineRule="auto"/>
        <w:rPr>
          <w:sz w:val="20"/>
          <w:szCs w:val="20"/>
          <w:color w:val="auto"/>
        </w:rPr>
      </w:pPr>
      <w:r>
        <w:rPr>
          <w:rFonts w:ascii="Arial" w:cs="Arial" w:eastAsia="Arial" w:hAnsi="Arial"/>
          <w:sz w:val="15"/>
          <w:szCs w:val="15"/>
          <w:color w:val="0E191E"/>
        </w:rPr>
        <w:t>While our entire board of directors engages on ESG matters that impact our business, it has assigned the responsibility to specific board committees to oversee ESG risks and strategy in areas such as the environment, data security, diversity, equity, and inclusion, corporate citizenship and risk management.</w:t>
      </w:r>
    </w:p>
    <w:p>
      <w:pPr>
        <w:spacing w:after="0" w:line="120" w:lineRule="exact"/>
        <w:rPr>
          <w:sz w:val="20"/>
          <w:szCs w:val="20"/>
          <w:color w:val="auto"/>
        </w:rPr>
      </w:pPr>
    </w:p>
    <w:p>
      <w:pPr>
        <w:ind w:left="340" w:right="20" w:hanging="332"/>
        <w:spacing w:after="0" w:line="321" w:lineRule="auto"/>
        <w:tabs>
          <w:tab w:leader="none" w:pos="339" w:val="left"/>
        </w:tabs>
        <w:numPr>
          <w:ilvl w:val="0"/>
          <w:numId w:val="19"/>
        </w:numPr>
        <w:rPr>
          <w:rFonts w:ascii="Arial" w:cs="Arial" w:eastAsia="Arial" w:hAnsi="Arial"/>
          <w:sz w:val="15"/>
          <w:szCs w:val="15"/>
          <w:color w:val="0E191E"/>
        </w:rPr>
      </w:pPr>
      <w:r>
        <w:rPr>
          <w:rFonts w:ascii="Arial" w:cs="Arial" w:eastAsia="Arial" w:hAnsi="Arial"/>
          <w:sz w:val="15"/>
          <w:szCs w:val="15"/>
          <w:color w:val="0E191E"/>
        </w:rPr>
        <w:t xml:space="preserve">The </w:t>
      </w:r>
      <w:r>
        <w:rPr>
          <w:rFonts w:ascii="Arial" w:cs="Arial" w:eastAsia="Arial" w:hAnsi="Arial"/>
          <w:sz w:val="15"/>
          <w:szCs w:val="15"/>
          <w:b w:val="1"/>
          <w:bCs w:val="1"/>
          <w:color w:val="0E191E"/>
        </w:rPr>
        <w:t>NCG Committee,</w:t>
      </w:r>
      <w:r>
        <w:rPr>
          <w:rFonts w:ascii="Arial" w:cs="Arial" w:eastAsia="Arial" w:hAnsi="Arial"/>
          <w:sz w:val="15"/>
          <w:szCs w:val="15"/>
          <w:color w:val="0E191E"/>
        </w:rPr>
        <w:t xml:space="preserve"> in accordance with its charter, exercises primary oversight of our ESG efforts, including monitoring our approach, reviewing our initiatives and targets, and assessing the impact of our operations and business practices. The NCG Committee is responsible for periodically reporting to our board of directors on our ESG programs, including potential long- and short-term trends and the impact of ESG issues on our business.</w:t>
      </w:r>
    </w:p>
    <w:p>
      <w:pPr>
        <w:spacing w:after="0" w:line="117" w:lineRule="exact"/>
        <w:rPr>
          <w:rFonts w:ascii="Arial" w:cs="Arial" w:eastAsia="Arial" w:hAnsi="Arial"/>
          <w:sz w:val="15"/>
          <w:szCs w:val="15"/>
          <w:color w:val="0E191E"/>
        </w:rPr>
      </w:pPr>
    </w:p>
    <w:p>
      <w:pPr>
        <w:jc w:val="both"/>
        <w:ind w:left="340" w:right="120" w:hanging="332"/>
        <w:spacing w:after="0" w:line="342" w:lineRule="auto"/>
        <w:tabs>
          <w:tab w:leader="none" w:pos="339" w:val="left"/>
        </w:tabs>
        <w:numPr>
          <w:ilvl w:val="0"/>
          <w:numId w:val="19"/>
        </w:numPr>
        <w:rPr>
          <w:rFonts w:ascii="Arial" w:cs="Arial" w:eastAsia="Arial" w:hAnsi="Arial"/>
          <w:sz w:val="15"/>
          <w:szCs w:val="15"/>
          <w:color w:val="0E191E"/>
        </w:rPr>
      </w:pPr>
      <w:r>
        <w:rPr>
          <w:rFonts w:ascii="Arial" w:cs="Arial" w:eastAsia="Arial" w:hAnsi="Arial"/>
          <w:sz w:val="15"/>
          <w:szCs w:val="15"/>
          <w:color w:val="0E191E"/>
        </w:rPr>
        <w:t xml:space="preserve">The </w:t>
      </w:r>
      <w:r>
        <w:rPr>
          <w:rFonts w:ascii="Arial" w:cs="Arial" w:eastAsia="Arial" w:hAnsi="Arial"/>
          <w:sz w:val="15"/>
          <w:szCs w:val="15"/>
          <w:b w:val="1"/>
          <w:bCs w:val="1"/>
          <w:color w:val="0E191E"/>
        </w:rPr>
        <w:t>Audit Committee</w:t>
      </w:r>
      <w:r>
        <w:rPr>
          <w:rFonts w:ascii="Arial" w:cs="Arial" w:eastAsia="Arial" w:hAnsi="Arial"/>
          <w:sz w:val="15"/>
          <w:szCs w:val="15"/>
          <w:color w:val="0E191E"/>
        </w:rPr>
        <w:t xml:space="preserve"> is responsible for reviewing with management at least annually the type and presentation of our key ESG disclosures on our website or future Sustainability Reports, or, if applicable, other disclosures, and the adequacy and effectiveness of applicable internal controls related to such disclosures.</w:t>
      </w:r>
    </w:p>
    <w:p>
      <w:pPr>
        <w:spacing w:after="0" w:line="102" w:lineRule="exact"/>
        <w:rPr>
          <w:rFonts w:ascii="Arial" w:cs="Arial" w:eastAsia="Arial" w:hAnsi="Arial"/>
          <w:sz w:val="15"/>
          <w:szCs w:val="15"/>
          <w:color w:val="0E191E"/>
        </w:rPr>
      </w:pPr>
    </w:p>
    <w:p>
      <w:pPr>
        <w:ind w:left="340" w:right="400" w:hanging="332"/>
        <w:spacing w:after="0" w:line="342" w:lineRule="auto"/>
        <w:tabs>
          <w:tab w:leader="none" w:pos="339" w:val="left"/>
        </w:tabs>
        <w:numPr>
          <w:ilvl w:val="0"/>
          <w:numId w:val="19"/>
        </w:numPr>
        <w:rPr>
          <w:rFonts w:ascii="Arial" w:cs="Arial" w:eastAsia="Arial" w:hAnsi="Arial"/>
          <w:sz w:val="15"/>
          <w:szCs w:val="15"/>
          <w:color w:val="0E191E"/>
        </w:rPr>
      </w:pPr>
      <w:r>
        <w:rPr>
          <w:rFonts w:ascii="Arial" w:cs="Arial" w:eastAsia="Arial" w:hAnsi="Arial"/>
          <w:sz w:val="15"/>
          <w:szCs w:val="15"/>
          <w:color w:val="0E191E"/>
        </w:rPr>
        <w:t xml:space="preserve">The </w:t>
      </w:r>
      <w:r>
        <w:rPr>
          <w:rFonts w:ascii="Arial" w:cs="Arial" w:eastAsia="Arial" w:hAnsi="Arial"/>
          <w:sz w:val="15"/>
          <w:szCs w:val="15"/>
          <w:b w:val="1"/>
          <w:bCs w:val="1"/>
          <w:color w:val="0E191E"/>
        </w:rPr>
        <w:t>Compensation Committee</w:t>
      </w:r>
      <w:r>
        <w:rPr>
          <w:rFonts w:ascii="Arial" w:cs="Arial" w:eastAsia="Arial" w:hAnsi="Arial"/>
          <w:sz w:val="15"/>
          <w:szCs w:val="15"/>
          <w:color w:val="0E191E"/>
        </w:rPr>
        <w:t xml:space="preserve"> is tasked with considering our ESG efforts when evaluating executive compensation and impacts on executive officer and employee performance, including reviews with management of our compensation initiatives, policies and disclosures with respect to ESG matters.</w:t>
      </w:r>
    </w:p>
    <w:p>
      <w:pPr>
        <w:spacing w:after="0" w:line="102" w:lineRule="exact"/>
        <w:rPr>
          <w:rFonts w:ascii="Arial" w:cs="Arial" w:eastAsia="Arial" w:hAnsi="Arial"/>
          <w:sz w:val="15"/>
          <w:szCs w:val="15"/>
          <w:color w:val="0E191E"/>
        </w:rPr>
      </w:pPr>
    </w:p>
    <w:p>
      <w:pPr>
        <w:ind w:left="340" w:right="280" w:hanging="332"/>
        <w:spacing w:after="0" w:line="342" w:lineRule="auto"/>
        <w:tabs>
          <w:tab w:leader="none" w:pos="339" w:val="left"/>
        </w:tabs>
        <w:numPr>
          <w:ilvl w:val="0"/>
          <w:numId w:val="19"/>
        </w:numPr>
        <w:rPr>
          <w:rFonts w:ascii="Arial" w:cs="Arial" w:eastAsia="Arial" w:hAnsi="Arial"/>
          <w:sz w:val="15"/>
          <w:szCs w:val="15"/>
          <w:color w:val="0E191E"/>
        </w:rPr>
      </w:pPr>
      <w:r>
        <w:rPr>
          <w:rFonts w:ascii="Arial" w:cs="Arial" w:eastAsia="Arial" w:hAnsi="Arial"/>
          <w:sz w:val="15"/>
          <w:szCs w:val="15"/>
          <w:color w:val="0E191E"/>
        </w:rPr>
        <w:t xml:space="preserve">The </w:t>
      </w:r>
      <w:r>
        <w:rPr>
          <w:rFonts w:ascii="Arial" w:cs="Arial" w:eastAsia="Arial" w:hAnsi="Arial"/>
          <w:sz w:val="15"/>
          <w:szCs w:val="15"/>
          <w:b w:val="1"/>
          <w:bCs w:val="1"/>
          <w:color w:val="0E191E"/>
        </w:rPr>
        <w:t>Risk Committee</w:t>
      </w:r>
      <w:r>
        <w:rPr>
          <w:rFonts w:ascii="Arial" w:cs="Arial" w:eastAsia="Arial" w:hAnsi="Arial"/>
          <w:sz w:val="15"/>
          <w:szCs w:val="15"/>
          <w:color w:val="0E191E"/>
        </w:rPr>
        <w:t xml:space="preserve"> reviews and manages our key risk exposures, including those related to operations, business continuity, information security, and data management and privacy</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0E191E"/>
        </w:rPr>
        <w:t xml:space="preserve">More information on the committees’ charters can be found on our website at </w:t>
      </w:r>
      <w:r>
        <w:rPr>
          <w:rFonts w:ascii="Arial" w:cs="Arial" w:eastAsia="Arial" w:hAnsi="Arial"/>
          <w:sz w:val="15"/>
          <w:szCs w:val="15"/>
          <w:i w:val="1"/>
          <w:iCs w:val="1"/>
          <w:color w:val="0E191E"/>
        </w:rPr>
        <w:t>www.guidewire.com</w:t>
      </w:r>
      <w:r>
        <w:rPr>
          <w:rFonts w:ascii="Arial" w:cs="Arial" w:eastAsia="Arial" w:hAnsi="Arial"/>
          <w:sz w:val="15"/>
          <w:szCs w:val="15"/>
          <w:color w:val="0E191E"/>
        </w:rPr>
        <w:t xml:space="preserve"> under “About/Investor Relations/Corporate Governance.”</w:t>
      </w:r>
    </w:p>
    <w:p>
      <w:pPr>
        <w:spacing w:after="0" w:line="222" w:lineRule="exact"/>
        <w:rPr>
          <w:sz w:val="20"/>
          <w:szCs w:val="20"/>
          <w:color w:val="auto"/>
        </w:rPr>
      </w:pPr>
    </w:p>
    <w:p>
      <w:pPr>
        <w:spacing w:after="0" w:line="303" w:lineRule="auto"/>
        <w:rPr>
          <w:sz w:val="20"/>
          <w:szCs w:val="20"/>
          <w:color w:val="auto"/>
        </w:rPr>
      </w:pPr>
      <w:r>
        <w:rPr>
          <w:rFonts w:ascii="Arial" w:cs="Arial" w:eastAsia="Arial" w:hAnsi="Arial"/>
          <w:sz w:val="15"/>
          <w:szCs w:val="15"/>
          <w:color w:val="0E191E"/>
        </w:rPr>
        <w:t>Our CEO and ELT are accountable for our overall ESG strategic performance and appropriate structures to manage ESG across our business. We have appointed a Head of ESG, a seasoned company executive responsible for leading our integrated strategy and engaging with cross-functional teams and business leaders to ensure appropriate alignment and management of our ESG initiatives. Additionally, we launched a management-level ESG Task Force in June 2021, led by our Head of ESG, that is comprised of leaders representing a broad cross-section within our business, including Finance, Investor Relations, Customer Success, People/DEI, Legal/Compliance, Enterprise/Risk Management, and Information Security. This cross-functional group reports to the NCG Committee and is responsible for our overall ESG program’s strategic development, implementation, and monitoring initiatives. Our ESG Task Force meets at least quarterly, advises on external ESG disclosures, and provides periodic updates to the NCG Committee and ELT.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1EB7DF"/>
        </w:rPr>
        <w:t>Responsible Business Practices</w:t>
      </w:r>
    </w:p>
    <w:p>
      <w:pPr>
        <w:spacing w:after="0" w:line="47" w:lineRule="exact"/>
        <w:rPr>
          <w:sz w:val="20"/>
          <w:szCs w:val="20"/>
          <w:color w:val="auto"/>
        </w:rPr>
      </w:pPr>
    </w:p>
    <w:p>
      <w:pPr>
        <w:ind w:right="580"/>
        <w:spacing w:after="0" w:line="317" w:lineRule="auto"/>
        <w:rPr>
          <w:sz w:val="20"/>
          <w:szCs w:val="20"/>
          <w:color w:val="auto"/>
        </w:rPr>
      </w:pPr>
      <w:r>
        <w:rPr>
          <w:rFonts w:ascii="Arial" w:cs="Arial" w:eastAsia="Arial" w:hAnsi="Arial"/>
          <w:sz w:val="15"/>
          <w:szCs w:val="15"/>
          <w:color w:val="0E191E"/>
        </w:rPr>
        <w:t>We believe that governance and responsible business practices strengthen our long-term success through our core value of integrity, contributing to a strong foundation for our ESG program. We shape this core value into action through our policies and procedures.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E191E"/>
        </w:rPr>
        <w:t>Governance, Trust, and Integrity</w:t>
      </w:r>
    </w:p>
    <w:p>
      <w:pPr>
        <w:spacing w:after="0" w:line="216" w:lineRule="exact"/>
        <w:rPr>
          <w:sz w:val="20"/>
          <w:szCs w:val="20"/>
          <w:color w:val="auto"/>
        </w:rPr>
      </w:pPr>
    </w:p>
    <w:p>
      <w:pPr>
        <w:ind w:right="360"/>
        <w:spacing w:after="0" w:line="306" w:lineRule="auto"/>
        <w:rPr>
          <w:sz w:val="20"/>
          <w:szCs w:val="20"/>
          <w:color w:val="auto"/>
        </w:rPr>
      </w:pPr>
      <w:r>
        <w:rPr>
          <w:rFonts w:ascii="Arial" w:cs="Arial" w:eastAsia="Arial" w:hAnsi="Arial"/>
          <w:sz w:val="15"/>
          <w:szCs w:val="15"/>
          <w:color w:val="0E191E"/>
        </w:rPr>
        <w:t>Our board of directors oversees the implementation of responsible practices consistent with the evolving governance environment. The NCG Committee is responsible for reviewing our corporate governance guidelines from time to time and reporting and making recommendations to our Board concerning corporate governance matters. We have adopted a Code of Business Conduct and Ethics that applies to all of our directors, officers, and employees, including our CEO, principal financial officer, and principal accounting officer. We are not a politically active organization, and we do not contribute to political</w:t>
      </w:r>
    </w:p>
    <w:p>
      <w:pPr>
        <w:spacing w:after="0" w:line="358"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27</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900" w:right="419" w:bottom="1440" w:gutter="0" w:footer="0" w:header="0"/>
        </w:sectPr>
      </w:pPr>
    </w:p>
    <w:bookmarkStart w:id="31" w:name="page32"/>
    <w:bookmarkEnd w:id="31"/>
    <w:p>
      <w:pPr>
        <w:ind w:right="100"/>
        <w:spacing w:after="0" w:line="317" w:lineRule="auto"/>
        <w:rPr>
          <w:sz w:val="20"/>
          <w:szCs w:val="20"/>
          <w:color w:val="auto"/>
        </w:rPr>
      </w:pPr>
      <w:r>
        <w:rPr>
          <w:rFonts w:ascii="Arial" w:cs="Arial" w:eastAsia="Arial" w:hAnsi="Arial"/>
          <w:sz w:val="15"/>
          <w:szCs w:val="15"/>
          <w:color w:val="0E191E"/>
        </w:rPr>
        <w:t xml:space="preserve">campaigns or participate in lobbying efforts. Copies of our Corporate Governance Guidelines and Code of Business Conduct and Ethics can be found on our website at </w:t>
      </w:r>
      <w:r>
        <w:rPr>
          <w:rFonts w:ascii="Arial" w:cs="Arial" w:eastAsia="Arial" w:hAnsi="Arial"/>
          <w:sz w:val="15"/>
          <w:szCs w:val="15"/>
          <w:i w:val="1"/>
          <w:iCs w:val="1"/>
          <w:color w:val="0E191E"/>
        </w:rPr>
        <w:t>www.guidewire.com</w:t>
      </w:r>
      <w:r>
        <w:rPr>
          <w:rFonts w:ascii="Arial" w:cs="Arial" w:eastAsia="Arial" w:hAnsi="Arial"/>
          <w:sz w:val="15"/>
          <w:szCs w:val="15"/>
          <w:color w:val="0E191E"/>
        </w:rPr>
        <w:t xml:space="preserve"> under “About/Investor Relations/Corporate Governance.”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E191E"/>
        </w:rPr>
        <w:t>Information Security and Data Privacy</w:t>
      </w:r>
    </w:p>
    <w:p>
      <w:pPr>
        <w:spacing w:after="0" w:line="108" w:lineRule="exact"/>
        <w:rPr>
          <w:sz w:val="20"/>
          <w:szCs w:val="20"/>
          <w:color w:val="auto"/>
        </w:rPr>
      </w:pPr>
    </w:p>
    <w:p>
      <w:pPr>
        <w:ind w:right="520"/>
        <w:spacing w:after="0" w:line="317" w:lineRule="auto"/>
        <w:rPr>
          <w:sz w:val="20"/>
          <w:szCs w:val="20"/>
          <w:color w:val="auto"/>
        </w:rPr>
      </w:pPr>
      <w:r>
        <w:rPr>
          <w:rFonts w:ascii="Arial" w:cs="Arial" w:eastAsia="Arial" w:hAnsi="Arial"/>
          <w:sz w:val="15"/>
          <w:szCs w:val="15"/>
          <w:color w:val="0E191E"/>
        </w:rPr>
        <w:t>Our board of directors maintains oversight of our security program through its Risk Committee, including any associated guidelines, policies, and processes for monitoring and mitigating risks related to information security.</w:t>
      </w:r>
    </w:p>
    <w:p>
      <w:pPr>
        <w:spacing w:after="0" w:line="138" w:lineRule="exact"/>
        <w:rPr>
          <w:sz w:val="20"/>
          <w:szCs w:val="20"/>
          <w:color w:val="auto"/>
        </w:rPr>
      </w:pPr>
    </w:p>
    <w:p>
      <w:pPr>
        <w:ind w:right="200"/>
        <w:spacing w:after="0" w:line="308" w:lineRule="auto"/>
        <w:rPr>
          <w:sz w:val="20"/>
          <w:szCs w:val="20"/>
          <w:color w:val="auto"/>
        </w:rPr>
      </w:pPr>
      <w:r>
        <w:rPr>
          <w:rFonts w:ascii="Arial" w:cs="Arial" w:eastAsia="Arial" w:hAnsi="Arial"/>
          <w:sz w:val="15"/>
          <w:szCs w:val="15"/>
          <w:color w:val="0E191E"/>
        </w:rPr>
        <w:t>Led by our Chief Information Security Officer and Chief Information Officer, as well as our Privacy, Information Security and Business Technology teams, we are embracing a security- and privacy-first mindset as we continue to grow our teams and invest in the infrastructure, personnel, best practices, and policies required to secure and protect the data entrusted to us.</w:t>
      </w:r>
    </w:p>
    <w:p>
      <w:pPr>
        <w:spacing w:after="0" w:line="146" w:lineRule="exact"/>
        <w:rPr>
          <w:sz w:val="20"/>
          <w:szCs w:val="20"/>
          <w:color w:val="auto"/>
        </w:rPr>
      </w:pPr>
    </w:p>
    <w:p>
      <w:pPr>
        <w:ind w:right="160"/>
        <w:spacing w:after="0" w:line="308" w:lineRule="auto"/>
        <w:rPr>
          <w:sz w:val="20"/>
          <w:szCs w:val="20"/>
          <w:color w:val="auto"/>
        </w:rPr>
      </w:pPr>
      <w:r>
        <w:rPr>
          <w:rFonts w:ascii="Arial" w:cs="Arial" w:eastAsia="Arial" w:hAnsi="Arial"/>
          <w:sz w:val="15"/>
          <w:szCs w:val="15"/>
          <w:color w:val="0E191E"/>
        </w:rPr>
        <w:t>We maintain our ISO 27001 certification and undergo periodic SOC 2 audits to protect and assess our security programs, including the use of third-party information security standards such as the National Institute of Standards and Technology Cybersecurity Framework and the Zero-Trust Architecture. We also commit to transparent privacy principles in our Privacy Policy, including not sharing or selling customer data for marketing, advertising, or other commercial purposes.</w:t>
      </w:r>
    </w:p>
    <w:p>
      <w:pPr>
        <w:spacing w:after="0" w:line="146" w:lineRule="exact"/>
        <w:rPr>
          <w:sz w:val="20"/>
          <w:szCs w:val="20"/>
          <w:color w:val="auto"/>
        </w:rPr>
      </w:pPr>
    </w:p>
    <w:p>
      <w:pPr>
        <w:ind w:right="120"/>
        <w:spacing w:after="0" w:line="317" w:lineRule="auto"/>
        <w:rPr>
          <w:sz w:val="20"/>
          <w:szCs w:val="20"/>
          <w:color w:val="auto"/>
        </w:rPr>
      </w:pPr>
      <w:r>
        <w:rPr>
          <w:rFonts w:ascii="Arial" w:cs="Arial" w:eastAsia="Arial" w:hAnsi="Arial"/>
          <w:sz w:val="15"/>
          <w:szCs w:val="15"/>
          <w:color w:val="0E191E"/>
        </w:rPr>
        <w:t>We outsource our data center needs to a third-party provider, utilizing cloud-based platforms and leveraging physical and data security infrastructure. The provider is required to comply with our third-party vendor and security protocols, in addition to all applicable data privacy laws.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E191E"/>
        </w:rPr>
        <w:t>Business Continuity and Disaster Recovery</w:t>
      </w:r>
    </w:p>
    <w:p>
      <w:pPr>
        <w:spacing w:after="0" w:line="108" w:lineRule="exact"/>
        <w:rPr>
          <w:sz w:val="20"/>
          <w:szCs w:val="20"/>
          <w:color w:val="auto"/>
        </w:rPr>
      </w:pPr>
    </w:p>
    <w:p>
      <w:pPr>
        <w:ind w:right="320"/>
        <w:spacing w:after="0" w:line="317" w:lineRule="auto"/>
        <w:rPr>
          <w:sz w:val="20"/>
          <w:szCs w:val="20"/>
          <w:color w:val="auto"/>
        </w:rPr>
      </w:pPr>
      <w:r>
        <w:rPr>
          <w:rFonts w:ascii="Arial" w:cs="Arial" w:eastAsia="Arial" w:hAnsi="Arial"/>
          <w:sz w:val="15"/>
          <w:szCs w:val="15"/>
          <w:color w:val="0E191E"/>
        </w:rPr>
        <w:t>The Risk Committee assists our Board in its oversight of specific risks related to our operations and business continuity. For additional information, please see the discussion of our Board’s Role in Risk Oversight within this proxy statement.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1EB7DF"/>
        </w:rPr>
        <w:t>Human Capital and Social Impact</w:t>
      </w:r>
    </w:p>
    <w:p>
      <w:pPr>
        <w:spacing w:after="0" w:line="47"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0E191E"/>
        </w:rPr>
        <w:t>Our board of directors governs our human capital management through its Compensation Committee’s consideration and discussion with our executives on the tone and culture within the company. Additionally, the NCG Committee also reviews with our executives the impacts to our business operations and business practices with respect to issues such as diversity, equity, and inclusion, corporate citizenship, and community involvement.</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u w:val="single" w:color="auto"/>
          <w:color w:val="0E191E"/>
        </w:rPr>
        <w:t>Attracting, Developing, and Retaining Employees</w:t>
      </w:r>
    </w:p>
    <w:p>
      <w:pPr>
        <w:spacing w:after="0" w:line="44"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0E191E"/>
        </w:rPr>
        <w:t>Understanding and proactively anticipating the priorities and needs of our current and future employees is important to realizing our mission to be the platform insurers trust to engage, innovate, and grow efficiently. Our recruiting, development, and retention objectives focus on attracting skilled and engaged employees who contribute the talent and diverse perspectives critical to our innovative, forward-looking, and inclusive workforce. Our flexible work policies expand our ability to hire and retain talent in geographies where we do not have physical offices. Fostering career progression by encouraging regular professional education empowers our employees to pursue their professional goals, which is critical to developing and retaining our employees.</w:t>
      </w:r>
    </w:p>
    <w:p>
      <w:pPr>
        <w:spacing w:after="0" w:line="150" w:lineRule="exact"/>
        <w:rPr>
          <w:sz w:val="20"/>
          <w:szCs w:val="20"/>
          <w:color w:val="auto"/>
        </w:rPr>
      </w:pPr>
    </w:p>
    <w:p>
      <w:pPr>
        <w:spacing w:after="0" w:line="308" w:lineRule="auto"/>
        <w:rPr>
          <w:sz w:val="20"/>
          <w:szCs w:val="20"/>
          <w:color w:val="auto"/>
        </w:rPr>
      </w:pPr>
      <w:r>
        <w:rPr>
          <w:rFonts w:ascii="Arial" w:cs="Arial" w:eastAsia="Arial" w:hAnsi="Arial"/>
          <w:sz w:val="15"/>
          <w:szCs w:val="15"/>
          <w:color w:val="0E191E"/>
        </w:rPr>
        <w:t>Our current benefit and wellness programs are designed to drive engagement that positively impacts our culture, job satisfaction, recruiting, and retention. In response to the COVID-19 pandemic, we expanded our physical, mental, and family health programs and informational outreach. We also continue to improve our employee experience through professional development opportunities and personal empowerment, and fair compensation and benefits.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u w:val="single" w:color="auto"/>
          <w:color w:val="0E191E"/>
        </w:rPr>
        <w:t>Diversity, Equity, and Inclusion</w:t>
      </w:r>
    </w:p>
    <w:p>
      <w:pPr>
        <w:spacing w:after="0" w:line="44" w:lineRule="exact"/>
        <w:rPr>
          <w:sz w:val="20"/>
          <w:szCs w:val="20"/>
          <w:color w:val="auto"/>
        </w:rPr>
      </w:pPr>
    </w:p>
    <w:p>
      <w:pPr>
        <w:ind w:right="200"/>
        <w:spacing w:after="0" w:line="308" w:lineRule="auto"/>
        <w:rPr>
          <w:sz w:val="20"/>
          <w:szCs w:val="20"/>
          <w:color w:val="auto"/>
        </w:rPr>
      </w:pPr>
      <w:r>
        <w:rPr>
          <w:rFonts w:ascii="Arial" w:cs="Arial" w:eastAsia="Arial" w:hAnsi="Arial"/>
          <w:sz w:val="15"/>
          <w:szCs w:val="15"/>
          <w:color w:val="0E191E"/>
        </w:rPr>
        <w:t>We are committed to creating an environment that is inclusive and embraces diversity across our global workforce and appointed a Global Head of Diversity, Equity and Inclusion (“DEI”) in December 2020. Our DEI program consists of policies, processes and metrics that align and drive our DEI strategy and long-term success and is built upon three key pillars: establishing inclusive practices, building inclusive partnerships, and providing education and resources.</w:t>
      </w:r>
    </w:p>
    <w:p>
      <w:pPr>
        <w:spacing w:after="0" w:line="146" w:lineRule="exact"/>
        <w:rPr>
          <w:sz w:val="20"/>
          <w:szCs w:val="20"/>
          <w:color w:val="auto"/>
        </w:rPr>
      </w:pPr>
    </w:p>
    <w:p>
      <w:pPr>
        <w:ind w:right="260"/>
        <w:spacing w:after="0" w:line="304" w:lineRule="auto"/>
        <w:rPr>
          <w:sz w:val="20"/>
          <w:szCs w:val="20"/>
          <w:color w:val="auto"/>
        </w:rPr>
      </w:pPr>
      <w:r>
        <w:rPr>
          <w:rFonts w:ascii="Arial" w:cs="Arial" w:eastAsia="Arial" w:hAnsi="Arial"/>
          <w:sz w:val="15"/>
          <w:szCs w:val="15"/>
          <w:color w:val="0E191E"/>
        </w:rPr>
        <w:t>In fiscal year 2021, we established several initiatives to achieve the mission of building an inclusive and belonging company culture where diversity is valued and harnessed so that our employees can contribute their best work. We have broadened the scope of our talent attraction and hiring process to identify more diverse candidates in order to over time create a more diverse global workforce. We have established Employee Resource Groups (“ERGs”), employee-led groups of volunteer individuals with common interests, experiences, backgrounds or demographics such as race/ethnicity, gender, sexual orientation, military status, religion, abilities, and age. We established five ERGs in fiscal year 2021 and plan to add additional ERGs in fiscal year 2022.</w:t>
      </w:r>
    </w:p>
    <w:p>
      <w:pPr>
        <w:spacing w:after="0" w:line="361"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28</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1"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E191E"/>
        </w:rPr>
        <w:t>Community Support and Outreach</w:t>
      </w:r>
    </w:p>
    <w:p>
      <w:pPr>
        <w:spacing w:after="0" w:line="108" w:lineRule="exact"/>
        <w:rPr>
          <w:sz w:val="20"/>
          <w:szCs w:val="20"/>
          <w:color w:val="auto"/>
        </w:rPr>
      </w:pPr>
    </w:p>
    <w:p>
      <w:pPr>
        <w:spacing w:after="0" w:line="308" w:lineRule="auto"/>
        <w:rPr>
          <w:sz w:val="20"/>
          <w:szCs w:val="20"/>
          <w:color w:val="auto"/>
        </w:rPr>
      </w:pPr>
      <w:r>
        <w:rPr>
          <w:rFonts w:ascii="Arial" w:cs="Arial" w:eastAsia="Arial" w:hAnsi="Arial"/>
          <w:sz w:val="15"/>
          <w:szCs w:val="15"/>
          <w:color w:val="0E191E"/>
        </w:rPr>
        <w:t>In fiscal year 2021, we re-launched our Guidewire Gives Back platform to support and empower our employees in their efforts related to employee service and giving. We provide employees the opportunity to support their local causes with volunteer time off accompanied by a donation reward, accessible volunteer opportunities (virtual and in-person), and a financial gift-matching program in furtherance of our efforts to meaningfully engage with our communities.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1EB7DF"/>
        </w:rPr>
        <w:t>Environmental Sustainability</w:t>
      </w:r>
    </w:p>
    <w:p>
      <w:pPr>
        <w:spacing w:after="0" w:line="101"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0E191E"/>
        </w:rPr>
        <w:t>Our board of directors oversees our environmental stewardship through the responsibilities of the NCG Committee, which periodically reviews with our executives the environmental considerations of our business practices, and reports to our board of directors on a periodic basis environmental long- and short-term trends and their potential business impact.</w:t>
      </w:r>
    </w:p>
    <w:p>
      <w:pPr>
        <w:spacing w:after="0" w:line="146" w:lineRule="exact"/>
        <w:rPr>
          <w:sz w:val="20"/>
          <w:szCs w:val="20"/>
          <w:color w:val="auto"/>
        </w:rPr>
      </w:pPr>
    </w:p>
    <w:p>
      <w:pPr>
        <w:jc w:val="both"/>
        <w:ind w:right="140"/>
        <w:spacing w:after="0" w:line="308" w:lineRule="auto"/>
        <w:rPr>
          <w:sz w:val="20"/>
          <w:szCs w:val="20"/>
          <w:color w:val="auto"/>
        </w:rPr>
      </w:pPr>
      <w:r>
        <w:rPr>
          <w:rFonts w:ascii="Arial" w:cs="Arial" w:eastAsia="Arial" w:hAnsi="Arial"/>
          <w:sz w:val="15"/>
          <w:szCs w:val="15"/>
          <w:color w:val="0E191E"/>
        </w:rPr>
        <w:t>We are identifying strategies to reduce our global environmental footprint. As a global company with more than 20 offices around the world, we are working towards minimizing waste and energy consumption, measuring and reducing our emissions, and looking towards optimizing the performance of our buildings through green building standards in office design, construction and operation as part of our overall efforts in respect of corporate sustainability.</w:t>
      </w:r>
    </w:p>
    <w:p>
      <w:pPr>
        <w:spacing w:after="0" w:line="146"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0E191E"/>
        </w:rPr>
        <w:t>In fiscal year 2020, we formed a greenhouse gas (“GHG”) emissions baseline from which we will establish future goals. We continue to improve our GHG accounting methodologies and plan to expand our scope to disclose additional relevant Scope 3 categories as possible in the future. In order to limit our overall carbon footprint, we outsource portions of our operations such as our data centers to third-party data center solutions hosted on cloud-based platforms, which we believe leverage economies-of-scale to reduce carbon emissions and electricity usage.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1EB7DF"/>
        </w:rPr>
        <w:t>No Incorporation by Reference</w:t>
      </w:r>
    </w:p>
    <w:p>
      <w:pPr>
        <w:spacing w:after="0" w:line="47" w:lineRule="exact"/>
        <w:rPr>
          <w:sz w:val="20"/>
          <w:szCs w:val="20"/>
          <w:color w:val="auto"/>
        </w:rPr>
      </w:pPr>
    </w:p>
    <w:p>
      <w:pPr>
        <w:ind w:right="540"/>
        <w:spacing w:after="0" w:line="308" w:lineRule="auto"/>
        <w:rPr>
          <w:sz w:val="20"/>
          <w:szCs w:val="20"/>
          <w:color w:val="auto"/>
        </w:rPr>
      </w:pPr>
      <w:r>
        <w:rPr>
          <w:rFonts w:ascii="Arial" w:cs="Arial" w:eastAsia="Arial" w:hAnsi="Arial"/>
          <w:sz w:val="15"/>
          <w:szCs w:val="15"/>
          <w:color w:val="0E191E"/>
        </w:rPr>
        <w:t>This proxy statement includes several website addresses or references to additional company reports or resources found on those websites. These website addresses are intended to provide inactive, textual references only. The information on these websites, including the information contained in those reports or resources, is not part of this proxy statement and is not incorporated by reference in this proxy statement.</w:t>
      </w:r>
    </w:p>
    <w:p>
      <w:pPr>
        <w:spacing w:after="0" w:line="357"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29</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803" w:right="399" w:bottom="1440" w:gutter="0" w:footer="0" w:header="0"/>
        </w:sectPr>
      </w:pPr>
    </w:p>
    <w:bookmarkStart w:id="33" w:name="page34"/>
    <w:bookmarkEnd w:id="33"/>
    <w:p>
      <w:pPr>
        <w:spacing w:after="0"/>
        <w:rPr>
          <w:sz w:val="20"/>
          <w:szCs w:val="20"/>
          <w:color w:val="auto"/>
        </w:rPr>
      </w:pPr>
      <w:r>
        <w:rPr>
          <w:rFonts w:ascii="Arial" w:cs="Arial" w:eastAsia="Arial" w:hAnsi="Arial"/>
          <w:sz w:val="32"/>
          <w:szCs w:val="32"/>
          <w:b w:val="1"/>
          <w:bCs w:val="1"/>
          <w:color w:val="0E191E"/>
        </w:rPr>
        <w:t>Executive Officers</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0E191E"/>
        </w:rPr>
        <w:t>Our executive officers, and their ages and positions as of October 19, 2021, are set forth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4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w:t>
            </w:r>
          </w:p>
        </w:tc>
        <w:tc>
          <w:tcPr>
            <w:tcW w:w="760" w:type="dxa"/>
            <w:vAlign w:val="bottom"/>
            <w:shd w:val="clear" w:color="auto" w:fill="00739D"/>
          </w:tcPr>
          <w:p>
            <w:pPr>
              <w:jc w:val="center"/>
              <w:ind w:left="113"/>
              <w:spacing w:after="0"/>
              <w:rPr>
                <w:sz w:val="20"/>
                <w:szCs w:val="20"/>
                <w:color w:val="auto"/>
              </w:rPr>
            </w:pPr>
            <w:r>
              <w:rPr>
                <w:rFonts w:ascii="Arial" w:cs="Arial" w:eastAsia="Arial" w:hAnsi="Arial"/>
                <w:sz w:val="13"/>
                <w:szCs w:val="13"/>
                <w:b w:val="1"/>
                <w:bCs w:val="1"/>
                <w:color w:val="FFFFFF"/>
              </w:rPr>
              <w:t>Age</w:t>
            </w:r>
          </w:p>
        </w:tc>
        <w:tc>
          <w:tcPr>
            <w:tcW w:w="5940" w:type="dxa"/>
            <w:vAlign w:val="bottom"/>
            <w:shd w:val="clear" w:color="auto" w:fill="00739D"/>
          </w:tcPr>
          <w:p>
            <w:pPr>
              <w:ind w:left="180"/>
              <w:spacing w:after="0"/>
              <w:rPr>
                <w:sz w:val="20"/>
                <w:szCs w:val="20"/>
                <w:color w:val="auto"/>
              </w:rPr>
            </w:pPr>
            <w:r>
              <w:rPr>
                <w:rFonts w:ascii="Arial" w:cs="Arial" w:eastAsia="Arial" w:hAnsi="Arial"/>
                <w:sz w:val="13"/>
                <w:szCs w:val="13"/>
                <w:b w:val="1"/>
                <w:bCs w:val="1"/>
                <w:color w:val="FFFFFF"/>
              </w:rPr>
              <w:t>Position(s)</w:t>
            </w:r>
          </w:p>
        </w:tc>
      </w:tr>
      <w:tr>
        <w:trPr>
          <w:trHeight w:val="112"/>
        </w:trPr>
        <w:tc>
          <w:tcPr>
            <w:tcW w:w="4540" w:type="dxa"/>
            <w:vAlign w:val="bottom"/>
            <w:shd w:val="clear" w:color="auto" w:fill="00739D"/>
          </w:tcPr>
          <w:p>
            <w:pPr>
              <w:spacing w:after="0"/>
              <w:rPr>
                <w:sz w:val="9"/>
                <w:szCs w:val="9"/>
                <w:color w:val="auto"/>
              </w:rPr>
            </w:pPr>
          </w:p>
        </w:tc>
        <w:tc>
          <w:tcPr>
            <w:tcW w:w="760" w:type="dxa"/>
            <w:vAlign w:val="bottom"/>
            <w:shd w:val="clear" w:color="auto" w:fill="00739D"/>
          </w:tcPr>
          <w:p>
            <w:pPr>
              <w:spacing w:after="0"/>
              <w:rPr>
                <w:sz w:val="9"/>
                <w:szCs w:val="9"/>
                <w:color w:val="auto"/>
              </w:rPr>
            </w:pPr>
          </w:p>
        </w:tc>
        <w:tc>
          <w:tcPr>
            <w:tcW w:w="5940" w:type="dxa"/>
            <w:vAlign w:val="bottom"/>
            <w:shd w:val="clear" w:color="auto" w:fill="00739D"/>
          </w:tcPr>
          <w:p>
            <w:pPr>
              <w:spacing w:after="0"/>
              <w:rPr>
                <w:sz w:val="9"/>
                <w:szCs w:val="9"/>
                <w:color w:val="auto"/>
              </w:rPr>
            </w:pPr>
          </w:p>
        </w:tc>
      </w:tr>
      <w:tr>
        <w:trPr>
          <w:trHeight w:val="188"/>
        </w:trPr>
        <w:tc>
          <w:tcPr>
            <w:tcW w:w="4540" w:type="dxa"/>
            <w:vAlign w:val="bottom"/>
          </w:tcPr>
          <w:p>
            <w:pPr>
              <w:ind w:left="100"/>
              <w:spacing w:after="0"/>
              <w:rPr>
                <w:sz w:val="20"/>
                <w:szCs w:val="20"/>
                <w:color w:val="auto"/>
              </w:rPr>
            </w:pPr>
            <w:r>
              <w:rPr>
                <w:rFonts w:ascii="Arial" w:cs="Arial" w:eastAsia="Arial" w:hAnsi="Arial"/>
                <w:sz w:val="13"/>
                <w:szCs w:val="13"/>
                <w:b w:val="1"/>
                <w:bCs w:val="1"/>
                <w:color w:val="0E191E"/>
              </w:rPr>
              <w:t>Mike Rosenbaum</w:t>
            </w:r>
          </w:p>
        </w:tc>
        <w:tc>
          <w:tcPr>
            <w:tcW w:w="760" w:type="dxa"/>
            <w:vAlign w:val="bottom"/>
          </w:tcPr>
          <w:p>
            <w:pPr>
              <w:jc w:val="center"/>
              <w:ind w:left="93"/>
              <w:spacing w:after="0"/>
              <w:rPr>
                <w:sz w:val="20"/>
                <w:szCs w:val="20"/>
                <w:color w:val="auto"/>
              </w:rPr>
            </w:pPr>
            <w:r>
              <w:rPr>
                <w:rFonts w:ascii="Arial" w:cs="Arial" w:eastAsia="Arial" w:hAnsi="Arial"/>
                <w:sz w:val="13"/>
                <w:szCs w:val="13"/>
                <w:color w:val="0E191E"/>
              </w:rPr>
              <w:t>50</w:t>
            </w:r>
          </w:p>
        </w:tc>
        <w:tc>
          <w:tcPr>
            <w:tcW w:w="5940" w:type="dxa"/>
            <w:vAlign w:val="bottom"/>
          </w:tcPr>
          <w:p>
            <w:pPr>
              <w:ind w:left="180"/>
              <w:spacing w:after="0"/>
              <w:rPr>
                <w:sz w:val="20"/>
                <w:szCs w:val="20"/>
                <w:color w:val="auto"/>
              </w:rPr>
            </w:pPr>
            <w:r>
              <w:rPr>
                <w:rFonts w:ascii="Arial" w:cs="Arial" w:eastAsia="Arial" w:hAnsi="Arial"/>
                <w:sz w:val="13"/>
                <w:szCs w:val="13"/>
                <w:color w:val="0E191E"/>
              </w:rPr>
              <w:t>Chief Executive Officer</w:t>
            </w:r>
          </w:p>
        </w:tc>
      </w:tr>
      <w:tr>
        <w:trPr>
          <w:trHeight w:val="28"/>
        </w:trPr>
        <w:tc>
          <w:tcPr>
            <w:tcW w:w="4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940" w:type="dxa"/>
            <w:vAlign w:val="bottom"/>
          </w:tcPr>
          <w:p>
            <w:pPr>
              <w:spacing w:after="0"/>
              <w:rPr>
                <w:sz w:val="2"/>
                <w:szCs w:val="2"/>
                <w:color w:val="auto"/>
              </w:rPr>
            </w:pPr>
          </w:p>
        </w:tc>
      </w:tr>
      <w:tr>
        <w:trPr>
          <w:trHeight w:val="196"/>
        </w:trPr>
        <w:tc>
          <w:tcPr>
            <w:tcW w:w="4540" w:type="dxa"/>
            <w:vAlign w:val="bottom"/>
            <w:tcBorders>
              <w:bottom w:val="single" w:sz="8" w:color="E7F1F5"/>
            </w:tcBorders>
            <w:shd w:val="clear" w:color="auto" w:fill="E7F1F5"/>
          </w:tcPr>
          <w:p>
            <w:pPr>
              <w:ind w:left="100"/>
              <w:spacing w:after="0"/>
              <w:rPr>
                <w:sz w:val="20"/>
                <w:szCs w:val="20"/>
                <w:color w:val="auto"/>
              </w:rPr>
            </w:pPr>
            <w:r>
              <w:rPr>
                <w:rFonts w:ascii="Arial" w:cs="Arial" w:eastAsia="Arial" w:hAnsi="Arial"/>
                <w:sz w:val="13"/>
                <w:szCs w:val="13"/>
                <w:b w:val="1"/>
                <w:bCs w:val="1"/>
                <w:color w:val="0E191E"/>
              </w:rPr>
              <w:t>Jeff Cooper</w:t>
            </w:r>
          </w:p>
        </w:tc>
        <w:tc>
          <w:tcPr>
            <w:tcW w:w="760" w:type="dxa"/>
            <w:vAlign w:val="bottom"/>
            <w:tcBorders>
              <w:bottom w:val="single" w:sz="8" w:color="E7F1F5"/>
            </w:tcBorders>
            <w:shd w:val="clear" w:color="auto" w:fill="E7F1F5"/>
          </w:tcPr>
          <w:p>
            <w:pPr>
              <w:jc w:val="center"/>
              <w:ind w:left="93"/>
              <w:spacing w:after="0"/>
              <w:rPr>
                <w:sz w:val="20"/>
                <w:szCs w:val="20"/>
                <w:color w:val="auto"/>
              </w:rPr>
            </w:pPr>
            <w:r>
              <w:rPr>
                <w:rFonts w:ascii="Arial" w:cs="Arial" w:eastAsia="Arial" w:hAnsi="Arial"/>
                <w:sz w:val="13"/>
                <w:szCs w:val="13"/>
                <w:color w:val="0E191E"/>
              </w:rPr>
              <w:t>45</w:t>
            </w:r>
          </w:p>
        </w:tc>
        <w:tc>
          <w:tcPr>
            <w:tcW w:w="5940" w:type="dxa"/>
            <w:vAlign w:val="bottom"/>
            <w:tcBorders>
              <w:bottom w:val="single" w:sz="8" w:color="E7F1F5"/>
            </w:tcBorders>
            <w:shd w:val="clear" w:color="auto" w:fill="E7F1F5"/>
          </w:tcPr>
          <w:p>
            <w:pPr>
              <w:ind w:left="180"/>
              <w:spacing w:after="0"/>
              <w:rPr>
                <w:sz w:val="20"/>
                <w:szCs w:val="20"/>
                <w:color w:val="auto"/>
              </w:rPr>
            </w:pPr>
            <w:r>
              <w:rPr>
                <w:rFonts w:ascii="Arial" w:cs="Arial" w:eastAsia="Arial" w:hAnsi="Arial"/>
                <w:sz w:val="13"/>
                <w:szCs w:val="13"/>
                <w:color w:val="0E191E"/>
              </w:rPr>
              <w:t>Chief Financial Officer</w:t>
            </w:r>
          </w:p>
        </w:tc>
      </w:tr>
      <w:tr>
        <w:trPr>
          <w:trHeight w:val="188"/>
        </w:trPr>
        <w:tc>
          <w:tcPr>
            <w:tcW w:w="4540" w:type="dxa"/>
            <w:vAlign w:val="bottom"/>
          </w:tcPr>
          <w:p>
            <w:pPr>
              <w:ind w:left="100"/>
              <w:spacing w:after="0"/>
              <w:rPr>
                <w:sz w:val="20"/>
                <w:szCs w:val="20"/>
                <w:color w:val="auto"/>
              </w:rPr>
            </w:pPr>
            <w:r>
              <w:rPr>
                <w:rFonts w:ascii="Arial" w:cs="Arial" w:eastAsia="Arial" w:hAnsi="Arial"/>
                <w:sz w:val="13"/>
                <w:szCs w:val="13"/>
                <w:b w:val="1"/>
                <w:bCs w:val="1"/>
                <w:color w:val="0E191E"/>
              </w:rPr>
              <w:t>Priscilla Hung</w:t>
            </w:r>
          </w:p>
        </w:tc>
        <w:tc>
          <w:tcPr>
            <w:tcW w:w="760" w:type="dxa"/>
            <w:vAlign w:val="bottom"/>
          </w:tcPr>
          <w:p>
            <w:pPr>
              <w:jc w:val="center"/>
              <w:ind w:left="93"/>
              <w:spacing w:after="0"/>
              <w:rPr>
                <w:sz w:val="20"/>
                <w:szCs w:val="20"/>
                <w:color w:val="auto"/>
              </w:rPr>
            </w:pPr>
            <w:r>
              <w:rPr>
                <w:rFonts w:ascii="Arial" w:cs="Arial" w:eastAsia="Arial" w:hAnsi="Arial"/>
                <w:sz w:val="13"/>
                <w:szCs w:val="13"/>
                <w:color w:val="0E191E"/>
              </w:rPr>
              <w:t>54</w:t>
            </w:r>
          </w:p>
        </w:tc>
        <w:tc>
          <w:tcPr>
            <w:tcW w:w="5940" w:type="dxa"/>
            <w:vAlign w:val="bottom"/>
          </w:tcPr>
          <w:p>
            <w:pPr>
              <w:ind w:left="180"/>
              <w:spacing w:after="0"/>
              <w:rPr>
                <w:sz w:val="20"/>
                <w:szCs w:val="20"/>
                <w:color w:val="auto"/>
              </w:rPr>
            </w:pPr>
            <w:r>
              <w:rPr>
                <w:rFonts w:ascii="Arial" w:cs="Arial" w:eastAsia="Arial" w:hAnsi="Arial"/>
                <w:sz w:val="13"/>
                <w:szCs w:val="13"/>
                <w:color w:val="0E191E"/>
              </w:rPr>
              <w:t>President and Chief Operating Officer</w:t>
            </w:r>
          </w:p>
        </w:tc>
      </w:tr>
      <w:tr>
        <w:trPr>
          <w:trHeight w:val="28"/>
        </w:trPr>
        <w:tc>
          <w:tcPr>
            <w:tcW w:w="4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940" w:type="dxa"/>
            <w:vAlign w:val="bottom"/>
          </w:tcPr>
          <w:p>
            <w:pPr>
              <w:spacing w:after="0"/>
              <w:rPr>
                <w:sz w:val="2"/>
                <w:szCs w:val="2"/>
                <w:color w:val="auto"/>
              </w:rPr>
            </w:pPr>
          </w:p>
        </w:tc>
      </w:tr>
      <w:tr>
        <w:trPr>
          <w:trHeight w:val="196"/>
        </w:trPr>
        <w:tc>
          <w:tcPr>
            <w:tcW w:w="4540" w:type="dxa"/>
            <w:vAlign w:val="bottom"/>
            <w:tcBorders>
              <w:bottom w:val="single" w:sz="8" w:color="E7F1F5"/>
            </w:tcBorders>
            <w:shd w:val="clear" w:color="auto" w:fill="E7F1F5"/>
          </w:tcPr>
          <w:p>
            <w:pPr>
              <w:ind w:left="100"/>
              <w:spacing w:after="0"/>
              <w:rPr>
                <w:sz w:val="20"/>
                <w:szCs w:val="20"/>
                <w:color w:val="auto"/>
              </w:rPr>
            </w:pPr>
            <w:r>
              <w:rPr>
                <w:rFonts w:ascii="Arial" w:cs="Arial" w:eastAsia="Arial" w:hAnsi="Arial"/>
                <w:sz w:val="13"/>
                <w:szCs w:val="13"/>
                <w:b w:val="1"/>
                <w:bCs w:val="1"/>
                <w:color w:val="0E191E"/>
              </w:rPr>
              <w:t>James Winston King</w:t>
            </w:r>
          </w:p>
        </w:tc>
        <w:tc>
          <w:tcPr>
            <w:tcW w:w="760" w:type="dxa"/>
            <w:vAlign w:val="bottom"/>
            <w:tcBorders>
              <w:bottom w:val="single" w:sz="8" w:color="E7F1F5"/>
            </w:tcBorders>
            <w:shd w:val="clear" w:color="auto" w:fill="E7F1F5"/>
          </w:tcPr>
          <w:p>
            <w:pPr>
              <w:jc w:val="center"/>
              <w:ind w:left="93"/>
              <w:spacing w:after="0"/>
              <w:rPr>
                <w:sz w:val="20"/>
                <w:szCs w:val="20"/>
                <w:color w:val="auto"/>
              </w:rPr>
            </w:pPr>
            <w:r>
              <w:rPr>
                <w:rFonts w:ascii="Arial" w:cs="Arial" w:eastAsia="Arial" w:hAnsi="Arial"/>
                <w:sz w:val="13"/>
                <w:szCs w:val="13"/>
                <w:color w:val="0E191E"/>
              </w:rPr>
              <w:t>50</w:t>
            </w:r>
          </w:p>
        </w:tc>
        <w:tc>
          <w:tcPr>
            <w:tcW w:w="5940" w:type="dxa"/>
            <w:vAlign w:val="bottom"/>
            <w:tcBorders>
              <w:bottom w:val="single" w:sz="8" w:color="E7F1F5"/>
            </w:tcBorders>
            <w:shd w:val="clear" w:color="auto" w:fill="E7F1F5"/>
          </w:tcPr>
          <w:p>
            <w:pPr>
              <w:ind w:left="180"/>
              <w:spacing w:after="0"/>
              <w:rPr>
                <w:sz w:val="20"/>
                <w:szCs w:val="20"/>
                <w:color w:val="auto"/>
              </w:rPr>
            </w:pPr>
            <w:r>
              <w:rPr>
                <w:rFonts w:ascii="Arial" w:cs="Arial" w:eastAsia="Arial" w:hAnsi="Arial"/>
                <w:sz w:val="13"/>
                <w:szCs w:val="13"/>
                <w:color w:val="0E191E"/>
              </w:rPr>
              <w:t>Chief Administrative Officer, General Counsel and Secretary</w:t>
            </w:r>
          </w:p>
        </w:tc>
      </w:tr>
      <w:tr>
        <w:trPr>
          <w:trHeight w:val="188"/>
        </w:trPr>
        <w:tc>
          <w:tcPr>
            <w:tcW w:w="4540" w:type="dxa"/>
            <w:vAlign w:val="bottom"/>
          </w:tcPr>
          <w:p>
            <w:pPr>
              <w:ind w:left="100"/>
              <w:spacing w:after="0"/>
              <w:rPr>
                <w:sz w:val="20"/>
                <w:szCs w:val="20"/>
                <w:color w:val="auto"/>
              </w:rPr>
            </w:pPr>
            <w:r>
              <w:rPr>
                <w:rFonts w:ascii="Arial" w:cs="Arial" w:eastAsia="Arial" w:hAnsi="Arial"/>
                <w:sz w:val="13"/>
                <w:szCs w:val="13"/>
                <w:b w:val="1"/>
                <w:bCs w:val="1"/>
                <w:color w:val="0E191E"/>
              </w:rPr>
              <w:t>Michael Polelle</w:t>
            </w:r>
          </w:p>
        </w:tc>
        <w:tc>
          <w:tcPr>
            <w:tcW w:w="760" w:type="dxa"/>
            <w:vAlign w:val="bottom"/>
          </w:tcPr>
          <w:p>
            <w:pPr>
              <w:jc w:val="center"/>
              <w:ind w:left="93"/>
              <w:spacing w:after="0"/>
              <w:rPr>
                <w:sz w:val="20"/>
                <w:szCs w:val="20"/>
                <w:color w:val="auto"/>
              </w:rPr>
            </w:pPr>
            <w:r>
              <w:rPr>
                <w:rFonts w:ascii="Arial" w:cs="Arial" w:eastAsia="Arial" w:hAnsi="Arial"/>
                <w:sz w:val="13"/>
                <w:szCs w:val="13"/>
                <w:color w:val="0E191E"/>
              </w:rPr>
              <w:t>57</w:t>
            </w:r>
          </w:p>
        </w:tc>
        <w:tc>
          <w:tcPr>
            <w:tcW w:w="5940" w:type="dxa"/>
            <w:vAlign w:val="bottom"/>
          </w:tcPr>
          <w:p>
            <w:pPr>
              <w:ind w:left="180"/>
              <w:spacing w:after="0"/>
              <w:rPr>
                <w:sz w:val="20"/>
                <w:szCs w:val="20"/>
                <w:color w:val="auto"/>
              </w:rPr>
            </w:pPr>
            <w:r>
              <w:rPr>
                <w:rFonts w:ascii="Arial" w:cs="Arial" w:eastAsia="Arial" w:hAnsi="Arial"/>
                <w:sz w:val="13"/>
                <w:szCs w:val="13"/>
                <w:color w:val="0E191E"/>
              </w:rPr>
              <w:t>Chief Delivery Officer</w:t>
            </w:r>
          </w:p>
        </w:tc>
      </w:tr>
      <w:tr>
        <w:trPr>
          <w:trHeight w:val="28"/>
        </w:trPr>
        <w:tc>
          <w:tcPr>
            <w:tcW w:w="4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940" w:type="dxa"/>
            <w:vAlign w:val="bottom"/>
          </w:tcPr>
          <w:p>
            <w:pPr>
              <w:spacing w:after="0"/>
              <w:rPr>
                <w:sz w:val="2"/>
                <w:szCs w:val="2"/>
                <w:color w:val="auto"/>
              </w:rPr>
            </w:pPr>
          </w:p>
        </w:tc>
      </w:tr>
      <w:tr>
        <w:trPr>
          <w:trHeight w:val="196"/>
        </w:trPr>
        <w:tc>
          <w:tcPr>
            <w:tcW w:w="4540" w:type="dxa"/>
            <w:vAlign w:val="bottom"/>
            <w:tcBorders>
              <w:bottom w:val="single" w:sz="8" w:color="E7F1F5"/>
            </w:tcBorders>
            <w:shd w:val="clear" w:color="auto" w:fill="E7F1F5"/>
          </w:tcPr>
          <w:p>
            <w:pPr>
              <w:ind w:left="100"/>
              <w:spacing w:after="0"/>
              <w:rPr>
                <w:sz w:val="20"/>
                <w:szCs w:val="20"/>
                <w:color w:val="auto"/>
              </w:rPr>
            </w:pPr>
            <w:r>
              <w:rPr>
                <w:rFonts w:ascii="Arial" w:cs="Arial" w:eastAsia="Arial" w:hAnsi="Arial"/>
                <w:sz w:val="13"/>
                <w:szCs w:val="13"/>
                <w:b w:val="1"/>
                <w:bCs w:val="1"/>
                <w:color w:val="0E191E"/>
              </w:rPr>
              <w:t>Frank O'Dowd</w:t>
            </w:r>
          </w:p>
        </w:tc>
        <w:tc>
          <w:tcPr>
            <w:tcW w:w="760" w:type="dxa"/>
            <w:vAlign w:val="bottom"/>
            <w:tcBorders>
              <w:bottom w:val="single" w:sz="8" w:color="E7F1F5"/>
            </w:tcBorders>
            <w:shd w:val="clear" w:color="auto" w:fill="E7F1F5"/>
          </w:tcPr>
          <w:p>
            <w:pPr>
              <w:jc w:val="center"/>
              <w:ind w:left="93"/>
              <w:spacing w:after="0"/>
              <w:rPr>
                <w:sz w:val="20"/>
                <w:szCs w:val="20"/>
                <w:color w:val="auto"/>
              </w:rPr>
            </w:pPr>
            <w:r>
              <w:rPr>
                <w:rFonts w:ascii="Arial" w:cs="Arial" w:eastAsia="Arial" w:hAnsi="Arial"/>
                <w:sz w:val="13"/>
                <w:szCs w:val="13"/>
                <w:color w:val="0E191E"/>
              </w:rPr>
              <w:t>54</w:t>
            </w:r>
          </w:p>
        </w:tc>
        <w:tc>
          <w:tcPr>
            <w:tcW w:w="5940" w:type="dxa"/>
            <w:vAlign w:val="bottom"/>
            <w:tcBorders>
              <w:bottom w:val="single" w:sz="8" w:color="E7F1F5"/>
            </w:tcBorders>
            <w:shd w:val="clear" w:color="auto" w:fill="E7F1F5"/>
          </w:tcPr>
          <w:p>
            <w:pPr>
              <w:ind w:left="180"/>
              <w:spacing w:after="0"/>
              <w:rPr>
                <w:sz w:val="20"/>
                <w:szCs w:val="20"/>
                <w:color w:val="auto"/>
              </w:rPr>
            </w:pPr>
            <w:r>
              <w:rPr>
                <w:rFonts w:ascii="Arial" w:cs="Arial" w:eastAsia="Arial" w:hAnsi="Arial"/>
                <w:sz w:val="13"/>
                <w:szCs w:val="13"/>
                <w:color w:val="0E191E"/>
              </w:rPr>
              <w:t>Chief Sales Officer</w:t>
            </w:r>
          </w:p>
        </w:tc>
      </w:tr>
      <w:tr>
        <w:trPr>
          <w:trHeight w:val="20"/>
        </w:trPr>
        <w:tc>
          <w:tcPr>
            <w:tcW w:w="45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b w:val="1"/>
          <w:bCs w:val="1"/>
          <w:color w:val="00739D"/>
        </w:rPr>
        <w:t xml:space="preserve">Mike Rosenbaum. </w:t>
      </w:r>
      <w:r>
        <w:rPr>
          <w:rFonts w:ascii="Arial" w:cs="Arial" w:eastAsia="Arial" w:hAnsi="Arial"/>
          <w:sz w:val="15"/>
          <w:szCs w:val="15"/>
          <w:color w:val="0E191E"/>
        </w:rPr>
        <w:t>See the section titled "Proposal One: Election of Directors" for Mr. Rosenbaum's biographical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264160</wp:posOffset>
            </wp:positionV>
            <wp:extent cx="1371600" cy="1371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3880" w:right="40"/>
        <w:spacing w:after="0" w:line="306" w:lineRule="auto"/>
        <w:rPr>
          <w:sz w:val="20"/>
          <w:szCs w:val="20"/>
          <w:color w:val="auto"/>
        </w:rPr>
      </w:pPr>
      <w:r>
        <w:rPr>
          <w:rFonts w:ascii="Arial" w:cs="Arial" w:eastAsia="Arial" w:hAnsi="Arial"/>
          <w:sz w:val="15"/>
          <w:szCs w:val="15"/>
          <w:b w:val="1"/>
          <w:bCs w:val="1"/>
          <w:color w:val="00739D"/>
        </w:rPr>
        <w:t xml:space="preserve">Jeff Cooper </w:t>
      </w:r>
      <w:r>
        <w:rPr>
          <w:rFonts w:ascii="Arial" w:cs="Arial" w:eastAsia="Arial" w:hAnsi="Arial"/>
          <w:sz w:val="15"/>
          <w:szCs w:val="15"/>
          <w:color w:val="0E191E"/>
        </w:rPr>
        <w:t>has served as our Chief Financial Officer since June 2020. Mr. Cooper had previously served</w:t>
      </w:r>
      <w:r>
        <w:rPr>
          <w:rFonts w:ascii="Arial" w:cs="Arial" w:eastAsia="Arial" w:hAnsi="Arial"/>
          <w:sz w:val="15"/>
          <w:szCs w:val="15"/>
          <w:b w:val="1"/>
          <w:bCs w:val="1"/>
          <w:color w:val="00739D"/>
        </w:rPr>
        <w:t xml:space="preserve"> </w:t>
      </w:r>
      <w:r>
        <w:rPr>
          <w:rFonts w:ascii="Arial" w:cs="Arial" w:eastAsia="Arial" w:hAnsi="Arial"/>
          <w:sz w:val="15"/>
          <w:szCs w:val="15"/>
          <w:color w:val="0E191E"/>
        </w:rPr>
        <w:t>as interim Chief Financial Officer since March 5, 2020 and, prior to that, served as the Company’s Vice President of Finance since 2017. Prior to joining the Company, Mr. Cooper served as Chief Financial Officer of GoodData, a cloud-based data and analytics platform company, from 2016 to 2017. From 2013 to 2016, Mr. Cooper served as Vice President, Finance for Rally Software, a publicly traded cloud-based application lifecycle management software company. Prior to that, Mr. Cooper was a Vice President focusing on the software industry in the investment banking division of Deutsche Bank Securities. Mr. Cooper holds a B.A. in Political Science from Princeton University and an M.B.A. degree from the London Business School.</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0"/>
        <w:spacing w:after="0"/>
        <w:rPr>
          <w:sz w:val="20"/>
          <w:szCs w:val="20"/>
          <w:color w:val="auto"/>
        </w:rPr>
      </w:pPr>
      <w:r>
        <w:rPr>
          <w:rFonts w:ascii="Arial" w:cs="Arial" w:eastAsia="Arial" w:hAnsi="Arial"/>
          <w:sz w:val="32"/>
          <w:szCs w:val="32"/>
          <w:b w:val="1"/>
          <w:bCs w:val="1"/>
          <w:color w:val="0E191E"/>
        </w:rPr>
        <w:t>Jeff Cooper</w:t>
      </w:r>
    </w:p>
    <w:p>
      <w:pPr>
        <w:spacing w:after="0" w:line="56"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0E191E"/>
        </w:rPr>
        <w:t>Age: 45</w:t>
      </w:r>
    </w:p>
    <w:p>
      <w:pPr>
        <w:spacing w:after="0" w:line="12"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0E191E"/>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221615</wp:posOffset>
            </wp:positionV>
            <wp:extent cx="68408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469900</wp:posOffset>
            </wp:positionV>
            <wp:extent cx="1371600" cy="1371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880" w:right="40"/>
        <w:spacing w:after="0" w:line="305" w:lineRule="auto"/>
        <w:rPr>
          <w:sz w:val="20"/>
          <w:szCs w:val="20"/>
          <w:color w:val="auto"/>
        </w:rPr>
      </w:pPr>
      <w:r>
        <w:rPr>
          <w:rFonts w:ascii="Arial" w:cs="Arial" w:eastAsia="Arial" w:hAnsi="Arial"/>
          <w:sz w:val="15"/>
          <w:szCs w:val="15"/>
          <w:b w:val="1"/>
          <w:bCs w:val="1"/>
          <w:color w:val="00739D"/>
        </w:rPr>
        <w:t xml:space="preserve">Priscilla Hung </w:t>
      </w:r>
      <w:r>
        <w:rPr>
          <w:rFonts w:ascii="Arial" w:cs="Arial" w:eastAsia="Arial" w:hAnsi="Arial"/>
          <w:sz w:val="15"/>
          <w:szCs w:val="15"/>
          <w:color w:val="0E191E"/>
        </w:rPr>
        <w:t>has served as our President since June 2020 and Chief Operating Officer since June 2017.</w:t>
      </w:r>
      <w:r>
        <w:rPr>
          <w:rFonts w:ascii="Arial" w:cs="Arial" w:eastAsia="Arial" w:hAnsi="Arial"/>
          <w:sz w:val="15"/>
          <w:szCs w:val="15"/>
          <w:b w:val="1"/>
          <w:bCs w:val="1"/>
          <w:color w:val="00739D"/>
        </w:rPr>
        <w:t xml:space="preserve"> </w:t>
      </w:r>
      <w:r>
        <w:rPr>
          <w:rFonts w:ascii="Arial" w:cs="Arial" w:eastAsia="Arial" w:hAnsi="Arial"/>
          <w:sz w:val="15"/>
          <w:szCs w:val="15"/>
          <w:color w:val="0E191E"/>
        </w:rPr>
        <w:t>She also served as our Chief Administrative Officer from September 2014 to June 2017, our Senior Vice President of Operations &amp; Corporate Development from September 2012 to September 2014, our Vice President of Operations from 2010 to 2012, and our Vice President of Corporate Development &amp; Alliances from 2005 to 2010. Ms. Hung is currently a member of the board of directors of Vonage Holdings Corp., a publicly traded cloud communications provider. Prior to joining Guidewire, from 2000 to 2005, Ms. Hung held several management positions at Ariba Inc., including the Director of Operations and Director of Global Channels and Alliances. Ms. Hung holds an M.Eng. Degree in Industrial Engineering and Operations Research from Cornell University.</w:t>
      </w:r>
    </w:p>
    <w:p>
      <w:pPr>
        <w:spacing w:after="0" w:line="200" w:lineRule="exact"/>
        <w:rPr>
          <w:sz w:val="20"/>
          <w:szCs w:val="20"/>
          <w:color w:val="auto"/>
        </w:rPr>
      </w:pPr>
    </w:p>
    <w:p>
      <w:pPr>
        <w:spacing w:after="0" w:line="256" w:lineRule="exact"/>
        <w:rPr>
          <w:sz w:val="20"/>
          <w:szCs w:val="20"/>
          <w:color w:val="auto"/>
        </w:rPr>
      </w:pPr>
    </w:p>
    <w:p>
      <w:pPr>
        <w:ind w:left="480"/>
        <w:spacing w:after="0"/>
        <w:rPr>
          <w:sz w:val="20"/>
          <w:szCs w:val="20"/>
          <w:color w:val="auto"/>
        </w:rPr>
      </w:pPr>
      <w:r>
        <w:rPr>
          <w:rFonts w:ascii="Arial" w:cs="Arial" w:eastAsia="Arial" w:hAnsi="Arial"/>
          <w:sz w:val="32"/>
          <w:szCs w:val="32"/>
          <w:b w:val="1"/>
          <w:bCs w:val="1"/>
          <w:color w:val="0E191E"/>
        </w:rPr>
        <w:t>Priscilla Hung</w:t>
      </w:r>
    </w:p>
    <w:p>
      <w:pPr>
        <w:spacing w:after="0" w:line="56"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0E191E"/>
        </w:rPr>
        <w:t>Age: 54</w:t>
      </w:r>
    </w:p>
    <w:p>
      <w:pPr>
        <w:spacing w:after="0" w:line="12"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0E191E"/>
        </w:rPr>
        <w:t>President and Chief</w:t>
      </w:r>
    </w:p>
    <w:p>
      <w:pPr>
        <w:spacing w:after="0" w:line="17"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0E191E"/>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118745</wp:posOffset>
            </wp:positionV>
            <wp:extent cx="68408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30</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1" w:right="339" w:bottom="1440" w:gutter="0" w:footer="0" w:header="0"/>
        </w:sectPr>
      </w:pPr>
    </w:p>
    <w:bookmarkStart w:id="34" w:name="page35"/>
    <w:bookmarkEnd w:id="34"/>
    <w:p>
      <w:pPr>
        <w:ind w:left="3400" w:right="20"/>
        <w:spacing w:after="0" w:line="308" w:lineRule="auto"/>
        <w:rPr>
          <w:sz w:val="20"/>
          <w:szCs w:val="20"/>
          <w:color w:val="auto"/>
        </w:rPr>
      </w:pPr>
      <w:r>
        <w:rPr>
          <w:rFonts w:ascii="Arial" w:cs="Arial" w:eastAsia="Arial" w:hAnsi="Arial"/>
          <w:sz w:val="15"/>
          <w:szCs w:val="15"/>
          <w:b w:val="1"/>
          <w:bCs w:val="1"/>
          <w:color w:val="00739D"/>
        </w:rPr>
        <w:drawing>
          <wp:anchor simplePos="0" relativeHeight="251657728" behindDoc="1" locked="0" layoutInCell="0" allowOverlap="1">
            <wp:simplePos x="0" y="0"/>
            <wp:positionH relativeFrom="page">
              <wp:posOffset>508000</wp:posOffset>
            </wp:positionH>
            <wp:positionV relativeFrom="page">
              <wp:posOffset>534670</wp:posOffset>
            </wp:positionV>
            <wp:extent cx="1371600" cy="1371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t xml:space="preserve">Winston King </w:t>
      </w:r>
      <w:r>
        <w:rPr>
          <w:rFonts w:ascii="Arial" w:cs="Arial" w:eastAsia="Arial" w:hAnsi="Arial"/>
          <w:sz w:val="15"/>
          <w:szCs w:val="15"/>
          <w:color w:val="0E191E"/>
        </w:rPr>
        <w:t>has served as our General Counsel and Secretary since January 2013 and has served as</w:t>
      </w:r>
      <w:r>
        <w:rPr>
          <w:rFonts w:ascii="Arial" w:cs="Arial" w:eastAsia="Arial" w:hAnsi="Arial"/>
          <w:sz w:val="15"/>
          <w:szCs w:val="15"/>
          <w:b w:val="1"/>
          <w:bCs w:val="1"/>
          <w:color w:val="00739D"/>
        </w:rPr>
        <w:t xml:space="preserve"> </w:t>
      </w:r>
      <w:r>
        <w:rPr>
          <w:rFonts w:ascii="Arial" w:cs="Arial" w:eastAsia="Arial" w:hAnsi="Arial"/>
          <w:sz w:val="15"/>
          <w:szCs w:val="15"/>
          <w:color w:val="0E191E"/>
        </w:rPr>
        <w:t>our Chief Administrative Officer since June 2018. Before joining Guidewire, Mr. King worked at Infogroup, Inc., a multinational data, marketing services and research firm, from 2007 to 2012, where he most recently was EVP, General Counsel and Secretary. Prior to that, Mr. King practiced with the WilmerHale law firm in its Washington, DC office. Mr. King holds an A.B. in Economics from Duke University and a J.D. from Vanderbilt University School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Winston King</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Age: 50</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Chief Administrative Officer, General</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118745</wp:posOffset>
            </wp:positionV>
            <wp:extent cx="68408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367030</wp:posOffset>
            </wp:positionV>
            <wp:extent cx="1371600" cy="1371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3400" w:right="80"/>
        <w:spacing w:after="0" w:line="306" w:lineRule="auto"/>
        <w:rPr>
          <w:sz w:val="20"/>
          <w:szCs w:val="20"/>
          <w:color w:val="auto"/>
        </w:rPr>
      </w:pPr>
      <w:r>
        <w:rPr>
          <w:rFonts w:ascii="Arial" w:cs="Arial" w:eastAsia="Arial" w:hAnsi="Arial"/>
          <w:sz w:val="15"/>
          <w:szCs w:val="15"/>
          <w:b w:val="1"/>
          <w:bCs w:val="1"/>
          <w:color w:val="00739D"/>
        </w:rPr>
        <w:t xml:space="preserve">Michael Polelle </w:t>
      </w:r>
      <w:r>
        <w:rPr>
          <w:rFonts w:ascii="Arial" w:cs="Arial" w:eastAsia="Arial" w:hAnsi="Arial"/>
          <w:sz w:val="15"/>
          <w:szCs w:val="15"/>
          <w:color w:val="0E191E"/>
        </w:rPr>
        <w:t>has served as our Chief Delivery Officer since March 2015. He also served as our Chief</w:t>
      </w:r>
      <w:r>
        <w:rPr>
          <w:rFonts w:ascii="Arial" w:cs="Arial" w:eastAsia="Arial" w:hAnsi="Arial"/>
          <w:sz w:val="15"/>
          <w:szCs w:val="15"/>
          <w:b w:val="1"/>
          <w:bCs w:val="1"/>
          <w:color w:val="00739D"/>
        </w:rPr>
        <w:t xml:space="preserve"> </w:t>
      </w:r>
      <w:r>
        <w:rPr>
          <w:rFonts w:ascii="Arial" w:cs="Arial" w:eastAsia="Arial" w:hAnsi="Arial"/>
          <w:sz w:val="15"/>
          <w:szCs w:val="15"/>
          <w:color w:val="0E191E"/>
        </w:rPr>
        <w:t>Customer Officer from April 2014 to March 2015. Prior to joining Guidewire, Mr. Polelle was Senior Vice President for Americas Services for JDA, a leading supplier of enterprise supply chain systems, from May 2010 to April 2014. Prior to that, Mr. Polelle served as Vice President of North American Services for both Manugistics, a supplier of resource planning and supply chain software, from March 2000 to May 2005, and QAD, an Enterprise Resource Planning software provider, from May 2005 to May 2010. He holds a B.S. in Applied Math, Engineering, and Physics from the University of Wisconsin and an M.B.A. in Operations Management from the University of Minnesota.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Michael Polelle</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Age: 57</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Chief Delivery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118745</wp:posOffset>
            </wp:positionV>
            <wp:extent cx="68408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367030</wp:posOffset>
            </wp:positionV>
            <wp:extent cx="1371600" cy="1371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0" cy="137160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3400"/>
        <w:spacing w:after="0" w:line="315" w:lineRule="auto"/>
        <w:rPr>
          <w:sz w:val="20"/>
          <w:szCs w:val="20"/>
          <w:color w:val="auto"/>
        </w:rPr>
      </w:pPr>
      <w:r>
        <w:rPr>
          <w:rFonts w:ascii="Arial" w:cs="Arial" w:eastAsia="Arial" w:hAnsi="Arial"/>
          <w:sz w:val="15"/>
          <w:szCs w:val="15"/>
          <w:b w:val="1"/>
          <w:bCs w:val="1"/>
          <w:color w:val="00739D"/>
        </w:rPr>
        <w:t xml:space="preserve">Frank O'Dowd </w:t>
      </w:r>
      <w:r>
        <w:rPr>
          <w:rFonts w:ascii="Arial" w:cs="Arial" w:eastAsia="Arial" w:hAnsi="Arial"/>
          <w:sz w:val="15"/>
          <w:szCs w:val="15"/>
          <w:color w:val="0E191E"/>
        </w:rPr>
        <w:t>has served as our Chief Sales Officer since August 1, 2020. From September 1998 to June</w:t>
      </w:r>
      <w:r>
        <w:rPr>
          <w:rFonts w:ascii="Arial" w:cs="Arial" w:eastAsia="Arial" w:hAnsi="Arial"/>
          <w:sz w:val="15"/>
          <w:szCs w:val="15"/>
          <w:b w:val="1"/>
          <w:bCs w:val="1"/>
          <w:color w:val="00739D"/>
        </w:rPr>
        <w:t xml:space="preserve"> </w:t>
      </w:r>
      <w:r>
        <w:rPr>
          <w:rFonts w:ascii="Arial" w:cs="Arial" w:eastAsia="Arial" w:hAnsi="Arial"/>
          <w:sz w:val="15"/>
          <w:szCs w:val="15"/>
          <w:color w:val="0E191E"/>
        </w:rPr>
        <w:t>2020, Mr. O’Dowd served in various roles at Oracle Corporation, a cloud-based applications, infrastructure, and database management company, where he was most recently the Group Vice President, North America. Mr. O’Dowd has a B.A. in Economics from Louisiana State University and an M.B.A. from University of Miami.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Frank O'Dowd</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Age: 54</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Chief Sales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118745</wp:posOffset>
            </wp:positionV>
            <wp:extent cx="68408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306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31</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800" w:top="847" w:right="359" w:bottom="1440" w:gutter="0" w:footer="0" w:header="0"/>
        </w:sectPr>
      </w:pPr>
    </w:p>
    <w:bookmarkStart w:id="35" w:name="page36"/>
    <w:bookmarkEnd w:id="35"/>
    <w:p>
      <w:pPr>
        <w:ind w:right="1240"/>
        <w:spacing w:after="0" w:line="286" w:lineRule="auto"/>
        <w:rPr>
          <w:sz w:val="20"/>
          <w:szCs w:val="20"/>
          <w:color w:val="auto"/>
        </w:rPr>
      </w:pPr>
      <w:r>
        <w:rPr>
          <w:rFonts w:ascii="Arial" w:cs="Arial" w:eastAsia="Arial" w:hAnsi="Arial"/>
          <w:sz w:val="32"/>
          <w:szCs w:val="32"/>
          <w:b w:val="1"/>
          <w:bCs w:val="1"/>
          <w:color w:val="0E191E"/>
        </w:rPr>
        <w:t>Information Regarding Compensation of Directors and Executive Officers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Director Compensation</w:t>
      </w:r>
    </w:p>
    <w:p>
      <w:pPr>
        <w:spacing w:after="0" w:line="136"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0E191E"/>
        </w:rPr>
        <w:t>We believe that a combination of cash and equity compensation is appropriate to attract and retain the individuals we desire to serve on our board of directors and that this approach is comparable to the policies of our peers. More specifically, our cash compensation policies are designed to encourage frequent and active interaction between our directors and our executives, both during and between formal meetings, as well as to compensate our directors for their time and effort. Further, we believe that it is important to align the long-term interests of our non-employee directors with those of the Company and its stockholders and that awarding equity compensation to, and thereby increasing ownership of our common stock by, our non-employee directors is an appropriate means to achieve this alignment.</w:t>
      </w:r>
    </w:p>
    <w:p>
      <w:pPr>
        <w:spacing w:after="0" w:line="150" w:lineRule="exact"/>
        <w:rPr>
          <w:sz w:val="20"/>
          <w:szCs w:val="20"/>
          <w:color w:val="auto"/>
        </w:rPr>
      </w:pPr>
    </w:p>
    <w:p>
      <w:pPr>
        <w:ind w:right="140"/>
        <w:spacing w:after="0" w:line="303" w:lineRule="auto"/>
        <w:rPr>
          <w:sz w:val="20"/>
          <w:szCs w:val="20"/>
          <w:color w:val="auto"/>
        </w:rPr>
      </w:pPr>
      <w:r>
        <w:rPr>
          <w:rFonts w:ascii="Arial" w:cs="Arial" w:eastAsia="Arial" w:hAnsi="Arial"/>
          <w:sz w:val="15"/>
          <w:szCs w:val="15"/>
          <w:color w:val="0E191E"/>
        </w:rPr>
        <w:t>The Compensation Committee reviews non-employee director compensation approximately every year, to determine the appropriate compensation for a new committee of the board of directors. The Compensation Committee last reviewed non-employee director compensation in November 2020. In doing so, the Compensation Committee reviewed and considered a peer group study prepared by its executive compensation advisor, Radford, part of Aon PLC (“Radford”). The Compensation Committee did not strictly target any specific levels of pay, and instead, used the comparative market data provided by Radford as an important reference point in its decision-making process. Based on its review, for fiscal year 2021, the Compensation Committee recommended, and our board of directors agreed, to not make any changes to our non-employee director compensation from fiscal year 2020, other than with respect to our stock ownership requirements for non-employee directors as described below.</w:t>
      </w:r>
    </w:p>
    <w:p>
      <w:pPr>
        <w:spacing w:after="0" w:line="150" w:lineRule="exact"/>
        <w:rPr>
          <w:sz w:val="20"/>
          <w:szCs w:val="20"/>
          <w:color w:val="auto"/>
        </w:rPr>
      </w:pPr>
    </w:p>
    <w:p>
      <w:pPr>
        <w:ind w:right="260"/>
        <w:spacing w:after="0" w:line="308" w:lineRule="auto"/>
        <w:rPr>
          <w:sz w:val="20"/>
          <w:szCs w:val="20"/>
          <w:color w:val="auto"/>
        </w:rPr>
      </w:pPr>
      <w:r>
        <w:rPr>
          <w:rFonts w:ascii="Arial" w:cs="Arial" w:eastAsia="Arial" w:hAnsi="Arial"/>
          <w:sz w:val="15"/>
          <w:szCs w:val="15"/>
          <w:color w:val="0E191E"/>
        </w:rPr>
        <w:t>Our non-employee directors receive an annual cash retainer for board and committee service in addition to equity compensation, as set forth in further detail in the table below. Our non-employee directors do not receive fringe or other benefits. Directors who are also one of our employees are not entitled to additional compensation for serving as a director.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Position</w:t>
            </w:r>
          </w:p>
        </w:tc>
        <w:tc>
          <w:tcPr>
            <w:tcW w:w="1600" w:type="dxa"/>
            <w:vAlign w:val="bottom"/>
            <w:shd w:val="clear" w:color="auto" w:fill="00739D"/>
          </w:tcPr>
          <w:p>
            <w:pPr>
              <w:spacing w:after="0"/>
              <w:rPr>
                <w:sz w:val="18"/>
                <w:szCs w:val="18"/>
                <w:color w:val="auto"/>
              </w:rPr>
            </w:pPr>
          </w:p>
        </w:tc>
        <w:tc>
          <w:tcPr>
            <w:tcW w:w="3280" w:type="dxa"/>
            <w:vAlign w:val="bottom"/>
            <w:shd w:val="clear" w:color="auto" w:fill="00739D"/>
          </w:tcPr>
          <w:p>
            <w:pPr>
              <w:jc w:val="right"/>
              <w:ind w:right="13"/>
              <w:spacing w:after="0"/>
              <w:rPr>
                <w:sz w:val="20"/>
                <w:szCs w:val="20"/>
                <w:color w:val="auto"/>
              </w:rPr>
            </w:pPr>
            <w:r>
              <w:rPr>
                <w:rFonts w:ascii="Arial" w:cs="Arial" w:eastAsia="Arial" w:hAnsi="Arial"/>
                <w:sz w:val="13"/>
                <w:szCs w:val="13"/>
                <w:b w:val="1"/>
                <w:bCs w:val="1"/>
                <w:color w:val="FFFFFF"/>
              </w:rPr>
              <w:t>Annual Cash Retainer ($)</w:t>
            </w:r>
            <w:r>
              <w:rPr>
                <w:rFonts w:ascii="Arial" w:cs="Arial" w:eastAsia="Arial" w:hAnsi="Arial"/>
                <w:sz w:val="17"/>
                <w:szCs w:val="17"/>
                <w:b w:val="1"/>
                <w:bCs w:val="1"/>
                <w:color w:val="FFFFFF"/>
                <w:vertAlign w:val="superscript"/>
              </w:rPr>
              <w:t>(1)</w:t>
            </w:r>
          </w:p>
        </w:tc>
        <w:tc>
          <w:tcPr>
            <w:tcW w:w="31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Equity Compensation ($)</w:t>
            </w:r>
            <w:r>
              <w:rPr>
                <w:rFonts w:ascii="Arial" w:cs="Arial" w:eastAsia="Arial" w:hAnsi="Arial"/>
                <w:sz w:val="17"/>
                <w:szCs w:val="17"/>
                <w:b w:val="1"/>
                <w:bCs w:val="1"/>
                <w:color w:val="FFFFFF"/>
                <w:vertAlign w:val="superscript"/>
              </w:rPr>
              <w:t>(2)</w:t>
            </w:r>
          </w:p>
        </w:tc>
        <w:tc>
          <w:tcPr>
            <w:tcW w:w="0" w:type="dxa"/>
            <w:vAlign w:val="bottom"/>
          </w:tcPr>
          <w:p>
            <w:pPr>
              <w:spacing w:after="0"/>
              <w:rPr>
                <w:sz w:val="1"/>
                <w:szCs w:val="1"/>
                <w:color w:val="auto"/>
              </w:rPr>
            </w:pPr>
          </w:p>
        </w:tc>
      </w:tr>
      <w:tr>
        <w:trPr>
          <w:trHeight w:val="95"/>
        </w:trPr>
        <w:tc>
          <w:tcPr>
            <w:tcW w:w="3180" w:type="dxa"/>
            <w:vAlign w:val="bottom"/>
            <w:shd w:val="clear" w:color="auto" w:fill="00739D"/>
          </w:tcPr>
          <w:p>
            <w:pPr>
              <w:spacing w:after="0"/>
              <w:rPr>
                <w:sz w:val="8"/>
                <w:szCs w:val="8"/>
                <w:color w:val="auto"/>
              </w:rPr>
            </w:pPr>
          </w:p>
        </w:tc>
        <w:tc>
          <w:tcPr>
            <w:tcW w:w="1600" w:type="dxa"/>
            <w:vAlign w:val="bottom"/>
            <w:shd w:val="clear" w:color="auto" w:fill="00739D"/>
          </w:tcPr>
          <w:p>
            <w:pPr>
              <w:spacing w:after="0"/>
              <w:rPr>
                <w:sz w:val="8"/>
                <w:szCs w:val="8"/>
                <w:color w:val="auto"/>
              </w:rPr>
            </w:pPr>
          </w:p>
        </w:tc>
        <w:tc>
          <w:tcPr>
            <w:tcW w:w="3280" w:type="dxa"/>
            <w:vAlign w:val="bottom"/>
            <w:shd w:val="clear" w:color="auto" w:fill="00739D"/>
          </w:tcPr>
          <w:p>
            <w:pPr>
              <w:spacing w:after="0"/>
              <w:rPr>
                <w:sz w:val="8"/>
                <w:szCs w:val="8"/>
                <w:color w:val="auto"/>
              </w:rPr>
            </w:pPr>
          </w:p>
        </w:tc>
        <w:tc>
          <w:tcPr>
            <w:tcW w:w="3180" w:type="dxa"/>
            <w:vAlign w:val="bottom"/>
            <w:shd w:val="clear" w:color="auto" w:fill="00739D"/>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318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Board of Directors Membership</w:t>
            </w:r>
          </w:p>
        </w:tc>
        <w:tc>
          <w:tcPr>
            <w:tcW w:w="16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180" w:type="dxa"/>
            <w:vAlign w:val="bottom"/>
          </w:tcPr>
          <w:p>
            <w:pPr>
              <w:jc w:val="center"/>
              <w:spacing w:after="0"/>
              <w:rPr>
                <w:sz w:val="20"/>
                <w:szCs w:val="20"/>
                <w:color w:val="auto"/>
              </w:rPr>
            </w:pPr>
            <w:r>
              <w:rPr>
                <w:rFonts w:ascii="Arial" w:cs="Arial" w:eastAsia="Arial" w:hAnsi="Arial"/>
                <w:sz w:val="13"/>
                <w:szCs w:val="13"/>
                <w:color w:val="0E191E"/>
              </w:rPr>
              <w:t>Initial grant of restricted stock units ("RSUs") with</w:t>
            </w:r>
          </w:p>
        </w:tc>
        <w:tc>
          <w:tcPr>
            <w:tcW w:w="0" w:type="dxa"/>
            <w:vAlign w:val="bottom"/>
          </w:tcPr>
          <w:p>
            <w:pPr>
              <w:spacing w:after="0"/>
              <w:rPr>
                <w:sz w:val="1"/>
                <w:szCs w:val="1"/>
                <w:color w:val="auto"/>
              </w:rPr>
            </w:pPr>
          </w:p>
        </w:tc>
      </w:tr>
      <w:tr>
        <w:trPr>
          <w:trHeight w:val="162"/>
        </w:trPr>
        <w:tc>
          <w:tcPr>
            <w:tcW w:w="31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3280" w:type="dxa"/>
            <w:vAlign w:val="bottom"/>
          </w:tcPr>
          <w:p>
            <w:pPr>
              <w:jc w:val="right"/>
              <w:ind w:right="53"/>
              <w:spacing w:after="0"/>
              <w:rPr>
                <w:sz w:val="20"/>
                <w:szCs w:val="20"/>
                <w:color w:val="auto"/>
              </w:rPr>
            </w:pPr>
            <w:r>
              <w:rPr>
                <w:rFonts w:ascii="Arial" w:cs="Arial" w:eastAsia="Arial" w:hAnsi="Arial"/>
                <w:sz w:val="13"/>
                <w:szCs w:val="13"/>
                <w:color w:val="0E191E"/>
              </w:rPr>
              <w:t>50,000</w:t>
            </w:r>
          </w:p>
        </w:tc>
        <w:tc>
          <w:tcPr>
            <w:tcW w:w="3180" w:type="dxa"/>
            <w:vAlign w:val="bottom"/>
          </w:tcPr>
          <w:p>
            <w:pPr>
              <w:jc w:val="center"/>
              <w:spacing w:after="0"/>
              <w:rPr>
                <w:sz w:val="20"/>
                <w:szCs w:val="20"/>
                <w:color w:val="auto"/>
              </w:rPr>
            </w:pPr>
            <w:r>
              <w:rPr>
                <w:rFonts w:ascii="Arial" w:cs="Arial" w:eastAsia="Arial" w:hAnsi="Arial"/>
                <w:sz w:val="13"/>
                <w:szCs w:val="13"/>
                <w:color w:val="0E191E"/>
              </w:rPr>
              <w:t>a value of $200,000 (pro-rated) and annual grant</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180" w:type="dxa"/>
            <w:vAlign w:val="bottom"/>
          </w:tcPr>
          <w:p>
            <w:pPr>
              <w:jc w:val="center"/>
              <w:spacing w:after="0"/>
              <w:rPr>
                <w:sz w:val="20"/>
                <w:szCs w:val="20"/>
                <w:color w:val="auto"/>
              </w:rPr>
            </w:pPr>
            <w:r>
              <w:rPr>
                <w:rFonts w:ascii="Arial" w:cs="Arial" w:eastAsia="Arial" w:hAnsi="Arial"/>
                <w:sz w:val="13"/>
                <w:szCs w:val="13"/>
                <w:color w:val="0E191E"/>
              </w:rPr>
              <w:t>of RSUs with a value of $200,000</w:t>
            </w:r>
          </w:p>
        </w:tc>
        <w:tc>
          <w:tcPr>
            <w:tcW w:w="0" w:type="dxa"/>
            <w:vAlign w:val="bottom"/>
          </w:tcPr>
          <w:p>
            <w:pPr>
              <w:spacing w:after="0"/>
              <w:rPr>
                <w:sz w:val="1"/>
                <w:szCs w:val="1"/>
                <w:color w:val="auto"/>
              </w:rPr>
            </w:pPr>
          </w:p>
        </w:tc>
      </w:tr>
      <w:tr>
        <w:trPr>
          <w:trHeight w:val="28"/>
        </w:trPr>
        <w:tc>
          <w:tcPr>
            <w:tcW w:w="3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180" w:type="dxa"/>
            <w:vAlign w:val="bottom"/>
            <w:shd w:val="clear" w:color="auto" w:fill="1EB7DF"/>
          </w:tcPr>
          <w:p>
            <w:pPr>
              <w:ind w:left="100"/>
              <w:spacing w:after="0"/>
              <w:rPr>
                <w:sz w:val="20"/>
                <w:szCs w:val="20"/>
                <w:color w:val="auto"/>
              </w:rPr>
            </w:pPr>
            <w:r>
              <w:rPr>
                <w:rFonts w:ascii="Arial" w:cs="Arial" w:eastAsia="Arial" w:hAnsi="Arial"/>
                <w:sz w:val="13"/>
                <w:szCs w:val="13"/>
                <w:b w:val="1"/>
                <w:bCs w:val="1"/>
                <w:color w:val="FFFFFF"/>
              </w:rPr>
              <w:t>Position</w:t>
            </w:r>
          </w:p>
        </w:tc>
        <w:tc>
          <w:tcPr>
            <w:tcW w:w="1600" w:type="dxa"/>
            <w:vAlign w:val="bottom"/>
            <w:shd w:val="clear" w:color="auto" w:fill="1EB7DF"/>
          </w:tcPr>
          <w:p>
            <w:pPr>
              <w:spacing w:after="0"/>
              <w:rPr>
                <w:sz w:val="16"/>
                <w:szCs w:val="16"/>
                <w:color w:val="auto"/>
              </w:rPr>
            </w:pPr>
          </w:p>
        </w:tc>
        <w:tc>
          <w:tcPr>
            <w:tcW w:w="3280" w:type="dxa"/>
            <w:vAlign w:val="bottom"/>
            <w:shd w:val="clear" w:color="auto" w:fill="1EB7DF"/>
          </w:tcPr>
          <w:p>
            <w:pPr>
              <w:jc w:val="right"/>
              <w:ind w:right="13"/>
              <w:spacing w:after="0"/>
              <w:rPr>
                <w:sz w:val="20"/>
                <w:szCs w:val="20"/>
                <w:color w:val="auto"/>
              </w:rPr>
            </w:pPr>
            <w:r>
              <w:rPr>
                <w:rFonts w:ascii="Arial" w:cs="Arial" w:eastAsia="Arial" w:hAnsi="Arial"/>
                <w:sz w:val="13"/>
                <w:szCs w:val="13"/>
                <w:b w:val="1"/>
                <w:bCs w:val="1"/>
                <w:color w:val="FFFFFF"/>
              </w:rPr>
              <w:t>Additional Annual Cash Retainer ($)</w:t>
            </w:r>
          </w:p>
        </w:tc>
        <w:tc>
          <w:tcPr>
            <w:tcW w:w="3180" w:type="dxa"/>
            <w:vAlign w:val="bottom"/>
            <w:shd w:val="clear" w:color="auto" w:fill="1EB7DF"/>
          </w:tcPr>
          <w:p>
            <w:pPr>
              <w:jc w:val="center"/>
              <w:spacing w:after="0"/>
              <w:rPr>
                <w:sz w:val="20"/>
                <w:szCs w:val="20"/>
                <w:color w:val="auto"/>
              </w:rPr>
            </w:pPr>
            <w:r>
              <w:rPr>
                <w:rFonts w:ascii="Arial" w:cs="Arial" w:eastAsia="Arial" w:hAnsi="Arial"/>
                <w:sz w:val="13"/>
                <w:szCs w:val="13"/>
                <w:b w:val="1"/>
                <w:bCs w:val="1"/>
                <w:color w:val="FFFFFF"/>
              </w:rPr>
              <w:t>Additional Equity Compensation ($)</w:t>
            </w:r>
          </w:p>
        </w:tc>
        <w:tc>
          <w:tcPr>
            <w:tcW w:w="0" w:type="dxa"/>
            <w:vAlign w:val="bottom"/>
          </w:tcPr>
          <w:p>
            <w:pPr>
              <w:spacing w:after="0"/>
              <w:rPr>
                <w:sz w:val="1"/>
                <w:szCs w:val="1"/>
                <w:color w:val="auto"/>
              </w:rPr>
            </w:pPr>
          </w:p>
        </w:tc>
      </w:tr>
      <w:tr>
        <w:trPr>
          <w:trHeight w:val="122"/>
        </w:trPr>
        <w:tc>
          <w:tcPr>
            <w:tcW w:w="3180" w:type="dxa"/>
            <w:vAlign w:val="bottom"/>
            <w:shd w:val="clear" w:color="auto" w:fill="1EB7DF"/>
          </w:tcPr>
          <w:p>
            <w:pPr>
              <w:spacing w:after="0"/>
              <w:rPr>
                <w:sz w:val="10"/>
                <w:szCs w:val="10"/>
                <w:color w:val="auto"/>
              </w:rPr>
            </w:pPr>
          </w:p>
        </w:tc>
        <w:tc>
          <w:tcPr>
            <w:tcW w:w="1600" w:type="dxa"/>
            <w:vAlign w:val="bottom"/>
            <w:shd w:val="clear" w:color="auto" w:fill="1EB7DF"/>
          </w:tcPr>
          <w:p>
            <w:pPr>
              <w:spacing w:after="0"/>
              <w:rPr>
                <w:sz w:val="10"/>
                <w:szCs w:val="10"/>
                <w:color w:val="auto"/>
              </w:rPr>
            </w:pPr>
          </w:p>
        </w:tc>
        <w:tc>
          <w:tcPr>
            <w:tcW w:w="3280" w:type="dxa"/>
            <w:vAlign w:val="bottom"/>
            <w:shd w:val="clear" w:color="auto" w:fill="1EB7DF"/>
          </w:tcPr>
          <w:p>
            <w:pPr>
              <w:spacing w:after="0"/>
              <w:rPr>
                <w:sz w:val="10"/>
                <w:szCs w:val="10"/>
                <w:color w:val="auto"/>
              </w:rPr>
            </w:pPr>
          </w:p>
        </w:tc>
        <w:tc>
          <w:tcPr>
            <w:tcW w:w="3180" w:type="dxa"/>
            <w:vAlign w:val="bottom"/>
            <w:shd w:val="clear" w:color="auto" w:fill="1EB7D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180" w:type="dxa"/>
            <w:vAlign w:val="bottom"/>
          </w:tcPr>
          <w:p>
            <w:pPr>
              <w:ind w:left="100"/>
              <w:spacing w:after="0"/>
              <w:rPr>
                <w:sz w:val="20"/>
                <w:szCs w:val="20"/>
                <w:color w:val="auto"/>
              </w:rPr>
            </w:pPr>
            <w:r>
              <w:rPr>
                <w:rFonts w:ascii="Arial" w:cs="Arial" w:eastAsia="Arial" w:hAnsi="Arial"/>
                <w:sz w:val="13"/>
                <w:szCs w:val="13"/>
                <w:b w:val="1"/>
                <w:bCs w:val="1"/>
                <w:color w:val="0E191E"/>
              </w:rPr>
              <w:t>Chairman of the Board of Directors</w:t>
            </w:r>
          </w:p>
        </w:tc>
        <w:tc>
          <w:tcPr>
            <w:tcW w:w="1600" w:type="dxa"/>
            <w:vAlign w:val="bottom"/>
          </w:tcPr>
          <w:p>
            <w:pPr>
              <w:spacing w:after="0"/>
              <w:rPr>
                <w:sz w:val="16"/>
                <w:szCs w:val="16"/>
                <w:color w:val="auto"/>
              </w:rPr>
            </w:pPr>
          </w:p>
        </w:tc>
        <w:tc>
          <w:tcPr>
            <w:tcW w:w="3280" w:type="dxa"/>
            <w:vAlign w:val="bottom"/>
          </w:tcPr>
          <w:p>
            <w:pPr>
              <w:jc w:val="right"/>
              <w:ind w:right="53"/>
              <w:spacing w:after="0"/>
              <w:rPr>
                <w:sz w:val="20"/>
                <w:szCs w:val="20"/>
                <w:color w:val="auto"/>
              </w:rPr>
            </w:pPr>
            <w:r>
              <w:rPr>
                <w:rFonts w:ascii="Arial" w:cs="Arial" w:eastAsia="Arial" w:hAnsi="Arial"/>
                <w:sz w:val="13"/>
                <w:szCs w:val="13"/>
                <w:color w:val="0E191E"/>
              </w:rPr>
              <w:t>50,000</w:t>
            </w:r>
          </w:p>
        </w:tc>
        <w:tc>
          <w:tcPr>
            <w:tcW w:w="3180" w:type="dxa"/>
            <w:vAlign w:val="bottom"/>
          </w:tcPr>
          <w:p>
            <w:pPr>
              <w:jc w:val="center"/>
              <w:spacing w:after="0"/>
              <w:rPr>
                <w:sz w:val="20"/>
                <w:szCs w:val="20"/>
                <w:color w:val="auto"/>
              </w:rPr>
            </w:pPr>
            <w:r>
              <w:rPr>
                <w:rFonts w:ascii="Arial" w:cs="Arial" w:eastAsia="Arial" w:hAnsi="Arial"/>
                <w:sz w:val="13"/>
                <w:szCs w:val="13"/>
                <w:color w:val="0E191E"/>
              </w:rPr>
              <w:t>None</w:t>
            </w:r>
          </w:p>
        </w:tc>
        <w:tc>
          <w:tcPr>
            <w:tcW w:w="0" w:type="dxa"/>
            <w:vAlign w:val="bottom"/>
          </w:tcPr>
          <w:p>
            <w:pPr>
              <w:spacing w:after="0"/>
              <w:rPr>
                <w:sz w:val="1"/>
                <w:szCs w:val="1"/>
                <w:color w:val="auto"/>
              </w:rPr>
            </w:pPr>
          </w:p>
        </w:tc>
      </w:tr>
      <w:tr>
        <w:trPr>
          <w:trHeight w:val="28"/>
        </w:trPr>
        <w:tc>
          <w:tcPr>
            <w:tcW w:w="3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tcBorders>
              <w:bottom w:val="single" w:sz="8" w:color="E7F1F5"/>
            </w:tcBorders>
            <w:shd w:val="clear" w:color="auto" w:fill="E7F1F5"/>
          </w:tcPr>
          <w:p>
            <w:pPr>
              <w:ind w:left="100"/>
              <w:spacing w:after="0"/>
              <w:rPr>
                <w:sz w:val="20"/>
                <w:szCs w:val="20"/>
                <w:color w:val="auto"/>
              </w:rPr>
            </w:pPr>
            <w:r>
              <w:rPr>
                <w:rFonts w:ascii="Arial" w:cs="Arial" w:eastAsia="Arial" w:hAnsi="Arial"/>
                <w:sz w:val="13"/>
                <w:szCs w:val="13"/>
                <w:b w:val="1"/>
                <w:bCs w:val="1"/>
                <w:color w:val="0E191E"/>
              </w:rPr>
              <w:t>Lead Independent Director</w:t>
            </w:r>
          </w:p>
        </w:tc>
        <w:tc>
          <w:tcPr>
            <w:tcW w:w="1600" w:type="dxa"/>
            <w:vAlign w:val="bottom"/>
            <w:tcBorders>
              <w:bottom w:val="single" w:sz="8" w:color="E7F1F5"/>
            </w:tcBorders>
            <w:shd w:val="clear" w:color="auto" w:fill="E7F1F5"/>
          </w:tcPr>
          <w:p>
            <w:pPr>
              <w:spacing w:after="0"/>
              <w:rPr>
                <w:sz w:val="17"/>
                <w:szCs w:val="17"/>
                <w:color w:val="auto"/>
              </w:rPr>
            </w:pPr>
          </w:p>
        </w:tc>
        <w:tc>
          <w:tcPr>
            <w:tcW w:w="3280" w:type="dxa"/>
            <w:vAlign w:val="bottom"/>
            <w:tcBorders>
              <w:bottom w:val="single" w:sz="8" w:color="E7F1F5"/>
            </w:tcBorders>
            <w:shd w:val="clear" w:color="auto" w:fill="E7F1F5"/>
          </w:tcPr>
          <w:p>
            <w:pPr>
              <w:jc w:val="right"/>
              <w:ind w:right="53"/>
              <w:spacing w:after="0"/>
              <w:rPr>
                <w:sz w:val="20"/>
                <w:szCs w:val="20"/>
                <w:color w:val="auto"/>
              </w:rPr>
            </w:pPr>
            <w:r>
              <w:rPr>
                <w:rFonts w:ascii="Arial" w:cs="Arial" w:eastAsia="Arial" w:hAnsi="Arial"/>
                <w:sz w:val="13"/>
                <w:szCs w:val="13"/>
                <w:color w:val="0E191E"/>
              </w:rPr>
              <w:t>50,000</w:t>
            </w:r>
          </w:p>
        </w:tc>
        <w:tc>
          <w:tcPr>
            <w:tcW w:w="3180" w:type="dxa"/>
            <w:vAlign w:val="bottom"/>
            <w:tcBorders>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rPr>
              <w:t>None</w:t>
            </w:r>
          </w:p>
        </w:tc>
        <w:tc>
          <w:tcPr>
            <w:tcW w:w="0" w:type="dxa"/>
            <w:vAlign w:val="bottom"/>
          </w:tcPr>
          <w:p>
            <w:pPr>
              <w:spacing w:after="0"/>
              <w:rPr>
                <w:sz w:val="1"/>
                <w:szCs w:val="1"/>
                <w:color w:val="auto"/>
              </w:rPr>
            </w:pPr>
          </w:p>
        </w:tc>
      </w:tr>
      <w:tr>
        <w:trPr>
          <w:trHeight w:val="189"/>
        </w:trPr>
        <w:tc>
          <w:tcPr>
            <w:tcW w:w="3180" w:type="dxa"/>
            <w:vAlign w:val="bottom"/>
          </w:tcPr>
          <w:p>
            <w:pPr>
              <w:ind w:left="100"/>
              <w:spacing w:after="0"/>
              <w:rPr>
                <w:sz w:val="20"/>
                <w:szCs w:val="20"/>
                <w:color w:val="auto"/>
              </w:rPr>
            </w:pPr>
            <w:r>
              <w:rPr>
                <w:rFonts w:ascii="Arial" w:cs="Arial" w:eastAsia="Arial" w:hAnsi="Arial"/>
                <w:sz w:val="13"/>
                <w:szCs w:val="13"/>
                <w:b w:val="1"/>
                <w:bCs w:val="1"/>
                <w:color w:val="0E191E"/>
              </w:rPr>
              <w:t>Lead Customer Advocate</w:t>
            </w:r>
          </w:p>
        </w:tc>
        <w:tc>
          <w:tcPr>
            <w:tcW w:w="1600" w:type="dxa"/>
            <w:vAlign w:val="bottom"/>
          </w:tcPr>
          <w:p>
            <w:pPr>
              <w:spacing w:after="0"/>
              <w:rPr>
                <w:sz w:val="16"/>
                <w:szCs w:val="16"/>
                <w:color w:val="auto"/>
              </w:rPr>
            </w:pPr>
          </w:p>
        </w:tc>
        <w:tc>
          <w:tcPr>
            <w:tcW w:w="3280" w:type="dxa"/>
            <w:vAlign w:val="bottom"/>
          </w:tcPr>
          <w:p>
            <w:pPr>
              <w:jc w:val="right"/>
              <w:ind w:right="53"/>
              <w:spacing w:after="0"/>
              <w:rPr>
                <w:sz w:val="20"/>
                <w:szCs w:val="20"/>
                <w:color w:val="auto"/>
              </w:rPr>
            </w:pPr>
            <w:r>
              <w:rPr>
                <w:rFonts w:ascii="Arial" w:cs="Arial" w:eastAsia="Arial" w:hAnsi="Arial"/>
                <w:sz w:val="13"/>
                <w:szCs w:val="13"/>
                <w:color w:val="0E191E"/>
              </w:rPr>
              <w:t>30,000</w:t>
            </w:r>
          </w:p>
        </w:tc>
        <w:tc>
          <w:tcPr>
            <w:tcW w:w="3180" w:type="dxa"/>
            <w:vAlign w:val="bottom"/>
          </w:tcPr>
          <w:p>
            <w:pPr>
              <w:jc w:val="center"/>
              <w:spacing w:after="0"/>
              <w:rPr>
                <w:sz w:val="20"/>
                <w:szCs w:val="20"/>
                <w:color w:val="auto"/>
              </w:rPr>
            </w:pPr>
            <w:r>
              <w:rPr>
                <w:rFonts w:ascii="Arial" w:cs="Arial" w:eastAsia="Arial" w:hAnsi="Arial"/>
                <w:sz w:val="13"/>
                <w:szCs w:val="13"/>
                <w:color w:val="0E191E"/>
              </w:rPr>
              <w:t>None</w:t>
            </w:r>
          </w:p>
        </w:tc>
        <w:tc>
          <w:tcPr>
            <w:tcW w:w="0" w:type="dxa"/>
            <w:vAlign w:val="bottom"/>
          </w:tcPr>
          <w:p>
            <w:pPr>
              <w:spacing w:after="0"/>
              <w:rPr>
                <w:sz w:val="1"/>
                <w:szCs w:val="1"/>
                <w:color w:val="auto"/>
              </w:rPr>
            </w:pPr>
          </w:p>
        </w:tc>
      </w:tr>
      <w:tr>
        <w:trPr>
          <w:trHeight w:val="28"/>
        </w:trPr>
        <w:tc>
          <w:tcPr>
            <w:tcW w:w="3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180" w:type="dxa"/>
            <w:vAlign w:val="bottom"/>
            <w:shd w:val="clear" w:color="auto" w:fill="E7F1F5"/>
          </w:tcPr>
          <w:p>
            <w:pPr>
              <w:spacing w:after="0"/>
              <w:rPr>
                <w:sz w:val="22"/>
                <w:szCs w:val="22"/>
                <w:color w:val="auto"/>
              </w:rPr>
            </w:pPr>
          </w:p>
        </w:tc>
        <w:tc>
          <w:tcPr>
            <w:tcW w:w="1600" w:type="dxa"/>
            <w:vAlign w:val="bottom"/>
            <w:shd w:val="clear" w:color="auto" w:fill="E7F1F5"/>
          </w:tcPr>
          <w:p>
            <w:pPr>
              <w:ind w:left="20"/>
              <w:spacing w:after="0"/>
              <w:rPr>
                <w:sz w:val="20"/>
                <w:szCs w:val="20"/>
                <w:color w:val="auto"/>
              </w:rPr>
            </w:pPr>
            <w:r>
              <w:rPr>
                <w:rFonts w:ascii="Arial" w:cs="Arial" w:eastAsia="Arial" w:hAnsi="Arial"/>
                <w:sz w:val="13"/>
                <w:szCs w:val="13"/>
                <w:color w:val="0E191E"/>
              </w:rPr>
              <w:t>Chair</w:t>
            </w:r>
          </w:p>
        </w:tc>
        <w:tc>
          <w:tcPr>
            <w:tcW w:w="3280" w:type="dxa"/>
            <w:vAlign w:val="bottom"/>
            <w:shd w:val="clear" w:color="auto" w:fill="E7F1F5"/>
          </w:tcPr>
          <w:p>
            <w:pPr>
              <w:jc w:val="right"/>
              <w:ind w:right="53"/>
              <w:spacing w:after="0"/>
              <w:rPr>
                <w:sz w:val="20"/>
                <w:szCs w:val="20"/>
                <w:color w:val="auto"/>
              </w:rPr>
            </w:pPr>
            <w:r>
              <w:rPr>
                <w:rFonts w:ascii="Arial" w:cs="Arial" w:eastAsia="Arial" w:hAnsi="Arial"/>
                <w:sz w:val="13"/>
                <w:szCs w:val="13"/>
                <w:color w:val="0E191E"/>
              </w:rPr>
              <w:t>25,000</w:t>
            </w:r>
          </w:p>
        </w:tc>
        <w:tc>
          <w:tcPr>
            <w:tcW w:w="318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None</w:t>
            </w:r>
          </w:p>
        </w:tc>
        <w:tc>
          <w:tcPr>
            <w:tcW w:w="0" w:type="dxa"/>
            <w:vAlign w:val="bottom"/>
          </w:tcPr>
          <w:p>
            <w:pPr>
              <w:spacing w:after="0"/>
              <w:rPr>
                <w:sz w:val="1"/>
                <w:szCs w:val="1"/>
                <w:color w:val="auto"/>
              </w:rPr>
            </w:pPr>
          </w:p>
        </w:tc>
      </w:tr>
      <w:tr>
        <w:trPr>
          <w:trHeight w:val="109"/>
        </w:trPr>
        <w:tc>
          <w:tcPr>
            <w:tcW w:w="3180" w:type="dxa"/>
            <w:vAlign w:val="bottom"/>
            <w:tcBorders>
              <w:bottom w:val="single" w:sz="8" w:color="E7F1F5"/>
            </w:tcBorders>
            <w:vMerge w:val="restart"/>
            <w:shd w:val="clear" w:color="auto" w:fill="E7F1F5"/>
          </w:tcPr>
          <w:p>
            <w:pPr>
              <w:ind w:left="100"/>
              <w:spacing w:after="0"/>
              <w:rPr>
                <w:sz w:val="20"/>
                <w:szCs w:val="20"/>
                <w:color w:val="auto"/>
              </w:rPr>
            </w:pPr>
            <w:r>
              <w:rPr>
                <w:rFonts w:ascii="Arial" w:cs="Arial" w:eastAsia="Arial" w:hAnsi="Arial"/>
                <w:sz w:val="13"/>
                <w:szCs w:val="13"/>
                <w:b w:val="1"/>
                <w:bCs w:val="1"/>
                <w:color w:val="0E191E"/>
              </w:rPr>
              <w:t>Audit Committee</w:t>
            </w:r>
          </w:p>
        </w:tc>
        <w:tc>
          <w:tcPr>
            <w:tcW w:w="1600" w:type="dxa"/>
            <w:vAlign w:val="bottom"/>
            <w:tcBorders>
              <w:bottom w:val="single" w:sz="8" w:color="0E191E"/>
            </w:tcBorders>
            <w:shd w:val="clear" w:color="auto" w:fill="E7F1F5"/>
          </w:tcPr>
          <w:p>
            <w:pPr>
              <w:spacing w:after="0"/>
              <w:rPr>
                <w:sz w:val="9"/>
                <w:szCs w:val="9"/>
                <w:color w:val="auto"/>
              </w:rPr>
            </w:pPr>
          </w:p>
        </w:tc>
        <w:tc>
          <w:tcPr>
            <w:tcW w:w="3280" w:type="dxa"/>
            <w:vAlign w:val="bottom"/>
            <w:tcBorders>
              <w:bottom w:val="single" w:sz="8" w:color="0E191E"/>
            </w:tcBorders>
            <w:shd w:val="clear" w:color="auto" w:fill="E7F1F5"/>
          </w:tcPr>
          <w:p>
            <w:pPr>
              <w:spacing w:after="0"/>
              <w:rPr>
                <w:sz w:val="9"/>
                <w:szCs w:val="9"/>
                <w:color w:val="auto"/>
              </w:rPr>
            </w:pPr>
          </w:p>
        </w:tc>
        <w:tc>
          <w:tcPr>
            <w:tcW w:w="3180" w:type="dxa"/>
            <w:vAlign w:val="bottom"/>
            <w:tcBorders>
              <w:bottom w:val="single" w:sz="8" w:color="0E191E"/>
            </w:tcBorders>
            <w:shd w:val="clear" w:color="auto" w:fill="E7F1F5"/>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180" w:type="dxa"/>
            <w:vAlign w:val="bottom"/>
            <w:vMerge w:val="continue"/>
            <w:shd w:val="clear" w:color="auto" w:fill="E7F1F5"/>
          </w:tcPr>
          <w:p>
            <w:pPr>
              <w:spacing w:after="0"/>
              <w:rPr>
                <w:sz w:val="5"/>
                <w:szCs w:val="5"/>
                <w:color w:val="auto"/>
              </w:rPr>
            </w:pPr>
          </w:p>
        </w:tc>
        <w:tc>
          <w:tcPr>
            <w:tcW w:w="1600" w:type="dxa"/>
            <w:vAlign w:val="bottom"/>
            <w:vMerge w:val="restart"/>
            <w:shd w:val="clear" w:color="auto" w:fill="E7F1F5"/>
          </w:tcPr>
          <w:p>
            <w:pPr>
              <w:ind w:left="20"/>
              <w:spacing w:after="0"/>
              <w:rPr>
                <w:sz w:val="20"/>
                <w:szCs w:val="20"/>
                <w:color w:val="auto"/>
              </w:rPr>
            </w:pPr>
            <w:r>
              <w:rPr>
                <w:rFonts w:ascii="Arial" w:cs="Arial" w:eastAsia="Arial" w:hAnsi="Arial"/>
                <w:sz w:val="13"/>
                <w:szCs w:val="13"/>
                <w:color w:val="0E191E"/>
              </w:rPr>
              <w:t>Non-Chair Member</w:t>
            </w:r>
          </w:p>
        </w:tc>
        <w:tc>
          <w:tcPr>
            <w:tcW w:w="3280" w:type="dxa"/>
            <w:vAlign w:val="bottom"/>
            <w:vMerge w:val="restart"/>
            <w:shd w:val="clear" w:color="auto" w:fill="E7F1F5"/>
          </w:tcPr>
          <w:p>
            <w:pPr>
              <w:jc w:val="right"/>
              <w:ind w:right="53"/>
              <w:spacing w:after="0"/>
              <w:rPr>
                <w:sz w:val="20"/>
                <w:szCs w:val="20"/>
                <w:color w:val="auto"/>
              </w:rPr>
            </w:pPr>
            <w:r>
              <w:rPr>
                <w:rFonts w:ascii="Arial" w:cs="Arial" w:eastAsia="Arial" w:hAnsi="Arial"/>
                <w:sz w:val="13"/>
                <w:szCs w:val="13"/>
                <w:color w:val="0E191E"/>
              </w:rPr>
              <w:t>12,500</w:t>
            </w:r>
          </w:p>
        </w:tc>
        <w:tc>
          <w:tcPr>
            <w:tcW w:w="318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None</w:t>
            </w:r>
          </w:p>
        </w:tc>
        <w:tc>
          <w:tcPr>
            <w:tcW w:w="0" w:type="dxa"/>
            <w:vAlign w:val="bottom"/>
          </w:tcPr>
          <w:p>
            <w:pPr>
              <w:spacing w:after="0"/>
              <w:rPr>
                <w:sz w:val="1"/>
                <w:szCs w:val="1"/>
                <w:color w:val="auto"/>
              </w:rPr>
            </w:pPr>
          </w:p>
        </w:tc>
      </w:tr>
      <w:tr>
        <w:trPr>
          <w:trHeight w:val="189"/>
        </w:trPr>
        <w:tc>
          <w:tcPr>
            <w:tcW w:w="3180" w:type="dxa"/>
            <w:vAlign w:val="bottom"/>
            <w:shd w:val="clear" w:color="auto" w:fill="E7F1F5"/>
          </w:tcPr>
          <w:p>
            <w:pPr>
              <w:spacing w:after="0"/>
              <w:rPr>
                <w:sz w:val="16"/>
                <w:szCs w:val="16"/>
                <w:color w:val="auto"/>
              </w:rPr>
            </w:pPr>
          </w:p>
        </w:tc>
        <w:tc>
          <w:tcPr>
            <w:tcW w:w="1600" w:type="dxa"/>
            <w:vAlign w:val="bottom"/>
            <w:vMerge w:val="continue"/>
            <w:shd w:val="clear" w:color="auto" w:fill="E7F1F5"/>
          </w:tcPr>
          <w:p>
            <w:pPr>
              <w:spacing w:after="0"/>
              <w:rPr>
                <w:sz w:val="16"/>
                <w:szCs w:val="16"/>
                <w:color w:val="auto"/>
              </w:rPr>
            </w:pPr>
          </w:p>
        </w:tc>
        <w:tc>
          <w:tcPr>
            <w:tcW w:w="3280" w:type="dxa"/>
            <w:vAlign w:val="bottom"/>
            <w:vMerge w:val="continue"/>
            <w:shd w:val="clear" w:color="auto" w:fill="E7F1F5"/>
          </w:tcPr>
          <w:p>
            <w:pPr>
              <w:spacing w:after="0"/>
              <w:rPr>
                <w:sz w:val="16"/>
                <w:szCs w:val="16"/>
                <w:color w:val="auto"/>
              </w:rPr>
            </w:pPr>
          </w:p>
        </w:tc>
        <w:tc>
          <w:tcPr>
            <w:tcW w:w="3180" w:type="dxa"/>
            <w:vAlign w:val="bottom"/>
            <w:vMerge w:val="continue"/>
            <w:shd w:val="clear" w:color="auto" w:fill="E7F1F5"/>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180" w:type="dxa"/>
            <w:vAlign w:val="bottom"/>
            <w:shd w:val="clear" w:color="auto" w:fill="E7F1F5"/>
          </w:tcPr>
          <w:p>
            <w:pPr>
              <w:spacing w:after="0"/>
              <w:rPr>
                <w:sz w:val="8"/>
                <w:szCs w:val="8"/>
                <w:color w:val="auto"/>
              </w:rPr>
            </w:pPr>
          </w:p>
        </w:tc>
        <w:tc>
          <w:tcPr>
            <w:tcW w:w="1600" w:type="dxa"/>
            <w:vAlign w:val="bottom"/>
            <w:shd w:val="clear" w:color="auto" w:fill="E7F1F5"/>
          </w:tcPr>
          <w:p>
            <w:pPr>
              <w:spacing w:after="0"/>
              <w:rPr>
                <w:sz w:val="8"/>
                <w:szCs w:val="8"/>
                <w:color w:val="auto"/>
              </w:rPr>
            </w:pPr>
          </w:p>
        </w:tc>
        <w:tc>
          <w:tcPr>
            <w:tcW w:w="3280" w:type="dxa"/>
            <w:vAlign w:val="bottom"/>
            <w:shd w:val="clear" w:color="auto" w:fill="E7F1F5"/>
          </w:tcPr>
          <w:p>
            <w:pPr>
              <w:spacing w:after="0"/>
              <w:rPr>
                <w:sz w:val="8"/>
                <w:szCs w:val="8"/>
                <w:color w:val="auto"/>
              </w:rPr>
            </w:pPr>
          </w:p>
        </w:tc>
        <w:tc>
          <w:tcPr>
            <w:tcW w:w="3180" w:type="dxa"/>
            <w:vAlign w:val="bottom"/>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2"/>
                <w:szCs w:val="22"/>
                <w:color w:val="auto"/>
              </w:rPr>
            </w:pPr>
          </w:p>
        </w:tc>
        <w:tc>
          <w:tcPr>
            <w:tcW w:w="1600" w:type="dxa"/>
            <w:vAlign w:val="bottom"/>
          </w:tcPr>
          <w:p>
            <w:pPr>
              <w:ind w:left="20"/>
              <w:spacing w:after="0"/>
              <w:rPr>
                <w:sz w:val="20"/>
                <w:szCs w:val="20"/>
                <w:color w:val="auto"/>
              </w:rPr>
            </w:pPr>
            <w:r>
              <w:rPr>
                <w:rFonts w:ascii="Arial" w:cs="Arial" w:eastAsia="Arial" w:hAnsi="Arial"/>
                <w:sz w:val="13"/>
                <w:szCs w:val="13"/>
                <w:color w:val="0E191E"/>
              </w:rPr>
              <w:t>Chair</w:t>
            </w:r>
          </w:p>
        </w:tc>
        <w:tc>
          <w:tcPr>
            <w:tcW w:w="3280" w:type="dxa"/>
            <w:vAlign w:val="bottom"/>
          </w:tcPr>
          <w:p>
            <w:pPr>
              <w:jc w:val="right"/>
              <w:ind w:right="53"/>
              <w:spacing w:after="0"/>
              <w:rPr>
                <w:sz w:val="20"/>
                <w:szCs w:val="20"/>
                <w:color w:val="auto"/>
              </w:rPr>
            </w:pPr>
            <w:r>
              <w:rPr>
                <w:rFonts w:ascii="Arial" w:cs="Arial" w:eastAsia="Arial" w:hAnsi="Arial"/>
                <w:sz w:val="13"/>
                <w:szCs w:val="13"/>
                <w:color w:val="0E191E"/>
              </w:rPr>
              <w:t>20,000</w:t>
            </w:r>
          </w:p>
        </w:tc>
        <w:tc>
          <w:tcPr>
            <w:tcW w:w="3180" w:type="dxa"/>
            <w:vAlign w:val="bottom"/>
          </w:tcPr>
          <w:p>
            <w:pPr>
              <w:jc w:val="center"/>
              <w:spacing w:after="0"/>
              <w:rPr>
                <w:sz w:val="20"/>
                <w:szCs w:val="20"/>
                <w:color w:val="auto"/>
              </w:rPr>
            </w:pPr>
            <w:r>
              <w:rPr>
                <w:rFonts w:ascii="Arial" w:cs="Arial" w:eastAsia="Arial" w:hAnsi="Arial"/>
                <w:sz w:val="13"/>
                <w:szCs w:val="13"/>
                <w:color w:val="0E191E"/>
              </w:rPr>
              <w:t>None</w:t>
            </w:r>
          </w:p>
        </w:tc>
        <w:tc>
          <w:tcPr>
            <w:tcW w:w="0" w:type="dxa"/>
            <w:vAlign w:val="bottom"/>
          </w:tcPr>
          <w:p>
            <w:pPr>
              <w:spacing w:after="0"/>
              <w:rPr>
                <w:sz w:val="1"/>
                <w:szCs w:val="1"/>
                <w:color w:val="auto"/>
              </w:rPr>
            </w:pPr>
          </w:p>
        </w:tc>
      </w:tr>
      <w:tr>
        <w:trPr>
          <w:trHeight w:val="108"/>
        </w:trPr>
        <w:tc>
          <w:tcPr>
            <w:tcW w:w="318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Compensation Committee</w:t>
            </w:r>
          </w:p>
        </w:tc>
        <w:tc>
          <w:tcPr>
            <w:tcW w:w="1600" w:type="dxa"/>
            <w:vAlign w:val="bottom"/>
            <w:tcBorders>
              <w:bottom w:val="single" w:sz="8" w:color="0E191E"/>
            </w:tcBorders>
          </w:tcPr>
          <w:p>
            <w:pPr>
              <w:spacing w:after="0"/>
              <w:rPr>
                <w:sz w:val="9"/>
                <w:szCs w:val="9"/>
                <w:color w:val="auto"/>
              </w:rPr>
            </w:pPr>
          </w:p>
        </w:tc>
        <w:tc>
          <w:tcPr>
            <w:tcW w:w="3280" w:type="dxa"/>
            <w:vAlign w:val="bottom"/>
            <w:tcBorders>
              <w:bottom w:val="single" w:sz="8" w:color="0E191E"/>
            </w:tcBorders>
          </w:tcPr>
          <w:p>
            <w:pPr>
              <w:spacing w:after="0"/>
              <w:rPr>
                <w:sz w:val="9"/>
                <w:szCs w:val="9"/>
                <w:color w:val="auto"/>
              </w:rPr>
            </w:pPr>
          </w:p>
        </w:tc>
        <w:tc>
          <w:tcPr>
            <w:tcW w:w="3180" w:type="dxa"/>
            <w:vAlign w:val="bottom"/>
            <w:tcBorders>
              <w:bottom w:val="single" w:sz="8" w:color="0E191E"/>
            </w:tcBorders>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180" w:type="dxa"/>
            <w:vAlign w:val="bottom"/>
            <w:vMerge w:val="continue"/>
          </w:tcPr>
          <w:p>
            <w:pPr>
              <w:spacing w:after="0"/>
              <w:rPr>
                <w:sz w:val="5"/>
                <w:szCs w:val="5"/>
                <w:color w:val="auto"/>
              </w:rPr>
            </w:pPr>
          </w:p>
        </w:tc>
        <w:tc>
          <w:tcPr>
            <w:tcW w:w="1600" w:type="dxa"/>
            <w:vAlign w:val="bottom"/>
            <w:vMerge w:val="restart"/>
          </w:tcPr>
          <w:p>
            <w:pPr>
              <w:ind w:left="20"/>
              <w:spacing w:after="0"/>
              <w:rPr>
                <w:sz w:val="20"/>
                <w:szCs w:val="20"/>
                <w:color w:val="auto"/>
              </w:rPr>
            </w:pPr>
            <w:r>
              <w:rPr>
                <w:rFonts w:ascii="Arial" w:cs="Arial" w:eastAsia="Arial" w:hAnsi="Arial"/>
                <w:sz w:val="13"/>
                <w:szCs w:val="13"/>
                <w:color w:val="0E191E"/>
              </w:rPr>
              <w:t>Non-Chair Member</w:t>
            </w:r>
          </w:p>
        </w:tc>
        <w:tc>
          <w:tcPr>
            <w:tcW w:w="3280" w:type="dxa"/>
            <w:vAlign w:val="bottom"/>
            <w:vMerge w:val="restart"/>
          </w:tcPr>
          <w:p>
            <w:pPr>
              <w:jc w:val="right"/>
              <w:ind w:right="53"/>
              <w:spacing w:after="0"/>
              <w:rPr>
                <w:sz w:val="20"/>
                <w:szCs w:val="20"/>
                <w:color w:val="auto"/>
              </w:rPr>
            </w:pPr>
            <w:r>
              <w:rPr>
                <w:rFonts w:ascii="Arial" w:cs="Arial" w:eastAsia="Arial" w:hAnsi="Arial"/>
                <w:sz w:val="13"/>
                <w:szCs w:val="13"/>
                <w:color w:val="0E191E"/>
              </w:rPr>
              <w:t>10,000</w:t>
            </w:r>
          </w:p>
        </w:tc>
        <w:tc>
          <w:tcPr>
            <w:tcW w:w="3180" w:type="dxa"/>
            <w:vAlign w:val="bottom"/>
            <w:vMerge w:val="restart"/>
          </w:tcPr>
          <w:p>
            <w:pPr>
              <w:jc w:val="center"/>
              <w:spacing w:after="0"/>
              <w:rPr>
                <w:sz w:val="20"/>
                <w:szCs w:val="20"/>
                <w:color w:val="auto"/>
              </w:rPr>
            </w:pPr>
            <w:r>
              <w:rPr>
                <w:rFonts w:ascii="Arial" w:cs="Arial" w:eastAsia="Arial" w:hAnsi="Arial"/>
                <w:sz w:val="13"/>
                <w:szCs w:val="13"/>
                <w:color w:val="0E191E"/>
              </w:rPr>
              <w:t>None</w:t>
            </w: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3280" w:type="dxa"/>
            <w:vAlign w:val="bottom"/>
            <w:vMerge w:val="continue"/>
          </w:tcPr>
          <w:p>
            <w:pPr>
              <w:spacing w:after="0"/>
              <w:rPr>
                <w:sz w:val="16"/>
                <w:szCs w:val="16"/>
                <w:color w:val="auto"/>
              </w:rPr>
            </w:pPr>
          </w:p>
        </w:tc>
        <w:tc>
          <w:tcPr>
            <w:tcW w:w="3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180" w:type="dxa"/>
            <w:vAlign w:val="bottom"/>
            <w:vMerge w:val="restart"/>
            <w:shd w:val="clear" w:color="auto" w:fill="E7F1F5"/>
          </w:tcPr>
          <w:p>
            <w:pPr>
              <w:ind w:left="100"/>
              <w:spacing w:after="0"/>
              <w:rPr>
                <w:sz w:val="20"/>
                <w:szCs w:val="20"/>
                <w:color w:val="auto"/>
              </w:rPr>
            </w:pPr>
            <w:r>
              <w:rPr>
                <w:rFonts w:ascii="Arial" w:cs="Arial" w:eastAsia="Arial" w:hAnsi="Arial"/>
                <w:sz w:val="13"/>
                <w:szCs w:val="13"/>
                <w:b w:val="1"/>
                <w:bCs w:val="1"/>
                <w:color w:val="0E191E"/>
              </w:rPr>
              <w:t>Nominating and Corporate</w:t>
            </w:r>
          </w:p>
        </w:tc>
        <w:tc>
          <w:tcPr>
            <w:tcW w:w="1600" w:type="dxa"/>
            <w:vAlign w:val="bottom"/>
            <w:shd w:val="clear" w:color="auto" w:fill="E7F1F5"/>
          </w:tcPr>
          <w:p>
            <w:pPr>
              <w:ind w:left="20"/>
              <w:spacing w:after="0"/>
              <w:rPr>
                <w:sz w:val="20"/>
                <w:szCs w:val="20"/>
                <w:color w:val="auto"/>
              </w:rPr>
            </w:pPr>
            <w:r>
              <w:rPr>
                <w:rFonts w:ascii="Arial" w:cs="Arial" w:eastAsia="Arial" w:hAnsi="Arial"/>
                <w:sz w:val="13"/>
                <w:szCs w:val="13"/>
                <w:color w:val="0E191E"/>
              </w:rPr>
              <w:t>Chair</w:t>
            </w:r>
          </w:p>
        </w:tc>
        <w:tc>
          <w:tcPr>
            <w:tcW w:w="3280" w:type="dxa"/>
            <w:vAlign w:val="bottom"/>
            <w:shd w:val="clear" w:color="auto" w:fill="E7F1F5"/>
          </w:tcPr>
          <w:p>
            <w:pPr>
              <w:jc w:val="right"/>
              <w:ind w:right="13"/>
              <w:spacing w:after="0"/>
              <w:rPr>
                <w:sz w:val="20"/>
                <w:szCs w:val="20"/>
                <w:color w:val="auto"/>
              </w:rPr>
            </w:pPr>
            <w:r>
              <w:rPr>
                <w:rFonts w:ascii="Arial" w:cs="Arial" w:eastAsia="Arial" w:hAnsi="Arial"/>
                <w:sz w:val="13"/>
                <w:szCs w:val="13"/>
                <w:color w:val="0E191E"/>
              </w:rPr>
              <w:t>10,000</w:t>
            </w:r>
          </w:p>
        </w:tc>
        <w:tc>
          <w:tcPr>
            <w:tcW w:w="318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None</w:t>
            </w:r>
          </w:p>
        </w:tc>
        <w:tc>
          <w:tcPr>
            <w:tcW w:w="0" w:type="dxa"/>
            <w:vAlign w:val="bottom"/>
          </w:tcPr>
          <w:p>
            <w:pPr>
              <w:spacing w:after="0"/>
              <w:rPr>
                <w:sz w:val="1"/>
                <w:szCs w:val="1"/>
                <w:color w:val="auto"/>
              </w:rPr>
            </w:pPr>
          </w:p>
        </w:tc>
      </w:tr>
      <w:tr>
        <w:trPr>
          <w:trHeight w:val="136"/>
        </w:trPr>
        <w:tc>
          <w:tcPr>
            <w:tcW w:w="3180" w:type="dxa"/>
            <w:vAlign w:val="bottom"/>
            <w:tcBorders>
              <w:bottom w:val="single" w:sz="8" w:color="E7F1F5"/>
            </w:tcBorders>
            <w:vMerge w:val="continue"/>
            <w:shd w:val="clear" w:color="auto" w:fill="E7F1F5"/>
          </w:tcPr>
          <w:p>
            <w:pPr>
              <w:spacing w:after="0"/>
              <w:rPr>
                <w:sz w:val="11"/>
                <w:szCs w:val="11"/>
                <w:color w:val="auto"/>
              </w:rPr>
            </w:pPr>
          </w:p>
        </w:tc>
        <w:tc>
          <w:tcPr>
            <w:tcW w:w="1600" w:type="dxa"/>
            <w:vAlign w:val="bottom"/>
            <w:tcBorders>
              <w:bottom w:val="single" w:sz="8" w:color="E7F1F5"/>
            </w:tcBorders>
            <w:shd w:val="clear" w:color="auto" w:fill="E7F1F5"/>
          </w:tcPr>
          <w:p>
            <w:pPr>
              <w:spacing w:after="0"/>
              <w:rPr>
                <w:sz w:val="11"/>
                <w:szCs w:val="11"/>
                <w:color w:val="auto"/>
              </w:rPr>
            </w:pPr>
          </w:p>
        </w:tc>
        <w:tc>
          <w:tcPr>
            <w:tcW w:w="3280" w:type="dxa"/>
            <w:vAlign w:val="bottom"/>
            <w:tcBorders>
              <w:bottom w:val="single" w:sz="8" w:color="E7F1F5"/>
            </w:tcBorders>
            <w:shd w:val="clear" w:color="auto" w:fill="E7F1F5"/>
          </w:tcPr>
          <w:p>
            <w:pPr>
              <w:spacing w:after="0"/>
              <w:rPr>
                <w:sz w:val="11"/>
                <w:szCs w:val="11"/>
                <w:color w:val="auto"/>
              </w:rPr>
            </w:pPr>
          </w:p>
        </w:tc>
        <w:tc>
          <w:tcPr>
            <w:tcW w:w="3180" w:type="dxa"/>
            <w:vAlign w:val="bottom"/>
            <w:tcBorders>
              <w:bottom w:val="single" w:sz="8" w:color="E7F1F5"/>
            </w:tcBorders>
            <w:shd w:val="clear" w:color="auto" w:fill="E7F1F5"/>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180" w:type="dxa"/>
            <w:vAlign w:val="bottom"/>
            <w:tcBorders>
              <w:top w:val="single" w:sz="8" w:color="E7F1F5"/>
            </w:tcBorders>
            <w:shd w:val="clear" w:color="auto" w:fill="E7F1F5"/>
          </w:tcPr>
          <w:p>
            <w:pPr>
              <w:ind w:left="100"/>
              <w:spacing w:after="0" w:line="101" w:lineRule="exact"/>
              <w:rPr>
                <w:sz w:val="20"/>
                <w:szCs w:val="20"/>
                <w:color w:val="auto"/>
              </w:rPr>
            </w:pPr>
            <w:r>
              <w:rPr>
                <w:rFonts w:ascii="Arial" w:cs="Arial" w:eastAsia="Arial" w:hAnsi="Arial"/>
                <w:sz w:val="11"/>
                <w:szCs w:val="11"/>
                <w:b w:val="1"/>
                <w:bCs w:val="1"/>
                <w:color w:val="0E191E"/>
              </w:rPr>
              <w:t>Governance Committee</w:t>
            </w:r>
          </w:p>
        </w:tc>
        <w:tc>
          <w:tcPr>
            <w:tcW w:w="1600" w:type="dxa"/>
            <w:vAlign w:val="bottom"/>
            <w:tcBorders>
              <w:top w:val="single" w:sz="8" w:color="0E191E"/>
            </w:tcBorders>
            <w:vMerge w:val="restart"/>
            <w:shd w:val="clear" w:color="auto" w:fill="E7F1F5"/>
          </w:tcPr>
          <w:p>
            <w:pPr>
              <w:ind w:left="20"/>
              <w:spacing w:after="0"/>
              <w:rPr>
                <w:sz w:val="20"/>
                <w:szCs w:val="20"/>
                <w:color w:val="auto"/>
              </w:rPr>
            </w:pPr>
            <w:r>
              <w:rPr>
                <w:rFonts w:ascii="Arial" w:cs="Arial" w:eastAsia="Arial" w:hAnsi="Arial"/>
                <w:sz w:val="13"/>
                <w:szCs w:val="13"/>
                <w:color w:val="0E191E"/>
              </w:rPr>
              <w:t>Non-Chair Member</w:t>
            </w:r>
          </w:p>
        </w:tc>
        <w:tc>
          <w:tcPr>
            <w:tcW w:w="3280" w:type="dxa"/>
            <w:vAlign w:val="bottom"/>
            <w:tcBorders>
              <w:top w:val="single" w:sz="8" w:color="0E191E"/>
            </w:tcBorders>
            <w:vMerge w:val="restart"/>
            <w:shd w:val="clear" w:color="auto" w:fill="E7F1F5"/>
          </w:tcPr>
          <w:p>
            <w:pPr>
              <w:jc w:val="right"/>
              <w:ind w:right="13"/>
              <w:spacing w:after="0"/>
              <w:rPr>
                <w:sz w:val="20"/>
                <w:szCs w:val="20"/>
                <w:color w:val="auto"/>
              </w:rPr>
            </w:pPr>
            <w:r>
              <w:rPr>
                <w:rFonts w:ascii="Arial" w:cs="Arial" w:eastAsia="Arial" w:hAnsi="Arial"/>
                <w:sz w:val="13"/>
                <w:szCs w:val="13"/>
                <w:color w:val="0E191E"/>
              </w:rPr>
              <w:t>5,000</w:t>
            </w:r>
          </w:p>
        </w:tc>
        <w:tc>
          <w:tcPr>
            <w:tcW w:w="3180" w:type="dxa"/>
            <w:vAlign w:val="bottom"/>
            <w:tcBorders>
              <w:top w:val="single" w:sz="8" w:color="0E191E"/>
            </w:tcBorders>
            <w:vMerge w:val="restart"/>
            <w:shd w:val="clear" w:color="auto" w:fill="E7F1F5"/>
          </w:tcPr>
          <w:p>
            <w:pPr>
              <w:jc w:val="center"/>
              <w:spacing w:after="0"/>
              <w:rPr>
                <w:sz w:val="20"/>
                <w:szCs w:val="20"/>
                <w:color w:val="auto"/>
              </w:rPr>
            </w:pPr>
            <w:r>
              <w:rPr>
                <w:rFonts w:ascii="Arial" w:cs="Arial" w:eastAsia="Arial" w:hAnsi="Arial"/>
                <w:sz w:val="13"/>
                <w:szCs w:val="13"/>
                <w:color w:val="0E191E"/>
              </w:rPr>
              <w:t>None</w:t>
            </w:r>
          </w:p>
        </w:tc>
        <w:tc>
          <w:tcPr>
            <w:tcW w:w="0" w:type="dxa"/>
            <w:vAlign w:val="bottom"/>
          </w:tcPr>
          <w:p>
            <w:pPr>
              <w:spacing w:after="0"/>
              <w:rPr>
                <w:sz w:val="1"/>
                <w:szCs w:val="1"/>
                <w:color w:val="auto"/>
              </w:rPr>
            </w:pPr>
          </w:p>
        </w:tc>
      </w:tr>
      <w:tr>
        <w:trPr>
          <w:trHeight w:val="148"/>
        </w:trPr>
        <w:tc>
          <w:tcPr>
            <w:tcW w:w="3180" w:type="dxa"/>
            <w:vAlign w:val="bottom"/>
            <w:shd w:val="clear" w:color="auto" w:fill="E7F1F5"/>
          </w:tcPr>
          <w:p>
            <w:pPr>
              <w:spacing w:after="0"/>
              <w:rPr>
                <w:sz w:val="12"/>
                <w:szCs w:val="12"/>
                <w:color w:val="auto"/>
              </w:rPr>
            </w:pPr>
          </w:p>
        </w:tc>
        <w:tc>
          <w:tcPr>
            <w:tcW w:w="1600" w:type="dxa"/>
            <w:vAlign w:val="bottom"/>
            <w:vMerge w:val="continue"/>
            <w:shd w:val="clear" w:color="auto" w:fill="E7F1F5"/>
          </w:tcPr>
          <w:p>
            <w:pPr>
              <w:spacing w:after="0"/>
              <w:rPr>
                <w:sz w:val="12"/>
                <w:szCs w:val="12"/>
                <w:color w:val="auto"/>
              </w:rPr>
            </w:pPr>
          </w:p>
        </w:tc>
        <w:tc>
          <w:tcPr>
            <w:tcW w:w="3280" w:type="dxa"/>
            <w:vAlign w:val="bottom"/>
            <w:vMerge w:val="continue"/>
            <w:shd w:val="clear" w:color="auto" w:fill="E7F1F5"/>
          </w:tcPr>
          <w:p>
            <w:pPr>
              <w:spacing w:after="0"/>
              <w:rPr>
                <w:sz w:val="12"/>
                <w:szCs w:val="12"/>
                <w:color w:val="auto"/>
              </w:rPr>
            </w:pPr>
          </w:p>
        </w:tc>
        <w:tc>
          <w:tcPr>
            <w:tcW w:w="3180" w:type="dxa"/>
            <w:vAlign w:val="bottom"/>
            <w:vMerge w:val="continue"/>
            <w:shd w:val="clear" w:color="auto" w:fill="E7F1F5"/>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180" w:type="dxa"/>
            <w:vAlign w:val="bottom"/>
            <w:shd w:val="clear" w:color="auto" w:fill="E7F1F5"/>
          </w:tcPr>
          <w:p>
            <w:pPr>
              <w:spacing w:after="0"/>
              <w:rPr>
                <w:sz w:val="8"/>
                <w:szCs w:val="8"/>
                <w:color w:val="auto"/>
              </w:rPr>
            </w:pPr>
          </w:p>
        </w:tc>
        <w:tc>
          <w:tcPr>
            <w:tcW w:w="1600" w:type="dxa"/>
            <w:vAlign w:val="bottom"/>
            <w:shd w:val="clear" w:color="auto" w:fill="E7F1F5"/>
          </w:tcPr>
          <w:p>
            <w:pPr>
              <w:spacing w:after="0"/>
              <w:rPr>
                <w:sz w:val="8"/>
                <w:szCs w:val="8"/>
                <w:color w:val="auto"/>
              </w:rPr>
            </w:pPr>
          </w:p>
        </w:tc>
        <w:tc>
          <w:tcPr>
            <w:tcW w:w="3280" w:type="dxa"/>
            <w:vAlign w:val="bottom"/>
            <w:shd w:val="clear" w:color="auto" w:fill="E7F1F5"/>
          </w:tcPr>
          <w:p>
            <w:pPr>
              <w:spacing w:after="0"/>
              <w:rPr>
                <w:sz w:val="8"/>
                <w:szCs w:val="8"/>
                <w:color w:val="auto"/>
              </w:rPr>
            </w:pPr>
          </w:p>
        </w:tc>
        <w:tc>
          <w:tcPr>
            <w:tcW w:w="3180" w:type="dxa"/>
            <w:vAlign w:val="bottom"/>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2"/>
                <w:szCs w:val="22"/>
                <w:color w:val="auto"/>
              </w:rPr>
            </w:pPr>
          </w:p>
        </w:tc>
        <w:tc>
          <w:tcPr>
            <w:tcW w:w="1600" w:type="dxa"/>
            <w:vAlign w:val="bottom"/>
          </w:tcPr>
          <w:p>
            <w:pPr>
              <w:ind w:left="20"/>
              <w:spacing w:after="0"/>
              <w:rPr>
                <w:sz w:val="20"/>
                <w:szCs w:val="20"/>
                <w:color w:val="auto"/>
              </w:rPr>
            </w:pPr>
            <w:r>
              <w:rPr>
                <w:rFonts w:ascii="Arial" w:cs="Arial" w:eastAsia="Arial" w:hAnsi="Arial"/>
                <w:sz w:val="13"/>
                <w:szCs w:val="13"/>
                <w:color w:val="0E191E"/>
              </w:rPr>
              <w:t>Chair</w:t>
            </w:r>
          </w:p>
        </w:tc>
        <w:tc>
          <w:tcPr>
            <w:tcW w:w="3280" w:type="dxa"/>
            <w:vAlign w:val="bottom"/>
          </w:tcPr>
          <w:p>
            <w:pPr>
              <w:jc w:val="right"/>
              <w:ind w:right="53"/>
              <w:spacing w:after="0"/>
              <w:rPr>
                <w:sz w:val="20"/>
                <w:szCs w:val="20"/>
                <w:color w:val="auto"/>
              </w:rPr>
            </w:pPr>
            <w:r>
              <w:rPr>
                <w:rFonts w:ascii="Arial" w:cs="Arial" w:eastAsia="Arial" w:hAnsi="Arial"/>
                <w:sz w:val="13"/>
                <w:szCs w:val="13"/>
                <w:color w:val="0E191E"/>
              </w:rPr>
              <w:t>25,000</w:t>
            </w:r>
          </w:p>
        </w:tc>
        <w:tc>
          <w:tcPr>
            <w:tcW w:w="3180" w:type="dxa"/>
            <w:vAlign w:val="bottom"/>
          </w:tcPr>
          <w:p>
            <w:pPr>
              <w:jc w:val="center"/>
              <w:spacing w:after="0"/>
              <w:rPr>
                <w:sz w:val="20"/>
                <w:szCs w:val="20"/>
                <w:color w:val="auto"/>
              </w:rPr>
            </w:pPr>
            <w:r>
              <w:rPr>
                <w:rFonts w:ascii="Arial" w:cs="Arial" w:eastAsia="Arial" w:hAnsi="Arial"/>
                <w:sz w:val="13"/>
                <w:szCs w:val="13"/>
                <w:color w:val="0E191E"/>
              </w:rPr>
              <w:t>None</w:t>
            </w:r>
          </w:p>
        </w:tc>
        <w:tc>
          <w:tcPr>
            <w:tcW w:w="0" w:type="dxa"/>
            <w:vAlign w:val="bottom"/>
          </w:tcPr>
          <w:p>
            <w:pPr>
              <w:spacing w:after="0"/>
              <w:rPr>
                <w:sz w:val="1"/>
                <w:szCs w:val="1"/>
                <w:color w:val="auto"/>
              </w:rPr>
            </w:pPr>
          </w:p>
        </w:tc>
      </w:tr>
      <w:tr>
        <w:trPr>
          <w:trHeight w:val="108"/>
        </w:trPr>
        <w:tc>
          <w:tcPr>
            <w:tcW w:w="318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Risk Committee</w:t>
            </w:r>
          </w:p>
        </w:tc>
        <w:tc>
          <w:tcPr>
            <w:tcW w:w="1600" w:type="dxa"/>
            <w:vAlign w:val="bottom"/>
            <w:tcBorders>
              <w:bottom w:val="single" w:sz="8" w:color="0E191E"/>
            </w:tcBorders>
          </w:tcPr>
          <w:p>
            <w:pPr>
              <w:spacing w:after="0"/>
              <w:rPr>
                <w:sz w:val="9"/>
                <w:szCs w:val="9"/>
                <w:color w:val="auto"/>
              </w:rPr>
            </w:pPr>
          </w:p>
        </w:tc>
        <w:tc>
          <w:tcPr>
            <w:tcW w:w="3280" w:type="dxa"/>
            <w:vAlign w:val="bottom"/>
            <w:tcBorders>
              <w:bottom w:val="single" w:sz="8" w:color="0E191E"/>
            </w:tcBorders>
          </w:tcPr>
          <w:p>
            <w:pPr>
              <w:spacing w:after="0"/>
              <w:rPr>
                <w:sz w:val="9"/>
                <w:szCs w:val="9"/>
                <w:color w:val="auto"/>
              </w:rPr>
            </w:pPr>
          </w:p>
        </w:tc>
        <w:tc>
          <w:tcPr>
            <w:tcW w:w="3180" w:type="dxa"/>
            <w:vAlign w:val="bottom"/>
            <w:tcBorders>
              <w:bottom w:val="single" w:sz="8" w:color="0E191E"/>
            </w:tcBorders>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180" w:type="dxa"/>
            <w:vAlign w:val="bottom"/>
            <w:vMerge w:val="continue"/>
          </w:tcPr>
          <w:p>
            <w:pPr>
              <w:spacing w:after="0"/>
              <w:rPr>
                <w:sz w:val="5"/>
                <w:szCs w:val="5"/>
                <w:color w:val="auto"/>
              </w:rPr>
            </w:pPr>
          </w:p>
        </w:tc>
        <w:tc>
          <w:tcPr>
            <w:tcW w:w="1600" w:type="dxa"/>
            <w:vAlign w:val="bottom"/>
            <w:vMerge w:val="restart"/>
          </w:tcPr>
          <w:p>
            <w:pPr>
              <w:ind w:left="20"/>
              <w:spacing w:after="0"/>
              <w:rPr>
                <w:sz w:val="20"/>
                <w:szCs w:val="20"/>
                <w:color w:val="auto"/>
              </w:rPr>
            </w:pPr>
            <w:r>
              <w:rPr>
                <w:rFonts w:ascii="Arial" w:cs="Arial" w:eastAsia="Arial" w:hAnsi="Arial"/>
                <w:sz w:val="13"/>
                <w:szCs w:val="13"/>
                <w:color w:val="0E191E"/>
              </w:rPr>
              <w:t>Non-Chair Member</w:t>
            </w:r>
          </w:p>
        </w:tc>
        <w:tc>
          <w:tcPr>
            <w:tcW w:w="3280" w:type="dxa"/>
            <w:vAlign w:val="bottom"/>
            <w:vMerge w:val="restart"/>
          </w:tcPr>
          <w:p>
            <w:pPr>
              <w:jc w:val="right"/>
              <w:ind w:right="13"/>
              <w:spacing w:after="0"/>
              <w:rPr>
                <w:sz w:val="20"/>
                <w:szCs w:val="20"/>
                <w:color w:val="auto"/>
              </w:rPr>
            </w:pPr>
            <w:r>
              <w:rPr>
                <w:rFonts w:ascii="Arial" w:cs="Arial" w:eastAsia="Arial" w:hAnsi="Arial"/>
                <w:sz w:val="13"/>
                <w:szCs w:val="13"/>
                <w:color w:val="0E191E"/>
              </w:rPr>
              <w:t>7,500</w:t>
            </w:r>
          </w:p>
        </w:tc>
        <w:tc>
          <w:tcPr>
            <w:tcW w:w="3180" w:type="dxa"/>
            <w:vAlign w:val="bottom"/>
            <w:vMerge w:val="restart"/>
          </w:tcPr>
          <w:p>
            <w:pPr>
              <w:jc w:val="center"/>
              <w:spacing w:after="0"/>
              <w:rPr>
                <w:sz w:val="20"/>
                <w:szCs w:val="20"/>
                <w:color w:val="auto"/>
              </w:rPr>
            </w:pPr>
            <w:r>
              <w:rPr>
                <w:rFonts w:ascii="Arial" w:cs="Arial" w:eastAsia="Arial" w:hAnsi="Arial"/>
                <w:sz w:val="13"/>
                <w:szCs w:val="13"/>
                <w:color w:val="0E191E"/>
              </w:rPr>
              <w:t>None</w:t>
            </w: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3280" w:type="dxa"/>
            <w:vAlign w:val="bottom"/>
            <w:vMerge w:val="continue"/>
          </w:tcPr>
          <w:p>
            <w:pPr>
              <w:spacing w:after="0"/>
              <w:rPr>
                <w:sz w:val="16"/>
                <w:szCs w:val="16"/>
                <w:color w:val="auto"/>
              </w:rPr>
            </w:pPr>
          </w:p>
        </w:tc>
        <w:tc>
          <w:tcPr>
            <w:tcW w:w="3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1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32</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1" w:right="339" w:bottom="1440" w:gutter="0" w:footer="0" w:header="0"/>
        </w:sectPr>
      </w:pPr>
    </w:p>
    <w:bookmarkStart w:id="36" w:name="page37"/>
    <w:bookmarkEnd w:id="36"/>
    <w:p>
      <w:pPr>
        <w:ind w:left="460" w:hanging="225"/>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0E191E"/>
        </w:rPr>
        <w:t>The annual cash retainers are payable in quarterly installments, pro-rated based on number of days served.</w:t>
      </w:r>
    </w:p>
    <w:p>
      <w:pPr>
        <w:spacing w:after="0" w:line="124" w:lineRule="exact"/>
        <w:rPr>
          <w:rFonts w:ascii="Arial" w:cs="Arial" w:eastAsia="Arial" w:hAnsi="Arial"/>
          <w:sz w:val="15"/>
          <w:szCs w:val="15"/>
          <w:color w:val="auto"/>
        </w:rPr>
      </w:pPr>
    </w:p>
    <w:p>
      <w:pPr>
        <w:ind w:left="460" w:right="300" w:hanging="225"/>
        <w:spacing w:after="0" w:line="279"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0E191E"/>
        </w:rPr>
        <w:t>The RSU grants vest on the one-year anniversary of the grant date. However, if the non-employee director's service ends at the next annual meeting of stockholders and such meeting occurs before the one-year anniversary of the grant date, the RSU shall be fully vested on the date of such annual meeting.</w:t>
      </w:r>
    </w:p>
    <w:p>
      <w:pPr>
        <w:spacing w:after="0" w:line="152"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0E191E"/>
        </w:rPr>
        <w:t>The table below shows the compensation received or earned by each of our non-employee directors during fiscal year 2021. Of our directors during fiscal year 2021, Mike Rosenbaum was an employee and did not receive any additional compensation for his service as our director during this time. Mr. Rosenbaum was a named executive officer for fiscal year 2021 and information regarding his compensation for such year is presented below in the “Summary Compensation Table.”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DIRECTOR COMPENSATION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0" w:type="dxa"/>
            <w:vAlign w:val="bottom"/>
            <w:shd w:val="clear" w:color="auto" w:fill="00739D"/>
          </w:tcPr>
          <w:p>
            <w:pPr>
              <w:spacing w:after="0"/>
              <w:rPr>
                <w:sz w:val="14"/>
                <w:szCs w:val="14"/>
                <w:color w:val="auto"/>
              </w:rPr>
            </w:pPr>
          </w:p>
        </w:tc>
        <w:tc>
          <w:tcPr>
            <w:tcW w:w="2880" w:type="dxa"/>
            <w:vAlign w:val="bottom"/>
            <w:shd w:val="clear" w:color="auto" w:fill="00739D"/>
          </w:tcPr>
          <w:p>
            <w:pPr>
              <w:jc w:val="right"/>
              <w:ind w:right="213"/>
              <w:spacing w:after="0"/>
              <w:rPr>
                <w:sz w:val="20"/>
                <w:szCs w:val="20"/>
                <w:color w:val="auto"/>
              </w:rPr>
            </w:pPr>
            <w:r>
              <w:rPr>
                <w:rFonts w:ascii="Arial" w:cs="Arial" w:eastAsia="Arial" w:hAnsi="Arial"/>
                <w:sz w:val="13"/>
                <w:szCs w:val="13"/>
                <w:b w:val="1"/>
                <w:bCs w:val="1"/>
                <w:color w:val="FFFFFF"/>
              </w:rPr>
              <w:t>Fees Earned or Paid in Cash</w:t>
            </w:r>
          </w:p>
        </w:tc>
        <w:tc>
          <w:tcPr>
            <w:tcW w:w="1500" w:type="dxa"/>
            <w:vAlign w:val="bottom"/>
            <w:shd w:val="clear" w:color="auto" w:fill="00739D"/>
          </w:tcPr>
          <w:p>
            <w:pPr>
              <w:jc w:val="right"/>
              <w:ind w:right="293"/>
              <w:spacing w:after="0"/>
              <w:rPr>
                <w:sz w:val="20"/>
                <w:szCs w:val="20"/>
                <w:color w:val="auto"/>
              </w:rPr>
            </w:pPr>
            <w:r>
              <w:rPr>
                <w:rFonts w:ascii="Arial" w:cs="Arial" w:eastAsia="Arial" w:hAnsi="Arial"/>
                <w:sz w:val="13"/>
                <w:szCs w:val="13"/>
                <w:b w:val="1"/>
                <w:bCs w:val="1"/>
                <w:color w:val="FFFFFF"/>
              </w:rPr>
              <w:t>Stock Awards</w:t>
            </w:r>
          </w:p>
        </w:tc>
        <w:tc>
          <w:tcPr>
            <w:tcW w:w="1060" w:type="dxa"/>
            <w:vAlign w:val="bottom"/>
            <w:shd w:val="clear" w:color="auto" w:fill="00739D"/>
          </w:tcPr>
          <w:p>
            <w:pPr>
              <w:jc w:val="right"/>
              <w:ind w:right="133"/>
              <w:spacing w:after="0"/>
              <w:rPr>
                <w:sz w:val="20"/>
                <w:szCs w:val="20"/>
                <w:color w:val="auto"/>
              </w:rPr>
            </w:pPr>
            <w:r>
              <w:rPr>
                <w:rFonts w:ascii="Arial" w:cs="Arial" w:eastAsia="Arial" w:hAnsi="Arial"/>
                <w:sz w:val="13"/>
                <w:szCs w:val="13"/>
                <w:b w:val="1"/>
                <w:bCs w:val="1"/>
                <w:color w:val="FFFFFF"/>
              </w:rPr>
              <w:t>Total</w:t>
            </w:r>
          </w:p>
        </w:tc>
      </w:tr>
      <w:tr>
        <w:trPr>
          <w:trHeight w:val="206"/>
        </w:trPr>
        <w:tc>
          <w:tcPr>
            <w:tcW w:w="580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w:t>
            </w:r>
          </w:p>
        </w:tc>
        <w:tc>
          <w:tcPr>
            <w:tcW w:w="2880" w:type="dxa"/>
            <w:vAlign w:val="bottom"/>
            <w:shd w:val="clear" w:color="auto" w:fill="00739D"/>
          </w:tcPr>
          <w:p>
            <w:pPr>
              <w:jc w:val="right"/>
              <w:ind w:right="193"/>
              <w:spacing w:after="0"/>
              <w:rPr>
                <w:sz w:val="20"/>
                <w:szCs w:val="20"/>
                <w:color w:val="auto"/>
              </w:rPr>
            </w:pPr>
            <w:r>
              <w:rPr>
                <w:rFonts w:ascii="Arial" w:cs="Arial" w:eastAsia="Arial" w:hAnsi="Arial"/>
                <w:sz w:val="13"/>
                <w:szCs w:val="13"/>
                <w:b w:val="1"/>
                <w:bCs w:val="1"/>
                <w:color w:val="FFFFFF"/>
              </w:rPr>
              <w:t>($)</w:t>
            </w:r>
          </w:p>
        </w:tc>
        <w:tc>
          <w:tcPr>
            <w:tcW w:w="1500" w:type="dxa"/>
            <w:vAlign w:val="bottom"/>
            <w:shd w:val="clear" w:color="auto" w:fill="00739D"/>
          </w:tcPr>
          <w:p>
            <w:pPr>
              <w:jc w:val="right"/>
              <w:ind w:right="293"/>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7"/>
                <w:szCs w:val="17"/>
                <w:b w:val="1"/>
                <w:bCs w:val="1"/>
                <w:color w:val="FFFFFF"/>
                <w:vertAlign w:val="superscript"/>
              </w:rPr>
              <w:t>(1)</w:t>
            </w:r>
          </w:p>
        </w:tc>
        <w:tc>
          <w:tcPr>
            <w:tcW w:w="1060" w:type="dxa"/>
            <w:vAlign w:val="bottom"/>
            <w:shd w:val="clear" w:color="auto" w:fill="00739D"/>
          </w:tcPr>
          <w:p>
            <w:pPr>
              <w:jc w:val="right"/>
              <w:ind w:right="93"/>
              <w:spacing w:after="0"/>
              <w:rPr>
                <w:sz w:val="20"/>
                <w:szCs w:val="20"/>
                <w:color w:val="auto"/>
              </w:rPr>
            </w:pPr>
            <w:r>
              <w:rPr>
                <w:rFonts w:ascii="Arial" w:cs="Arial" w:eastAsia="Arial" w:hAnsi="Arial"/>
                <w:sz w:val="13"/>
                <w:szCs w:val="13"/>
                <w:b w:val="1"/>
                <w:bCs w:val="1"/>
                <w:color w:val="FFFFFF"/>
              </w:rPr>
              <w:t>($)</w:t>
            </w:r>
          </w:p>
        </w:tc>
      </w:tr>
      <w:tr>
        <w:trPr>
          <w:trHeight w:val="95"/>
        </w:trPr>
        <w:tc>
          <w:tcPr>
            <w:tcW w:w="5800" w:type="dxa"/>
            <w:vAlign w:val="bottom"/>
            <w:shd w:val="clear" w:color="auto" w:fill="00739D"/>
          </w:tcPr>
          <w:p>
            <w:pPr>
              <w:spacing w:after="0"/>
              <w:rPr>
                <w:sz w:val="8"/>
                <w:szCs w:val="8"/>
                <w:color w:val="auto"/>
              </w:rPr>
            </w:pPr>
          </w:p>
        </w:tc>
        <w:tc>
          <w:tcPr>
            <w:tcW w:w="2880" w:type="dxa"/>
            <w:vAlign w:val="bottom"/>
            <w:shd w:val="clear" w:color="auto" w:fill="00739D"/>
          </w:tcPr>
          <w:p>
            <w:pPr>
              <w:spacing w:after="0"/>
              <w:rPr>
                <w:sz w:val="8"/>
                <w:szCs w:val="8"/>
                <w:color w:val="auto"/>
              </w:rPr>
            </w:pPr>
          </w:p>
        </w:tc>
        <w:tc>
          <w:tcPr>
            <w:tcW w:w="1500" w:type="dxa"/>
            <w:vAlign w:val="bottom"/>
            <w:shd w:val="clear" w:color="auto" w:fill="00739D"/>
          </w:tcPr>
          <w:p>
            <w:pPr>
              <w:spacing w:after="0"/>
              <w:rPr>
                <w:sz w:val="8"/>
                <w:szCs w:val="8"/>
                <w:color w:val="auto"/>
              </w:rPr>
            </w:pPr>
          </w:p>
        </w:tc>
        <w:tc>
          <w:tcPr>
            <w:tcW w:w="1060" w:type="dxa"/>
            <w:vAlign w:val="bottom"/>
            <w:shd w:val="clear" w:color="auto" w:fill="00739D"/>
          </w:tcPr>
          <w:p>
            <w:pPr>
              <w:spacing w:after="0"/>
              <w:rPr>
                <w:sz w:val="8"/>
                <w:szCs w:val="8"/>
                <w:color w:val="auto"/>
              </w:rPr>
            </w:pPr>
          </w:p>
        </w:tc>
      </w:tr>
      <w:tr>
        <w:trPr>
          <w:trHeight w:val="216"/>
        </w:trPr>
        <w:tc>
          <w:tcPr>
            <w:tcW w:w="5800" w:type="dxa"/>
            <w:vAlign w:val="bottom"/>
          </w:tcPr>
          <w:p>
            <w:pPr>
              <w:ind w:left="100"/>
              <w:spacing w:after="0"/>
              <w:rPr>
                <w:sz w:val="20"/>
                <w:szCs w:val="20"/>
                <w:color w:val="auto"/>
              </w:rPr>
            </w:pPr>
            <w:r>
              <w:rPr>
                <w:rFonts w:ascii="Arial" w:cs="Arial" w:eastAsia="Arial" w:hAnsi="Arial"/>
                <w:sz w:val="13"/>
                <w:szCs w:val="13"/>
                <w:b w:val="1"/>
                <w:bCs w:val="1"/>
                <w:color w:val="0E191E"/>
              </w:rPr>
              <w:t>Marcus Ryu</w:t>
            </w:r>
            <w:r>
              <w:rPr>
                <w:rFonts w:ascii="Arial" w:cs="Arial" w:eastAsia="Arial" w:hAnsi="Arial"/>
                <w:sz w:val="17"/>
                <w:szCs w:val="17"/>
                <w:b w:val="1"/>
                <w:bCs w:val="1"/>
                <w:color w:val="0E191E"/>
                <w:vertAlign w:val="superscript"/>
              </w:rPr>
              <w:t>(2)</w:t>
            </w:r>
          </w:p>
        </w:tc>
        <w:tc>
          <w:tcPr>
            <w:tcW w:w="2880" w:type="dxa"/>
            <w:vAlign w:val="bottom"/>
          </w:tcPr>
          <w:p>
            <w:pPr>
              <w:jc w:val="right"/>
              <w:ind w:right="233"/>
              <w:spacing w:after="0"/>
              <w:rPr>
                <w:sz w:val="20"/>
                <w:szCs w:val="20"/>
                <w:color w:val="auto"/>
              </w:rPr>
            </w:pPr>
            <w:r>
              <w:rPr>
                <w:rFonts w:ascii="Arial" w:cs="Arial" w:eastAsia="Arial" w:hAnsi="Arial"/>
                <w:sz w:val="13"/>
                <w:szCs w:val="13"/>
                <w:color w:val="0E191E"/>
              </w:rPr>
              <w:t>99,986</w:t>
            </w:r>
          </w:p>
        </w:tc>
        <w:tc>
          <w:tcPr>
            <w:tcW w:w="1500" w:type="dxa"/>
            <w:vAlign w:val="bottom"/>
          </w:tcPr>
          <w:p>
            <w:pPr>
              <w:jc w:val="right"/>
              <w:ind w:right="333"/>
              <w:spacing w:after="0"/>
              <w:rPr>
                <w:sz w:val="20"/>
                <w:szCs w:val="20"/>
                <w:color w:val="auto"/>
              </w:rPr>
            </w:pPr>
            <w:r>
              <w:rPr>
                <w:rFonts w:ascii="Arial" w:cs="Arial" w:eastAsia="Arial" w:hAnsi="Arial"/>
                <w:sz w:val="13"/>
                <w:szCs w:val="13"/>
                <w:color w:val="0E191E"/>
              </w:rPr>
              <w:t>233,735</w:t>
            </w:r>
          </w:p>
        </w:tc>
        <w:tc>
          <w:tcPr>
            <w:tcW w:w="1060" w:type="dxa"/>
            <w:vAlign w:val="bottom"/>
          </w:tcPr>
          <w:p>
            <w:pPr>
              <w:jc w:val="right"/>
              <w:ind w:right="133"/>
              <w:spacing w:after="0"/>
              <w:rPr>
                <w:sz w:val="20"/>
                <w:szCs w:val="20"/>
                <w:color w:val="auto"/>
              </w:rPr>
            </w:pPr>
            <w:r>
              <w:rPr>
                <w:rFonts w:ascii="Arial" w:cs="Arial" w:eastAsia="Arial" w:hAnsi="Arial"/>
                <w:sz w:val="13"/>
                <w:szCs w:val="13"/>
                <w:color w:val="0E191E"/>
              </w:rPr>
              <w:t>333,721</w:t>
            </w:r>
          </w:p>
        </w:tc>
      </w:tr>
      <w:tr>
        <w:trPr>
          <w:trHeight w:val="216"/>
        </w:trPr>
        <w:tc>
          <w:tcPr>
            <w:tcW w:w="5800" w:type="dxa"/>
            <w:vAlign w:val="bottom"/>
            <w:shd w:val="clear" w:color="auto" w:fill="E5F1F5"/>
          </w:tcPr>
          <w:p>
            <w:pPr>
              <w:ind w:left="100"/>
              <w:spacing w:after="0"/>
              <w:rPr>
                <w:sz w:val="20"/>
                <w:szCs w:val="20"/>
                <w:color w:val="auto"/>
              </w:rPr>
            </w:pPr>
            <w:r>
              <w:rPr>
                <w:rFonts w:ascii="Arial" w:cs="Arial" w:eastAsia="Arial" w:hAnsi="Arial"/>
                <w:sz w:val="13"/>
                <w:szCs w:val="13"/>
                <w:b w:val="1"/>
                <w:bCs w:val="1"/>
                <w:color w:val="0E191E"/>
              </w:rPr>
              <w:t>Paul Lavin</w:t>
            </w:r>
            <w:r>
              <w:rPr>
                <w:rFonts w:ascii="Arial" w:cs="Arial" w:eastAsia="Arial" w:hAnsi="Arial"/>
                <w:sz w:val="17"/>
                <w:szCs w:val="17"/>
                <w:b w:val="1"/>
                <w:bCs w:val="1"/>
                <w:color w:val="0E191E"/>
                <w:vertAlign w:val="superscript"/>
              </w:rPr>
              <w:t>(3)</w:t>
            </w:r>
          </w:p>
        </w:tc>
        <w:tc>
          <w:tcPr>
            <w:tcW w:w="2880" w:type="dxa"/>
            <w:vAlign w:val="bottom"/>
            <w:shd w:val="clear" w:color="auto" w:fill="E5F1F5"/>
          </w:tcPr>
          <w:p>
            <w:pPr>
              <w:jc w:val="right"/>
              <w:ind w:right="233"/>
              <w:spacing w:after="0"/>
              <w:rPr>
                <w:sz w:val="20"/>
                <w:szCs w:val="20"/>
                <w:color w:val="auto"/>
              </w:rPr>
            </w:pPr>
            <w:r>
              <w:rPr>
                <w:rFonts w:ascii="Arial" w:cs="Arial" w:eastAsia="Arial" w:hAnsi="Arial"/>
                <w:sz w:val="13"/>
                <w:szCs w:val="13"/>
                <w:color w:val="0E191E"/>
              </w:rPr>
              <w:t>129,663</w:t>
            </w:r>
          </w:p>
        </w:tc>
        <w:tc>
          <w:tcPr>
            <w:tcW w:w="1500" w:type="dxa"/>
            <w:vAlign w:val="bottom"/>
            <w:shd w:val="clear" w:color="auto" w:fill="E5F1F5"/>
          </w:tcPr>
          <w:p>
            <w:pPr>
              <w:jc w:val="right"/>
              <w:ind w:right="333"/>
              <w:spacing w:after="0"/>
              <w:rPr>
                <w:sz w:val="20"/>
                <w:szCs w:val="20"/>
                <w:color w:val="auto"/>
              </w:rPr>
            </w:pPr>
            <w:r>
              <w:rPr>
                <w:rFonts w:ascii="Arial" w:cs="Arial" w:eastAsia="Arial" w:hAnsi="Arial"/>
                <w:sz w:val="13"/>
                <w:szCs w:val="13"/>
                <w:color w:val="0E191E"/>
              </w:rPr>
              <w:t>233,735</w:t>
            </w:r>
          </w:p>
        </w:tc>
        <w:tc>
          <w:tcPr>
            <w:tcW w:w="1060" w:type="dxa"/>
            <w:vAlign w:val="bottom"/>
            <w:shd w:val="clear" w:color="auto" w:fill="E5F1F5"/>
          </w:tcPr>
          <w:p>
            <w:pPr>
              <w:jc w:val="right"/>
              <w:ind w:right="133"/>
              <w:spacing w:after="0"/>
              <w:rPr>
                <w:sz w:val="20"/>
                <w:szCs w:val="20"/>
                <w:color w:val="auto"/>
              </w:rPr>
            </w:pPr>
            <w:r>
              <w:rPr>
                <w:rFonts w:ascii="Arial" w:cs="Arial" w:eastAsia="Arial" w:hAnsi="Arial"/>
                <w:sz w:val="13"/>
                <w:szCs w:val="13"/>
                <w:color w:val="0E191E"/>
              </w:rPr>
              <w:t>363,398</w:t>
            </w:r>
          </w:p>
        </w:tc>
      </w:tr>
      <w:tr>
        <w:trPr>
          <w:trHeight w:val="216"/>
        </w:trPr>
        <w:tc>
          <w:tcPr>
            <w:tcW w:w="5800" w:type="dxa"/>
            <w:vAlign w:val="bottom"/>
          </w:tcPr>
          <w:p>
            <w:pPr>
              <w:ind w:left="100"/>
              <w:spacing w:after="0"/>
              <w:rPr>
                <w:sz w:val="20"/>
                <w:szCs w:val="20"/>
                <w:color w:val="auto"/>
              </w:rPr>
            </w:pPr>
            <w:r>
              <w:rPr>
                <w:rFonts w:ascii="Arial" w:cs="Arial" w:eastAsia="Arial" w:hAnsi="Arial"/>
                <w:sz w:val="13"/>
                <w:szCs w:val="13"/>
                <w:b w:val="1"/>
                <w:bCs w:val="1"/>
                <w:color w:val="0E191E"/>
              </w:rPr>
              <w:t>Andrew Brown</w:t>
            </w:r>
            <w:r>
              <w:rPr>
                <w:rFonts w:ascii="Arial" w:cs="Arial" w:eastAsia="Arial" w:hAnsi="Arial"/>
                <w:sz w:val="17"/>
                <w:szCs w:val="17"/>
                <w:b w:val="1"/>
                <w:bCs w:val="1"/>
                <w:color w:val="0E191E"/>
                <w:vertAlign w:val="superscript"/>
              </w:rPr>
              <w:t>(4)</w:t>
            </w:r>
          </w:p>
        </w:tc>
        <w:tc>
          <w:tcPr>
            <w:tcW w:w="2880" w:type="dxa"/>
            <w:vAlign w:val="bottom"/>
          </w:tcPr>
          <w:p>
            <w:pPr>
              <w:jc w:val="right"/>
              <w:ind w:right="233"/>
              <w:spacing w:after="0"/>
              <w:rPr>
                <w:sz w:val="20"/>
                <w:szCs w:val="20"/>
                <w:color w:val="auto"/>
              </w:rPr>
            </w:pPr>
            <w:r>
              <w:rPr>
                <w:rFonts w:ascii="Arial" w:cs="Arial" w:eastAsia="Arial" w:hAnsi="Arial"/>
                <w:sz w:val="13"/>
                <w:szCs w:val="13"/>
                <w:color w:val="0E191E"/>
              </w:rPr>
              <w:t>84,122</w:t>
            </w:r>
          </w:p>
        </w:tc>
        <w:tc>
          <w:tcPr>
            <w:tcW w:w="1500" w:type="dxa"/>
            <w:vAlign w:val="bottom"/>
          </w:tcPr>
          <w:p>
            <w:pPr>
              <w:jc w:val="right"/>
              <w:ind w:right="333"/>
              <w:spacing w:after="0"/>
              <w:rPr>
                <w:sz w:val="20"/>
                <w:szCs w:val="20"/>
                <w:color w:val="auto"/>
              </w:rPr>
            </w:pPr>
            <w:r>
              <w:rPr>
                <w:rFonts w:ascii="Arial" w:cs="Arial" w:eastAsia="Arial" w:hAnsi="Arial"/>
                <w:sz w:val="13"/>
                <w:szCs w:val="13"/>
                <w:color w:val="0E191E"/>
              </w:rPr>
              <w:t>233,735</w:t>
            </w:r>
          </w:p>
        </w:tc>
        <w:tc>
          <w:tcPr>
            <w:tcW w:w="1060" w:type="dxa"/>
            <w:vAlign w:val="bottom"/>
          </w:tcPr>
          <w:p>
            <w:pPr>
              <w:jc w:val="right"/>
              <w:ind w:right="133"/>
              <w:spacing w:after="0"/>
              <w:rPr>
                <w:sz w:val="20"/>
                <w:szCs w:val="20"/>
                <w:color w:val="auto"/>
              </w:rPr>
            </w:pPr>
            <w:r>
              <w:rPr>
                <w:rFonts w:ascii="Arial" w:cs="Arial" w:eastAsia="Arial" w:hAnsi="Arial"/>
                <w:sz w:val="13"/>
                <w:szCs w:val="13"/>
                <w:color w:val="0E191E"/>
              </w:rPr>
              <w:t>317,857</w:t>
            </w:r>
          </w:p>
        </w:tc>
      </w:tr>
      <w:tr>
        <w:trPr>
          <w:trHeight w:val="216"/>
        </w:trPr>
        <w:tc>
          <w:tcPr>
            <w:tcW w:w="5800" w:type="dxa"/>
            <w:vAlign w:val="bottom"/>
            <w:shd w:val="clear" w:color="auto" w:fill="E5F1F5"/>
          </w:tcPr>
          <w:p>
            <w:pPr>
              <w:ind w:left="100"/>
              <w:spacing w:after="0"/>
              <w:rPr>
                <w:sz w:val="20"/>
                <w:szCs w:val="20"/>
                <w:color w:val="auto"/>
              </w:rPr>
            </w:pPr>
            <w:r>
              <w:rPr>
                <w:rFonts w:ascii="Arial" w:cs="Arial" w:eastAsia="Arial" w:hAnsi="Arial"/>
                <w:sz w:val="13"/>
                <w:szCs w:val="13"/>
                <w:b w:val="1"/>
                <w:bCs w:val="1"/>
                <w:color w:val="0E191E"/>
              </w:rPr>
              <w:t>Margaret Dillon</w:t>
            </w:r>
            <w:r>
              <w:rPr>
                <w:rFonts w:ascii="Arial" w:cs="Arial" w:eastAsia="Arial" w:hAnsi="Arial"/>
                <w:sz w:val="17"/>
                <w:szCs w:val="17"/>
                <w:b w:val="1"/>
                <w:bCs w:val="1"/>
                <w:color w:val="0E191E"/>
                <w:vertAlign w:val="superscript"/>
              </w:rPr>
              <w:t>(5)</w:t>
            </w:r>
          </w:p>
        </w:tc>
        <w:tc>
          <w:tcPr>
            <w:tcW w:w="2880" w:type="dxa"/>
            <w:vAlign w:val="bottom"/>
            <w:shd w:val="clear" w:color="auto" w:fill="E5F1F5"/>
          </w:tcPr>
          <w:p>
            <w:pPr>
              <w:jc w:val="right"/>
              <w:ind w:right="233"/>
              <w:spacing w:after="0"/>
              <w:rPr>
                <w:sz w:val="20"/>
                <w:szCs w:val="20"/>
                <w:color w:val="auto"/>
              </w:rPr>
            </w:pPr>
            <w:r>
              <w:rPr>
                <w:rFonts w:ascii="Arial" w:cs="Arial" w:eastAsia="Arial" w:hAnsi="Arial"/>
                <w:sz w:val="13"/>
                <w:szCs w:val="13"/>
                <w:color w:val="0E191E"/>
              </w:rPr>
              <w:t>68,209</w:t>
            </w:r>
          </w:p>
        </w:tc>
        <w:tc>
          <w:tcPr>
            <w:tcW w:w="1500" w:type="dxa"/>
            <w:vAlign w:val="bottom"/>
            <w:shd w:val="clear" w:color="auto" w:fill="E5F1F5"/>
          </w:tcPr>
          <w:p>
            <w:pPr>
              <w:jc w:val="right"/>
              <w:ind w:right="333"/>
              <w:spacing w:after="0"/>
              <w:rPr>
                <w:sz w:val="20"/>
                <w:szCs w:val="20"/>
                <w:color w:val="auto"/>
              </w:rPr>
            </w:pPr>
            <w:r>
              <w:rPr>
                <w:rFonts w:ascii="Arial" w:cs="Arial" w:eastAsia="Arial" w:hAnsi="Arial"/>
                <w:sz w:val="13"/>
                <w:szCs w:val="13"/>
                <w:color w:val="0E191E"/>
              </w:rPr>
              <w:t>233,735</w:t>
            </w:r>
          </w:p>
        </w:tc>
        <w:tc>
          <w:tcPr>
            <w:tcW w:w="1060" w:type="dxa"/>
            <w:vAlign w:val="bottom"/>
            <w:shd w:val="clear" w:color="auto" w:fill="E5F1F5"/>
          </w:tcPr>
          <w:p>
            <w:pPr>
              <w:jc w:val="right"/>
              <w:ind w:right="133"/>
              <w:spacing w:after="0"/>
              <w:rPr>
                <w:sz w:val="20"/>
                <w:szCs w:val="20"/>
                <w:color w:val="auto"/>
              </w:rPr>
            </w:pPr>
            <w:r>
              <w:rPr>
                <w:rFonts w:ascii="Arial" w:cs="Arial" w:eastAsia="Arial" w:hAnsi="Arial"/>
                <w:sz w:val="13"/>
                <w:szCs w:val="13"/>
                <w:color w:val="0E191E"/>
              </w:rPr>
              <w:t>301,944</w:t>
            </w:r>
          </w:p>
        </w:tc>
      </w:tr>
      <w:tr>
        <w:trPr>
          <w:trHeight w:val="216"/>
        </w:trPr>
        <w:tc>
          <w:tcPr>
            <w:tcW w:w="5800" w:type="dxa"/>
            <w:vAlign w:val="bottom"/>
          </w:tcPr>
          <w:p>
            <w:pPr>
              <w:ind w:left="100"/>
              <w:spacing w:after="0"/>
              <w:rPr>
                <w:sz w:val="20"/>
                <w:szCs w:val="20"/>
                <w:color w:val="auto"/>
              </w:rPr>
            </w:pPr>
            <w:r>
              <w:rPr>
                <w:rFonts w:ascii="Arial" w:cs="Arial" w:eastAsia="Arial" w:hAnsi="Arial"/>
                <w:sz w:val="13"/>
                <w:szCs w:val="13"/>
                <w:b w:val="1"/>
                <w:bCs w:val="1"/>
                <w:color w:val="0E191E"/>
              </w:rPr>
              <w:t>Michael Keller</w:t>
            </w:r>
            <w:r>
              <w:rPr>
                <w:rFonts w:ascii="Arial" w:cs="Arial" w:eastAsia="Arial" w:hAnsi="Arial"/>
                <w:sz w:val="17"/>
                <w:szCs w:val="17"/>
                <w:b w:val="1"/>
                <w:bCs w:val="1"/>
                <w:color w:val="0E191E"/>
                <w:vertAlign w:val="superscript"/>
              </w:rPr>
              <w:t>(6)</w:t>
            </w:r>
          </w:p>
        </w:tc>
        <w:tc>
          <w:tcPr>
            <w:tcW w:w="2880" w:type="dxa"/>
            <w:vAlign w:val="bottom"/>
          </w:tcPr>
          <w:p>
            <w:pPr>
              <w:jc w:val="right"/>
              <w:ind w:right="233"/>
              <w:spacing w:after="0"/>
              <w:rPr>
                <w:sz w:val="20"/>
                <w:szCs w:val="20"/>
                <w:color w:val="auto"/>
              </w:rPr>
            </w:pPr>
            <w:r>
              <w:rPr>
                <w:rFonts w:ascii="Arial" w:cs="Arial" w:eastAsia="Arial" w:hAnsi="Arial"/>
                <w:sz w:val="13"/>
                <w:szCs w:val="13"/>
                <w:color w:val="0E191E"/>
              </w:rPr>
              <w:t>115,199</w:t>
            </w:r>
          </w:p>
        </w:tc>
        <w:tc>
          <w:tcPr>
            <w:tcW w:w="1500" w:type="dxa"/>
            <w:vAlign w:val="bottom"/>
          </w:tcPr>
          <w:p>
            <w:pPr>
              <w:jc w:val="right"/>
              <w:ind w:right="333"/>
              <w:spacing w:after="0"/>
              <w:rPr>
                <w:sz w:val="20"/>
                <w:szCs w:val="20"/>
                <w:color w:val="auto"/>
              </w:rPr>
            </w:pPr>
            <w:r>
              <w:rPr>
                <w:rFonts w:ascii="Arial" w:cs="Arial" w:eastAsia="Arial" w:hAnsi="Arial"/>
                <w:sz w:val="13"/>
                <w:szCs w:val="13"/>
                <w:color w:val="0E191E"/>
              </w:rPr>
              <w:t>233,735</w:t>
            </w:r>
          </w:p>
        </w:tc>
        <w:tc>
          <w:tcPr>
            <w:tcW w:w="1060" w:type="dxa"/>
            <w:vAlign w:val="bottom"/>
          </w:tcPr>
          <w:p>
            <w:pPr>
              <w:jc w:val="right"/>
              <w:ind w:right="133"/>
              <w:spacing w:after="0"/>
              <w:rPr>
                <w:sz w:val="20"/>
                <w:szCs w:val="20"/>
                <w:color w:val="auto"/>
              </w:rPr>
            </w:pPr>
            <w:r>
              <w:rPr>
                <w:rFonts w:ascii="Arial" w:cs="Arial" w:eastAsia="Arial" w:hAnsi="Arial"/>
                <w:sz w:val="13"/>
                <w:szCs w:val="13"/>
                <w:color w:val="0E191E"/>
              </w:rPr>
              <w:t>348,934</w:t>
            </w:r>
          </w:p>
        </w:tc>
      </w:tr>
      <w:tr>
        <w:trPr>
          <w:trHeight w:val="216"/>
        </w:trPr>
        <w:tc>
          <w:tcPr>
            <w:tcW w:w="5800" w:type="dxa"/>
            <w:vAlign w:val="bottom"/>
            <w:shd w:val="clear" w:color="auto" w:fill="E5F1F5"/>
          </w:tcPr>
          <w:p>
            <w:pPr>
              <w:ind w:left="100"/>
              <w:spacing w:after="0"/>
              <w:rPr>
                <w:sz w:val="20"/>
                <w:szCs w:val="20"/>
                <w:color w:val="auto"/>
              </w:rPr>
            </w:pPr>
            <w:r>
              <w:rPr>
                <w:rFonts w:ascii="Arial" w:cs="Arial" w:eastAsia="Arial" w:hAnsi="Arial"/>
                <w:sz w:val="13"/>
                <w:szCs w:val="13"/>
                <w:b w:val="1"/>
                <w:bCs w:val="1"/>
                <w:color w:val="0E191E"/>
              </w:rPr>
              <w:t>Catherine P. Lego</w:t>
            </w:r>
            <w:r>
              <w:rPr>
                <w:rFonts w:ascii="Arial" w:cs="Arial" w:eastAsia="Arial" w:hAnsi="Arial"/>
                <w:sz w:val="17"/>
                <w:szCs w:val="17"/>
                <w:b w:val="1"/>
                <w:bCs w:val="1"/>
                <w:color w:val="0E191E"/>
                <w:vertAlign w:val="superscript"/>
              </w:rPr>
              <w:t>(7)</w:t>
            </w:r>
          </w:p>
        </w:tc>
        <w:tc>
          <w:tcPr>
            <w:tcW w:w="2880" w:type="dxa"/>
            <w:vAlign w:val="bottom"/>
            <w:shd w:val="clear" w:color="auto" w:fill="E5F1F5"/>
          </w:tcPr>
          <w:p>
            <w:pPr>
              <w:jc w:val="right"/>
              <w:ind w:right="233"/>
              <w:spacing w:after="0"/>
              <w:rPr>
                <w:sz w:val="20"/>
                <w:szCs w:val="20"/>
                <w:color w:val="auto"/>
              </w:rPr>
            </w:pPr>
            <w:r>
              <w:rPr>
                <w:rFonts w:ascii="Arial" w:cs="Arial" w:eastAsia="Arial" w:hAnsi="Arial"/>
                <w:sz w:val="13"/>
                <w:szCs w:val="13"/>
                <w:color w:val="0E191E"/>
              </w:rPr>
              <w:t>79,988</w:t>
            </w:r>
          </w:p>
        </w:tc>
        <w:tc>
          <w:tcPr>
            <w:tcW w:w="1500" w:type="dxa"/>
            <w:vAlign w:val="bottom"/>
            <w:shd w:val="clear" w:color="auto" w:fill="E5F1F5"/>
          </w:tcPr>
          <w:p>
            <w:pPr>
              <w:jc w:val="right"/>
              <w:ind w:right="333"/>
              <w:spacing w:after="0"/>
              <w:rPr>
                <w:sz w:val="20"/>
                <w:szCs w:val="20"/>
                <w:color w:val="auto"/>
              </w:rPr>
            </w:pPr>
            <w:r>
              <w:rPr>
                <w:rFonts w:ascii="Arial" w:cs="Arial" w:eastAsia="Arial" w:hAnsi="Arial"/>
                <w:sz w:val="13"/>
                <w:szCs w:val="13"/>
                <w:color w:val="0E191E"/>
              </w:rPr>
              <w:t>233,735</w:t>
            </w:r>
          </w:p>
        </w:tc>
        <w:tc>
          <w:tcPr>
            <w:tcW w:w="1060" w:type="dxa"/>
            <w:vAlign w:val="bottom"/>
            <w:shd w:val="clear" w:color="auto" w:fill="E5F1F5"/>
          </w:tcPr>
          <w:p>
            <w:pPr>
              <w:jc w:val="right"/>
              <w:ind w:right="133"/>
              <w:spacing w:after="0"/>
              <w:rPr>
                <w:sz w:val="20"/>
                <w:szCs w:val="20"/>
                <w:color w:val="auto"/>
              </w:rPr>
            </w:pPr>
            <w:r>
              <w:rPr>
                <w:rFonts w:ascii="Arial" w:cs="Arial" w:eastAsia="Arial" w:hAnsi="Arial"/>
                <w:sz w:val="13"/>
                <w:szCs w:val="13"/>
                <w:color w:val="0E191E"/>
              </w:rPr>
              <w:t>313,723</w:t>
            </w:r>
          </w:p>
        </w:tc>
      </w:tr>
      <w:tr>
        <w:trPr>
          <w:trHeight w:val="216"/>
        </w:trPr>
        <w:tc>
          <w:tcPr>
            <w:tcW w:w="58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0E191E"/>
              </w:rPr>
              <w:t>Rajani Ramanathan</w:t>
            </w:r>
            <w:r>
              <w:rPr>
                <w:rFonts w:ascii="Arial" w:cs="Arial" w:eastAsia="Arial" w:hAnsi="Arial"/>
                <w:sz w:val="17"/>
                <w:szCs w:val="17"/>
                <w:b w:val="1"/>
                <w:bCs w:val="1"/>
                <w:color w:val="0E191E"/>
                <w:vertAlign w:val="superscript"/>
              </w:rPr>
              <w:t>(8)</w:t>
            </w:r>
          </w:p>
        </w:tc>
        <w:tc>
          <w:tcPr>
            <w:tcW w:w="28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0E191E"/>
              </w:rPr>
              <w:t>9,643</w:t>
            </w:r>
          </w:p>
        </w:tc>
        <w:tc>
          <w:tcPr>
            <w:tcW w:w="150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color w:val="0E191E"/>
              </w:rPr>
              <w:t>100,486</w:t>
            </w: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0E191E"/>
              </w:rPr>
              <w:t>110,129</w:t>
            </w:r>
          </w:p>
        </w:tc>
      </w:tr>
    </w:tbl>
    <w:p>
      <w:pPr>
        <w:spacing w:after="0" w:line="172" w:lineRule="exact"/>
        <w:rPr>
          <w:sz w:val="20"/>
          <w:szCs w:val="20"/>
          <w:color w:val="auto"/>
        </w:rPr>
      </w:pPr>
    </w:p>
    <w:p>
      <w:pPr>
        <w:ind w:left="460" w:right="60" w:hanging="434"/>
        <w:spacing w:after="0" w:line="267" w:lineRule="auto"/>
        <w:tabs>
          <w:tab w:leader="none" w:pos="460" w:val="left"/>
        </w:tabs>
        <w:numPr>
          <w:ilvl w:val="0"/>
          <w:numId w:val="21"/>
        </w:numPr>
        <w:rPr>
          <w:rFonts w:ascii="Arial" w:cs="Arial" w:eastAsia="Arial" w:hAnsi="Arial"/>
          <w:sz w:val="15"/>
          <w:szCs w:val="15"/>
          <w:color w:val="0E191E"/>
        </w:rPr>
      </w:pPr>
      <w:r>
        <w:rPr>
          <w:rFonts w:ascii="Arial" w:cs="Arial" w:eastAsia="Arial" w:hAnsi="Arial"/>
          <w:sz w:val="15"/>
          <w:szCs w:val="15"/>
          <w:color w:val="0E191E"/>
        </w:rPr>
        <w:t>The amounts shown reflect the aggregate grant date fair value of RSUs granted during fiscal year 2021, determined in accordance with Financial Accounting Standards Board (“FASB”) Accounting Standards Codification (“ASC”) Compensation--Stock Compensation (“Topic 718”). These amounts do not represent the actual amounts paid to or realized by the non-employee directors during fiscal year 2021. Pursuant to SEC rules, these amounts exclude the impact of estimated forfeitures related to service-based vesting conditions. See Note 9 of the Consolidated Financial Statements in our 2021 Annual Report on Form 10-K regarding assumptions underlying valuation of equity awards.</w:t>
      </w:r>
    </w:p>
    <w:p>
      <w:pPr>
        <w:spacing w:after="0" w:line="39" w:lineRule="exact"/>
        <w:rPr>
          <w:rFonts w:ascii="Arial" w:cs="Arial" w:eastAsia="Arial" w:hAnsi="Arial"/>
          <w:sz w:val="15"/>
          <w:szCs w:val="15"/>
          <w:color w:val="0E191E"/>
        </w:rPr>
      </w:pPr>
    </w:p>
    <w:p>
      <w:pPr>
        <w:ind w:left="460" w:hanging="434"/>
        <w:spacing w:after="0"/>
        <w:tabs>
          <w:tab w:leader="none" w:pos="460" w:val="left"/>
        </w:tabs>
        <w:numPr>
          <w:ilvl w:val="0"/>
          <w:numId w:val="21"/>
        </w:numPr>
        <w:rPr>
          <w:rFonts w:ascii="Arial" w:cs="Arial" w:eastAsia="Arial" w:hAnsi="Arial"/>
          <w:sz w:val="15"/>
          <w:szCs w:val="15"/>
          <w:color w:val="0E191E"/>
        </w:rPr>
      </w:pPr>
      <w:r>
        <w:rPr>
          <w:rFonts w:ascii="Arial" w:cs="Arial" w:eastAsia="Arial" w:hAnsi="Arial"/>
          <w:sz w:val="15"/>
          <w:szCs w:val="15"/>
          <w:color w:val="0E191E"/>
        </w:rPr>
        <w:t>As of July 31, 2021, Mr. Ryu held 34,443 RSUs.</w:t>
      </w:r>
    </w:p>
    <w:p>
      <w:pPr>
        <w:spacing w:after="0" w:line="70" w:lineRule="exact"/>
        <w:rPr>
          <w:rFonts w:ascii="Arial" w:cs="Arial" w:eastAsia="Arial" w:hAnsi="Arial"/>
          <w:sz w:val="15"/>
          <w:szCs w:val="15"/>
          <w:color w:val="0E191E"/>
        </w:rPr>
      </w:pPr>
    </w:p>
    <w:p>
      <w:pPr>
        <w:ind w:left="460" w:hanging="434"/>
        <w:spacing w:after="0"/>
        <w:tabs>
          <w:tab w:leader="none" w:pos="460" w:val="left"/>
        </w:tabs>
        <w:numPr>
          <w:ilvl w:val="0"/>
          <w:numId w:val="21"/>
        </w:numPr>
        <w:rPr>
          <w:rFonts w:ascii="Arial" w:cs="Arial" w:eastAsia="Arial" w:hAnsi="Arial"/>
          <w:sz w:val="15"/>
          <w:szCs w:val="15"/>
          <w:color w:val="0E191E"/>
        </w:rPr>
      </w:pPr>
      <w:r>
        <w:rPr>
          <w:rFonts w:ascii="Arial" w:cs="Arial" w:eastAsia="Arial" w:hAnsi="Arial"/>
          <w:sz w:val="15"/>
          <w:szCs w:val="15"/>
          <w:color w:val="0E191E"/>
        </w:rPr>
        <w:t>As of July 31, 2021, Mr. Lavin held 1,848 RSUs.</w:t>
      </w:r>
    </w:p>
    <w:p>
      <w:pPr>
        <w:spacing w:after="0" w:line="70" w:lineRule="exact"/>
        <w:rPr>
          <w:rFonts w:ascii="Arial" w:cs="Arial" w:eastAsia="Arial" w:hAnsi="Arial"/>
          <w:sz w:val="15"/>
          <w:szCs w:val="15"/>
          <w:color w:val="0E191E"/>
        </w:rPr>
      </w:pPr>
    </w:p>
    <w:p>
      <w:pPr>
        <w:ind w:left="460" w:hanging="434"/>
        <w:spacing w:after="0"/>
        <w:tabs>
          <w:tab w:leader="none" w:pos="460" w:val="left"/>
        </w:tabs>
        <w:numPr>
          <w:ilvl w:val="0"/>
          <w:numId w:val="21"/>
        </w:numPr>
        <w:rPr>
          <w:rFonts w:ascii="Arial" w:cs="Arial" w:eastAsia="Arial" w:hAnsi="Arial"/>
          <w:sz w:val="15"/>
          <w:szCs w:val="15"/>
          <w:color w:val="0E191E"/>
        </w:rPr>
      </w:pPr>
      <w:r>
        <w:rPr>
          <w:rFonts w:ascii="Arial" w:cs="Arial" w:eastAsia="Arial" w:hAnsi="Arial"/>
          <w:sz w:val="15"/>
          <w:szCs w:val="15"/>
          <w:color w:val="0E191E"/>
        </w:rPr>
        <w:t>As of July 31, 2021, Mr. Brown held options to purchase 4,308 shares of our common stock and 1,848 RSUs.</w:t>
      </w:r>
    </w:p>
    <w:p>
      <w:pPr>
        <w:spacing w:after="0" w:line="70" w:lineRule="exact"/>
        <w:rPr>
          <w:rFonts w:ascii="Arial" w:cs="Arial" w:eastAsia="Arial" w:hAnsi="Arial"/>
          <w:sz w:val="15"/>
          <w:szCs w:val="15"/>
          <w:color w:val="0E191E"/>
        </w:rPr>
      </w:pPr>
    </w:p>
    <w:p>
      <w:pPr>
        <w:ind w:left="460" w:hanging="434"/>
        <w:spacing w:after="0"/>
        <w:tabs>
          <w:tab w:leader="none" w:pos="460" w:val="left"/>
        </w:tabs>
        <w:numPr>
          <w:ilvl w:val="0"/>
          <w:numId w:val="21"/>
        </w:numPr>
        <w:rPr>
          <w:rFonts w:ascii="Arial" w:cs="Arial" w:eastAsia="Arial" w:hAnsi="Arial"/>
          <w:sz w:val="15"/>
          <w:szCs w:val="15"/>
          <w:color w:val="0E191E"/>
        </w:rPr>
      </w:pPr>
      <w:r>
        <w:rPr>
          <w:rFonts w:ascii="Arial" w:cs="Arial" w:eastAsia="Arial" w:hAnsi="Arial"/>
          <w:sz w:val="15"/>
          <w:szCs w:val="15"/>
          <w:color w:val="0E191E"/>
        </w:rPr>
        <w:t>As of July 31, 2021, Ms. Dillon held 1,848 RSUs.</w:t>
      </w:r>
    </w:p>
    <w:p>
      <w:pPr>
        <w:spacing w:after="0" w:line="70" w:lineRule="exact"/>
        <w:rPr>
          <w:rFonts w:ascii="Arial" w:cs="Arial" w:eastAsia="Arial" w:hAnsi="Arial"/>
          <w:sz w:val="15"/>
          <w:szCs w:val="15"/>
          <w:color w:val="0E191E"/>
        </w:rPr>
      </w:pPr>
    </w:p>
    <w:p>
      <w:pPr>
        <w:ind w:left="460" w:hanging="434"/>
        <w:spacing w:after="0"/>
        <w:tabs>
          <w:tab w:leader="none" w:pos="460" w:val="left"/>
        </w:tabs>
        <w:numPr>
          <w:ilvl w:val="0"/>
          <w:numId w:val="21"/>
        </w:numPr>
        <w:rPr>
          <w:rFonts w:ascii="Arial" w:cs="Arial" w:eastAsia="Arial" w:hAnsi="Arial"/>
          <w:sz w:val="15"/>
          <w:szCs w:val="15"/>
          <w:color w:val="0E191E"/>
        </w:rPr>
      </w:pPr>
      <w:r>
        <w:rPr>
          <w:rFonts w:ascii="Arial" w:cs="Arial" w:eastAsia="Arial" w:hAnsi="Arial"/>
          <w:sz w:val="15"/>
          <w:szCs w:val="15"/>
          <w:color w:val="0E191E"/>
        </w:rPr>
        <w:t>As of July 31, 2021, Mr. Keller held 1,848 RSUs.</w:t>
      </w:r>
    </w:p>
    <w:p>
      <w:pPr>
        <w:spacing w:after="0" w:line="70" w:lineRule="exact"/>
        <w:rPr>
          <w:rFonts w:ascii="Arial" w:cs="Arial" w:eastAsia="Arial" w:hAnsi="Arial"/>
          <w:sz w:val="15"/>
          <w:szCs w:val="15"/>
          <w:color w:val="0E191E"/>
        </w:rPr>
      </w:pPr>
    </w:p>
    <w:p>
      <w:pPr>
        <w:ind w:left="460" w:hanging="434"/>
        <w:spacing w:after="0"/>
        <w:tabs>
          <w:tab w:leader="none" w:pos="460" w:val="left"/>
        </w:tabs>
        <w:numPr>
          <w:ilvl w:val="0"/>
          <w:numId w:val="21"/>
        </w:numPr>
        <w:rPr>
          <w:rFonts w:ascii="Arial" w:cs="Arial" w:eastAsia="Arial" w:hAnsi="Arial"/>
          <w:sz w:val="15"/>
          <w:szCs w:val="15"/>
          <w:color w:val="0E191E"/>
        </w:rPr>
      </w:pPr>
      <w:r>
        <w:rPr>
          <w:rFonts w:ascii="Arial" w:cs="Arial" w:eastAsia="Arial" w:hAnsi="Arial"/>
          <w:sz w:val="15"/>
          <w:szCs w:val="15"/>
          <w:color w:val="0E191E"/>
        </w:rPr>
        <w:t>As of July 31, 2021, Ms. Lego held 1,848 RSUs.</w:t>
      </w:r>
    </w:p>
    <w:p>
      <w:pPr>
        <w:spacing w:after="0" w:line="70" w:lineRule="exact"/>
        <w:rPr>
          <w:rFonts w:ascii="Arial" w:cs="Arial" w:eastAsia="Arial" w:hAnsi="Arial"/>
          <w:sz w:val="15"/>
          <w:szCs w:val="15"/>
          <w:color w:val="0E191E"/>
        </w:rPr>
      </w:pPr>
    </w:p>
    <w:p>
      <w:pPr>
        <w:ind w:left="460" w:hanging="434"/>
        <w:spacing w:after="0"/>
        <w:tabs>
          <w:tab w:leader="none" w:pos="460" w:val="left"/>
        </w:tabs>
        <w:numPr>
          <w:ilvl w:val="0"/>
          <w:numId w:val="21"/>
        </w:numPr>
        <w:rPr>
          <w:rFonts w:ascii="Arial" w:cs="Arial" w:eastAsia="Arial" w:hAnsi="Arial"/>
          <w:sz w:val="15"/>
          <w:szCs w:val="15"/>
          <w:color w:val="0E191E"/>
        </w:rPr>
      </w:pPr>
      <w:r>
        <w:rPr>
          <w:rFonts w:ascii="Arial" w:cs="Arial" w:eastAsia="Arial" w:hAnsi="Arial"/>
          <w:sz w:val="15"/>
          <w:szCs w:val="15"/>
          <w:color w:val="0E191E"/>
        </w:rPr>
        <w:t>As of July 31, 2021, Ms. Ramanathan held 943 RSUs.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Stock Ownership Guidelines</w:t>
      </w:r>
    </w:p>
    <w:p>
      <w:pPr>
        <w:spacing w:after="0" w:line="136"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0E191E"/>
        </w:rPr>
        <w:t>We have adopted stock ownership guidelines that are applicable to non-employee directors. Prior to March 2021, the stock ownership guidelines required each non-employee director to own shares of our common stock equal to at least three times his or her annual cash retainer, by the first July 31st that occurred following the three-year anniversary of his or her initial election to our board of directors (the “Prior Requirement”). To increase the alignment between the interests of our non-employee directors and our stockholders and to enhance our commitment to sound corporate governance, effective as of March 2021, we amended our stock ownership guidelines to require each non-employee director to own shares of our common stock equal to at least five times his or her annual cash retainer, by the first July 31st that occurs following the three-year anniversary of his or her initial election to our board of directors or, if later, July 31, 2023. Non-employee directors who were members of the board of directors as of March 9, 2021 will continue to be subject to the Prior Requirement until July 31, 2023. As of July 31, 2021, all of our non-employee directors who have served for three or more years have satisfied the ownership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Compensation Committee Interlocks and Insider Participation</w:t>
      </w:r>
    </w:p>
    <w:p>
      <w:pPr>
        <w:spacing w:after="0" w:line="136" w:lineRule="exact"/>
        <w:rPr>
          <w:sz w:val="20"/>
          <w:szCs w:val="20"/>
          <w:color w:val="auto"/>
        </w:rPr>
      </w:pPr>
    </w:p>
    <w:p>
      <w:pPr>
        <w:ind w:right="260"/>
        <w:spacing w:after="0" w:line="317" w:lineRule="auto"/>
        <w:rPr>
          <w:sz w:val="20"/>
          <w:szCs w:val="20"/>
          <w:color w:val="auto"/>
        </w:rPr>
      </w:pPr>
      <w:r>
        <w:rPr>
          <w:rFonts w:ascii="Arial" w:cs="Arial" w:eastAsia="Arial" w:hAnsi="Arial"/>
          <w:sz w:val="15"/>
          <w:szCs w:val="15"/>
          <w:color w:val="0E191E"/>
        </w:rPr>
        <w:t>During fiscal year 2021, none of our executive officers served as a member of the board of directors or compensation committee of any entity that has one or more executive officers serving as a member of our board of directors or compensation committee.</w:t>
      </w:r>
    </w:p>
    <w:p>
      <w:pPr>
        <w:spacing w:after="0" w:line="350"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33</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2" w:right="339" w:bottom="1440" w:gutter="0" w:footer="0" w:header="0"/>
        </w:sectPr>
      </w:pPr>
    </w:p>
    <w:bookmarkStart w:id="37" w:name="page38"/>
    <w:bookmarkEnd w:id="37"/>
    <w:p>
      <w:pPr>
        <w:spacing w:after="0"/>
        <w:rPr>
          <w:sz w:val="20"/>
          <w:szCs w:val="20"/>
          <w:color w:val="auto"/>
        </w:rPr>
      </w:pPr>
      <w:r>
        <w:rPr>
          <w:rFonts w:ascii="Arial" w:cs="Arial" w:eastAsia="Arial" w:hAnsi="Arial"/>
          <w:sz w:val="32"/>
          <w:szCs w:val="32"/>
          <w:b w:val="1"/>
          <w:bCs w:val="1"/>
          <w:color w:val="0E191E"/>
        </w:rPr>
        <w:t>Compensation Committee Report</w:t>
      </w:r>
    </w:p>
    <w:p>
      <w:pPr>
        <w:spacing w:after="0" w:line="232" w:lineRule="exact"/>
        <w:rPr>
          <w:sz w:val="20"/>
          <w:szCs w:val="20"/>
          <w:color w:val="auto"/>
        </w:rPr>
      </w:pPr>
    </w:p>
    <w:p>
      <w:pPr>
        <w:spacing w:after="0" w:line="317" w:lineRule="auto"/>
        <w:rPr>
          <w:sz w:val="20"/>
          <w:szCs w:val="20"/>
          <w:color w:val="auto"/>
        </w:rPr>
      </w:pPr>
      <w:r>
        <w:rPr>
          <w:rFonts w:ascii="Arial" w:cs="Arial" w:eastAsia="Arial" w:hAnsi="Arial"/>
          <w:sz w:val="15"/>
          <w:szCs w:val="15"/>
          <w:color w:val="0E191E"/>
        </w:rPr>
        <w:t>The Compensation Committee has reviewed and discussed the following Compensation Discussion and Analysis and, based on such review and discussions, the Compensation Committee recommended to our board of directors that this Compensation Discussion and Analysis be included in this proxy statement.</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0E191E"/>
        </w:rPr>
        <w:t>THE COMPENSATION COMMITTEE</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Andrew Brown (Chair)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Michael Keller</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Rajani Ramanathan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34</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751" w:right="639" w:bottom="1440" w:gutter="0" w:footer="0" w:header="0"/>
        </w:sectPr>
      </w:pPr>
    </w:p>
    <w:bookmarkStart w:id="38" w:name="page39"/>
    <w:bookmarkEnd w:id="38"/>
    <w:p>
      <w:pPr>
        <w:spacing w:after="0"/>
        <w:rPr>
          <w:sz w:val="20"/>
          <w:szCs w:val="20"/>
          <w:color w:val="auto"/>
        </w:rPr>
      </w:pPr>
      <w:r>
        <w:rPr>
          <w:rFonts w:ascii="Arial" w:cs="Arial" w:eastAsia="Arial" w:hAnsi="Arial"/>
          <w:sz w:val="32"/>
          <w:szCs w:val="32"/>
          <w:b w:val="1"/>
          <w:bCs w:val="1"/>
          <w:color w:val="0E191E"/>
        </w:rPr>
        <w:t>Compensation Discussion and Analysis</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0E191E"/>
        </w:rPr>
        <w:t>This Compensation Discussion and Analysis provides information about the material components of our executive compensation program for: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660" w:type="dxa"/>
            <w:vAlign w:val="bottom"/>
            <w:shd w:val="clear" w:color="auto" w:fill="00739D"/>
          </w:tcPr>
          <w:p>
            <w:pPr>
              <w:ind w:left="180"/>
              <w:spacing w:after="0"/>
              <w:rPr>
                <w:sz w:val="20"/>
                <w:szCs w:val="20"/>
                <w:color w:val="auto"/>
              </w:rPr>
            </w:pPr>
            <w:r>
              <w:rPr>
                <w:rFonts w:ascii="Arial" w:cs="Arial" w:eastAsia="Arial" w:hAnsi="Arial"/>
                <w:sz w:val="13"/>
                <w:szCs w:val="13"/>
                <w:b w:val="1"/>
                <w:bCs w:val="1"/>
                <w:color w:val="FFFFFF"/>
              </w:rPr>
              <w:t>Name</w:t>
            </w:r>
          </w:p>
        </w:tc>
        <w:tc>
          <w:tcPr>
            <w:tcW w:w="8580" w:type="dxa"/>
            <w:vAlign w:val="bottom"/>
            <w:shd w:val="clear" w:color="auto" w:fill="00739D"/>
          </w:tcPr>
          <w:p>
            <w:pPr>
              <w:ind w:left="20"/>
              <w:spacing w:after="0"/>
              <w:rPr>
                <w:sz w:val="20"/>
                <w:szCs w:val="20"/>
                <w:color w:val="auto"/>
              </w:rPr>
            </w:pPr>
            <w:r>
              <w:rPr>
                <w:rFonts w:ascii="Arial" w:cs="Arial" w:eastAsia="Arial" w:hAnsi="Arial"/>
                <w:sz w:val="13"/>
                <w:szCs w:val="13"/>
                <w:b w:val="1"/>
                <w:bCs w:val="1"/>
                <w:color w:val="FFFFFF"/>
              </w:rPr>
              <w:t>Positions Held with the Company</w:t>
            </w:r>
          </w:p>
        </w:tc>
      </w:tr>
      <w:tr>
        <w:trPr>
          <w:trHeight w:val="112"/>
        </w:trPr>
        <w:tc>
          <w:tcPr>
            <w:tcW w:w="2660" w:type="dxa"/>
            <w:vAlign w:val="bottom"/>
            <w:shd w:val="clear" w:color="auto" w:fill="00739D"/>
          </w:tcPr>
          <w:p>
            <w:pPr>
              <w:spacing w:after="0"/>
              <w:rPr>
                <w:sz w:val="9"/>
                <w:szCs w:val="9"/>
                <w:color w:val="auto"/>
              </w:rPr>
            </w:pPr>
          </w:p>
        </w:tc>
        <w:tc>
          <w:tcPr>
            <w:tcW w:w="8580" w:type="dxa"/>
            <w:vAlign w:val="bottom"/>
            <w:shd w:val="clear" w:color="auto" w:fill="00739D"/>
          </w:tcPr>
          <w:p>
            <w:pPr>
              <w:spacing w:after="0"/>
              <w:rPr>
                <w:sz w:val="9"/>
                <w:szCs w:val="9"/>
                <w:color w:val="auto"/>
              </w:rPr>
            </w:pPr>
          </w:p>
        </w:tc>
      </w:tr>
      <w:tr>
        <w:trPr>
          <w:trHeight w:val="188"/>
        </w:trPr>
        <w:tc>
          <w:tcPr>
            <w:tcW w:w="2660" w:type="dxa"/>
            <w:vAlign w:val="bottom"/>
          </w:tcPr>
          <w:p>
            <w:pPr>
              <w:ind w:left="180"/>
              <w:spacing w:after="0"/>
              <w:rPr>
                <w:sz w:val="20"/>
                <w:szCs w:val="20"/>
                <w:color w:val="auto"/>
              </w:rPr>
            </w:pPr>
            <w:r>
              <w:rPr>
                <w:rFonts w:ascii="Arial" w:cs="Arial" w:eastAsia="Arial" w:hAnsi="Arial"/>
                <w:sz w:val="13"/>
                <w:szCs w:val="13"/>
                <w:b w:val="1"/>
                <w:bCs w:val="1"/>
                <w:color w:val="0E191E"/>
              </w:rPr>
              <w:t>Mike Rosenbaum</w:t>
            </w:r>
          </w:p>
        </w:tc>
        <w:tc>
          <w:tcPr>
            <w:tcW w:w="8580" w:type="dxa"/>
            <w:vAlign w:val="bottom"/>
          </w:tcPr>
          <w:p>
            <w:pPr>
              <w:ind w:left="20"/>
              <w:spacing w:after="0"/>
              <w:rPr>
                <w:sz w:val="20"/>
                <w:szCs w:val="20"/>
                <w:color w:val="auto"/>
              </w:rPr>
            </w:pPr>
            <w:r>
              <w:rPr>
                <w:rFonts w:ascii="Arial" w:cs="Arial" w:eastAsia="Arial" w:hAnsi="Arial"/>
                <w:sz w:val="13"/>
                <w:szCs w:val="13"/>
                <w:color w:val="0E191E"/>
              </w:rPr>
              <w:t>Chief Executive Officer (our “CEO”)</w:t>
            </w:r>
          </w:p>
        </w:tc>
      </w:tr>
      <w:tr>
        <w:trPr>
          <w:trHeight w:val="28"/>
        </w:trPr>
        <w:tc>
          <w:tcPr>
            <w:tcW w:w="26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196"/>
        </w:trPr>
        <w:tc>
          <w:tcPr>
            <w:tcW w:w="2660" w:type="dxa"/>
            <w:vAlign w:val="bottom"/>
            <w:tcBorders>
              <w:bottom w:val="single" w:sz="8" w:color="E7F1F5"/>
            </w:tcBorders>
            <w:shd w:val="clear" w:color="auto" w:fill="E7F1F5"/>
          </w:tcPr>
          <w:p>
            <w:pPr>
              <w:ind w:left="180"/>
              <w:spacing w:after="0"/>
              <w:rPr>
                <w:sz w:val="20"/>
                <w:szCs w:val="20"/>
                <w:color w:val="auto"/>
              </w:rPr>
            </w:pPr>
            <w:r>
              <w:rPr>
                <w:rFonts w:ascii="Arial" w:cs="Arial" w:eastAsia="Arial" w:hAnsi="Arial"/>
                <w:sz w:val="13"/>
                <w:szCs w:val="13"/>
                <w:b w:val="1"/>
                <w:bCs w:val="1"/>
                <w:color w:val="0E191E"/>
              </w:rPr>
              <w:t>Jeff Cooper</w:t>
            </w:r>
          </w:p>
        </w:tc>
        <w:tc>
          <w:tcPr>
            <w:tcW w:w="8580" w:type="dxa"/>
            <w:vAlign w:val="bottom"/>
            <w:tcBorders>
              <w:bottom w:val="single" w:sz="8" w:color="E7F1F5"/>
            </w:tcBorders>
            <w:shd w:val="clear" w:color="auto" w:fill="E7F1F5"/>
          </w:tcPr>
          <w:p>
            <w:pPr>
              <w:ind w:left="20"/>
              <w:spacing w:after="0"/>
              <w:rPr>
                <w:sz w:val="20"/>
                <w:szCs w:val="20"/>
                <w:color w:val="auto"/>
              </w:rPr>
            </w:pPr>
            <w:r>
              <w:rPr>
                <w:rFonts w:ascii="Arial" w:cs="Arial" w:eastAsia="Arial" w:hAnsi="Arial"/>
                <w:sz w:val="13"/>
                <w:szCs w:val="13"/>
                <w:color w:val="0E191E"/>
              </w:rPr>
              <w:t>Chief Financial Officers (our “CFO”)</w:t>
            </w:r>
          </w:p>
        </w:tc>
      </w:tr>
      <w:tr>
        <w:trPr>
          <w:trHeight w:val="188"/>
        </w:trPr>
        <w:tc>
          <w:tcPr>
            <w:tcW w:w="2660" w:type="dxa"/>
            <w:vAlign w:val="bottom"/>
          </w:tcPr>
          <w:p>
            <w:pPr>
              <w:ind w:left="180"/>
              <w:spacing w:after="0"/>
              <w:rPr>
                <w:sz w:val="20"/>
                <w:szCs w:val="20"/>
                <w:color w:val="auto"/>
              </w:rPr>
            </w:pPr>
            <w:r>
              <w:rPr>
                <w:rFonts w:ascii="Arial" w:cs="Arial" w:eastAsia="Arial" w:hAnsi="Arial"/>
                <w:sz w:val="13"/>
                <w:szCs w:val="13"/>
                <w:b w:val="1"/>
                <w:bCs w:val="1"/>
                <w:color w:val="0E191E"/>
              </w:rPr>
              <w:t>Priscilla Hung</w:t>
            </w:r>
          </w:p>
        </w:tc>
        <w:tc>
          <w:tcPr>
            <w:tcW w:w="8580" w:type="dxa"/>
            <w:vAlign w:val="bottom"/>
          </w:tcPr>
          <w:p>
            <w:pPr>
              <w:ind w:left="20"/>
              <w:spacing w:after="0"/>
              <w:rPr>
                <w:sz w:val="20"/>
                <w:szCs w:val="20"/>
                <w:color w:val="auto"/>
              </w:rPr>
            </w:pPr>
            <w:r>
              <w:rPr>
                <w:rFonts w:ascii="Arial" w:cs="Arial" w:eastAsia="Arial" w:hAnsi="Arial"/>
                <w:sz w:val="13"/>
                <w:szCs w:val="13"/>
                <w:color w:val="0E191E"/>
              </w:rPr>
              <w:t>President and Chief Operating Officer</w:t>
            </w:r>
          </w:p>
        </w:tc>
      </w:tr>
      <w:tr>
        <w:trPr>
          <w:trHeight w:val="28"/>
        </w:trPr>
        <w:tc>
          <w:tcPr>
            <w:tcW w:w="26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196"/>
        </w:trPr>
        <w:tc>
          <w:tcPr>
            <w:tcW w:w="2660" w:type="dxa"/>
            <w:vAlign w:val="bottom"/>
            <w:tcBorders>
              <w:bottom w:val="single" w:sz="8" w:color="E7F1F5"/>
            </w:tcBorders>
            <w:shd w:val="clear" w:color="auto" w:fill="E7F1F5"/>
          </w:tcPr>
          <w:p>
            <w:pPr>
              <w:ind w:left="180"/>
              <w:spacing w:after="0"/>
              <w:rPr>
                <w:sz w:val="20"/>
                <w:szCs w:val="20"/>
                <w:color w:val="auto"/>
              </w:rPr>
            </w:pPr>
            <w:r>
              <w:rPr>
                <w:rFonts w:ascii="Arial" w:cs="Arial" w:eastAsia="Arial" w:hAnsi="Arial"/>
                <w:sz w:val="13"/>
                <w:szCs w:val="13"/>
                <w:b w:val="1"/>
                <w:bCs w:val="1"/>
                <w:color w:val="0E191E"/>
              </w:rPr>
              <w:t>Winston King</w:t>
            </w:r>
          </w:p>
        </w:tc>
        <w:tc>
          <w:tcPr>
            <w:tcW w:w="8580" w:type="dxa"/>
            <w:vAlign w:val="bottom"/>
            <w:tcBorders>
              <w:bottom w:val="single" w:sz="8" w:color="E7F1F5"/>
            </w:tcBorders>
            <w:shd w:val="clear" w:color="auto" w:fill="E7F1F5"/>
          </w:tcPr>
          <w:p>
            <w:pPr>
              <w:ind w:left="20"/>
              <w:spacing w:after="0"/>
              <w:rPr>
                <w:sz w:val="20"/>
                <w:szCs w:val="20"/>
                <w:color w:val="auto"/>
              </w:rPr>
            </w:pPr>
            <w:r>
              <w:rPr>
                <w:rFonts w:ascii="Arial" w:cs="Arial" w:eastAsia="Arial" w:hAnsi="Arial"/>
                <w:sz w:val="13"/>
                <w:szCs w:val="13"/>
                <w:color w:val="0E191E"/>
              </w:rPr>
              <w:t>Chief Administrative Officer and General Counsel</w:t>
            </w:r>
          </w:p>
        </w:tc>
      </w:tr>
      <w:tr>
        <w:trPr>
          <w:trHeight w:val="188"/>
        </w:trPr>
        <w:tc>
          <w:tcPr>
            <w:tcW w:w="2660" w:type="dxa"/>
            <w:vAlign w:val="bottom"/>
          </w:tcPr>
          <w:p>
            <w:pPr>
              <w:ind w:left="180"/>
              <w:spacing w:after="0"/>
              <w:rPr>
                <w:sz w:val="20"/>
                <w:szCs w:val="20"/>
                <w:color w:val="auto"/>
              </w:rPr>
            </w:pPr>
            <w:r>
              <w:rPr>
                <w:rFonts w:ascii="Arial" w:cs="Arial" w:eastAsia="Arial" w:hAnsi="Arial"/>
                <w:sz w:val="13"/>
                <w:szCs w:val="13"/>
                <w:b w:val="1"/>
                <w:bCs w:val="1"/>
                <w:color w:val="0E191E"/>
              </w:rPr>
              <w:t>Frank O’Dowd</w:t>
            </w:r>
          </w:p>
        </w:tc>
        <w:tc>
          <w:tcPr>
            <w:tcW w:w="8580" w:type="dxa"/>
            <w:vAlign w:val="bottom"/>
          </w:tcPr>
          <w:p>
            <w:pPr>
              <w:ind w:left="20"/>
              <w:spacing w:after="0"/>
              <w:rPr>
                <w:sz w:val="20"/>
                <w:szCs w:val="20"/>
                <w:color w:val="auto"/>
              </w:rPr>
            </w:pPr>
            <w:r>
              <w:rPr>
                <w:rFonts w:ascii="Arial" w:cs="Arial" w:eastAsia="Arial" w:hAnsi="Arial"/>
                <w:sz w:val="13"/>
                <w:szCs w:val="13"/>
                <w:color w:val="0E191E"/>
              </w:rPr>
              <w:t>Chief Sales Officer</w:t>
            </w:r>
          </w:p>
        </w:tc>
      </w:tr>
      <w:tr>
        <w:trPr>
          <w:trHeight w:val="28"/>
        </w:trPr>
        <w:tc>
          <w:tcPr>
            <w:tcW w:w="2660" w:type="dxa"/>
            <w:vAlign w:val="bottom"/>
            <w:tcBorders>
              <w:bottom w:val="single" w:sz="8" w:color="auto"/>
            </w:tcBorders>
          </w:tcPr>
          <w:p>
            <w:pPr>
              <w:spacing w:after="0"/>
              <w:rPr>
                <w:sz w:val="2"/>
                <w:szCs w:val="2"/>
                <w:color w:val="auto"/>
              </w:rPr>
            </w:pPr>
          </w:p>
        </w:tc>
        <w:tc>
          <w:tcPr>
            <w:tcW w:w="8580" w:type="dxa"/>
            <w:vAlign w:val="bottom"/>
            <w:tcBorders>
              <w:bottom w:val="single" w:sz="8" w:color="auto"/>
            </w:tcBorders>
          </w:tcPr>
          <w:p>
            <w:pPr>
              <w:spacing w:after="0"/>
              <w:rPr>
                <w:sz w:val="2"/>
                <w:szCs w:val="2"/>
                <w:color w:val="auto"/>
              </w:rPr>
            </w:pPr>
          </w:p>
        </w:tc>
      </w:tr>
    </w:tbl>
    <w:p>
      <w:pPr>
        <w:spacing w:after="0" w:line="294" w:lineRule="exact"/>
        <w:rPr>
          <w:sz w:val="20"/>
          <w:szCs w:val="20"/>
          <w:color w:val="auto"/>
        </w:rPr>
      </w:pPr>
    </w:p>
    <w:p>
      <w:pPr>
        <w:ind w:right="640"/>
        <w:spacing w:after="0" w:line="317" w:lineRule="auto"/>
        <w:rPr>
          <w:sz w:val="20"/>
          <w:szCs w:val="20"/>
          <w:color w:val="auto"/>
        </w:rPr>
      </w:pPr>
      <w:r>
        <w:rPr>
          <w:rFonts w:ascii="Arial" w:cs="Arial" w:eastAsia="Arial" w:hAnsi="Arial"/>
          <w:sz w:val="15"/>
          <w:szCs w:val="15"/>
          <w:color w:val="0E191E"/>
        </w:rPr>
        <w:t>We refer to these executive officers collectively in this Compensation Discussion and Analysis and the related compensation tables as the “Named Executive Officers.”</w:t>
      </w:r>
    </w:p>
    <w:p>
      <w:pPr>
        <w:spacing w:after="0" w:line="152"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0E191E"/>
        </w:rPr>
        <w:t>This Compensation Discussion and Analysis provides an overview of our executive compensation philosophy, the overall objectives of our executive compensation program, and each element of compensation that we provide. In addition, we explain how and why the Compensation Committee arrived at the specific compensation policies and decisions involving our Named Executive Officers during fiscal year 2021.</w:t>
      </w:r>
    </w:p>
    <w:p>
      <w:pPr>
        <w:spacing w:after="0" w:line="146" w:lineRule="exact"/>
        <w:rPr>
          <w:sz w:val="20"/>
          <w:szCs w:val="20"/>
          <w:color w:val="auto"/>
        </w:rPr>
      </w:pPr>
    </w:p>
    <w:p>
      <w:pPr>
        <w:ind w:right="220"/>
        <w:spacing w:after="0" w:line="308" w:lineRule="auto"/>
        <w:rPr>
          <w:sz w:val="20"/>
          <w:szCs w:val="20"/>
          <w:color w:val="auto"/>
        </w:rPr>
      </w:pPr>
      <w:r>
        <w:rPr>
          <w:rFonts w:ascii="Arial" w:cs="Arial" w:eastAsia="Arial" w:hAnsi="Arial"/>
          <w:sz w:val="15"/>
          <w:szCs w:val="15"/>
          <w:color w:val="0E191E"/>
        </w:rPr>
        <w:t>This Compensation Discussion and Analysis contains forward-looking statements that are based on our current plans, considerations, expectations and determinations regarding future compensation plans and arrangements. The actual compensation plans and arrangements that we adopt may differ materially from currently anticipated plans and arrangements as summarized in this Compensation Discussion and Analysis.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Executive Compensation Philosophy and Objectives</w:t>
      </w:r>
    </w:p>
    <w:p>
      <w:pPr>
        <w:spacing w:after="0" w:line="136" w:lineRule="exact"/>
        <w:rPr>
          <w:sz w:val="20"/>
          <w:szCs w:val="20"/>
          <w:color w:val="auto"/>
        </w:rPr>
      </w:pPr>
    </w:p>
    <w:p>
      <w:pPr>
        <w:jc w:val="both"/>
        <w:ind w:right="60"/>
        <w:spacing w:after="0" w:line="308" w:lineRule="auto"/>
        <w:rPr>
          <w:sz w:val="20"/>
          <w:szCs w:val="20"/>
          <w:color w:val="auto"/>
        </w:rPr>
      </w:pPr>
      <w:r>
        <w:rPr>
          <w:rFonts w:ascii="Arial" w:cs="Arial" w:eastAsia="Arial" w:hAnsi="Arial"/>
          <w:sz w:val="15"/>
          <w:szCs w:val="15"/>
          <w:color w:val="0E191E"/>
        </w:rPr>
        <w:t>We operate in a highly competitive business environment, which is characterized by frequent technological advances, rapidly changing market requirements and the emergence of new market entrants. To succeed in this environment, we need to attract and retain a highly talented and seasoned team of technical, sales, marketing, operations, and other business professionals.</w:t>
      </w:r>
    </w:p>
    <w:p>
      <w:pPr>
        <w:spacing w:after="0" w:line="146"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0E191E"/>
        </w:rPr>
        <w:t>We compete with many other companies in seeking to attract and retain a skilled management team. To meet this challenge, we have embraced a compensation philosophy of offering our executive officers compensation and benefit packages that are fair and reasonable, are competitive within our market, are focused on long-term value creation, and reward the achievement of our strategic, financial, and operational objectives.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0E191E"/>
        </w:rPr>
        <w:t>Accordingly, we have oriented our executive compensation program to observe the following basic principles and objectives:</w:t>
      </w:r>
    </w:p>
    <w:p>
      <w:pPr>
        <w:spacing w:after="0" w:line="152" w:lineRule="exact"/>
        <w:rPr>
          <w:sz w:val="20"/>
          <w:szCs w:val="20"/>
          <w:color w:val="auto"/>
        </w:rPr>
      </w:pPr>
    </w:p>
    <w:p>
      <w:pPr>
        <w:ind w:left="500" w:right="20" w:hanging="168"/>
        <w:spacing w:after="0" w:line="317" w:lineRule="auto"/>
        <w:tabs>
          <w:tab w:leader="none" w:pos="499" w:val="left"/>
        </w:tabs>
        <w:numPr>
          <w:ilvl w:val="0"/>
          <w:numId w:val="22"/>
        </w:numPr>
        <w:rPr>
          <w:rFonts w:ascii="Arial" w:cs="Arial" w:eastAsia="Arial" w:hAnsi="Arial"/>
          <w:sz w:val="15"/>
          <w:szCs w:val="15"/>
          <w:color w:val="0E191E"/>
        </w:rPr>
      </w:pPr>
      <w:r>
        <w:rPr>
          <w:rFonts w:ascii="Arial" w:cs="Arial" w:eastAsia="Arial" w:hAnsi="Arial"/>
          <w:sz w:val="15"/>
          <w:szCs w:val="15"/>
          <w:color w:val="0E191E"/>
        </w:rPr>
        <w:t>provide total compensation opportunities that enable us to recruit and retain executive officers with the experience and skills to manage our growth and lead us to the next stage of development;</w:t>
      </w:r>
    </w:p>
    <w:p>
      <w:pPr>
        <w:spacing w:after="0" w:line="30" w:lineRule="exact"/>
        <w:rPr>
          <w:rFonts w:ascii="Arial" w:cs="Arial" w:eastAsia="Arial" w:hAnsi="Arial"/>
          <w:sz w:val="15"/>
          <w:szCs w:val="15"/>
          <w:color w:val="0E191E"/>
        </w:rPr>
      </w:pPr>
    </w:p>
    <w:p>
      <w:pPr>
        <w:ind w:left="500" w:hanging="168"/>
        <w:spacing w:after="0"/>
        <w:tabs>
          <w:tab w:leader="none" w:pos="500" w:val="left"/>
        </w:tabs>
        <w:numPr>
          <w:ilvl w:val="0"/>
          <w:numId w:val="22"/>
        </w:numPr>
        <w:rPr>
          <w:rFonts w:ascii="Arial" w:cs="Arial" w:eastAsia="Arial" w:hAnsi="Arial"/>
          <w:sz w:val="15"/>
          <w:szCs w:val="15"/>
          <w:color w:val="0E191E"/>
        </w:rPr>
      </w:pPr>
      <w:r>
        <w:rPr>
          <w:rFonts w:ascii="Arial" w:cs="Arial" w:eastAsia="Arial" w:hAnsi="Arial"/>
          <w:sz w:val="15"/>
          <w:szCs w:val="15"/>
          <w:color w:val="0E191E"/>
        </w:rPr>
        <w:t>provide total compensation opportunities that are consistent with our business goals;</w:t>
      </w:r>
    </w:p>
    <w:p>
      <w:pPr>
        <w:spacing w:after="0" w:line="97" w:lineRule="exact"/>
        <w:rPr>
          <w:rFonts w:ascii="Arial" w:cs="Arial" w:eastAsia="Arial" w:hAnsi="Arial"/>
          <w:sz w:val="15"/>
          <w:szCs w:val="15"/>
          <w:color w:val="0E191E"/>
        </w:rPr>
      </w:pPr>
    </w:p>
    <w:p>
      <w:pPr>
        <w:ind w:left="500" w:right="220" w:hanging="168"/>
        <w:spacing w:after="0" w:line="317" w:lineRule="auto"/>
        <w:tabs>
          <w:tab w:leader="none" w:pos="499" w:val="left"/>
        </w:tabs>
        <w:numPr>
          <w:ilvl w:val="0"/>
          <w:numId w:val="22"/>
        </w:numPr>
        <w:rPr>
          <w:rFonts w:ascii="Arial" w:cs="Arial" w:eastAsia="Arial" w:hAnsi="Arial"/>
          <w:sz w:val="15"/>
          <w:szCs w:val="15"/>
          <w:color w:val="0E191E"/>
        </w:rPr>
      </w:pPr>
      <w:r>
        <w:rPr>
          <w:rFonts w:ascii="Arial" w:cs="Arial" w:eastAsia="Arial" w:hAnsi="Arial"/>
          <w:sz w:val="15"/>
          <w:szCs w:val="15"/>
          <w:color w:val="0E191E"/>
        </w:rPr>
        <w:t>provide cash compensation that is market-based and, in the case of cash-based incentives, establish a direct and meaningful link between business results, individual performance, and rewards;</w:t>
      </w:r>
    </w:p>
    <w:p>
      <w:pPr>
        <w:spacing w:after="0" w:line="30" w:lineRule="exact"/>
        <w:rPr>
          <w:rFonts w:ascii="Arial" w:cs="Arial" w:eastAsia="Arial" w:hAnsi="Arial"/>
          <w:sz w:val="15"/>
          <w:szCs w:val="15"/>
          <w:color w:val="0E191E"/>
        </w:rPr>
      </w:pPr>
    </w:p>
    <w:p>
      <w:pPr>
        <w:ind w:left="500" w:right="440" w:hanging="168"/>
        <w:spacing w:after="0" w:line="317" w:lineRule="auto"/>
        <w:tabs>
          <w:tab w:leader="none" w:pos="499" w:val="left"/>
        </w:tabs>
        <w:numPr>
          <w:ilvl w:val="0"/>
          <w:numId w:val="22"/>
        </w:numPr>
        <w:rPr>
          <w:rFonts w:ascii="Arial" w:cs="Arial" w:eastAsia="Arial" w:hAnsi="Arial"/>
          <w:sz w:val="15"/>
          <w:szCs w:val="15"/>
          <w:color w:val="0E191E"/>
        </w:rPr>
      </w:pPr>
      <w:r>
        <w:rPr>
          <w:rFonts w:ascii="Arial" w:cs="Arial" w:eastAsia="Arial" w:hAnsi="Arial"/>
          <w:sz w:val="15"/>
          <w:szCs w:val="15"/>
          <w:color w:val="0E191E"/>
        </w:rPr>
        <w:t>provide equity-based compensation that enables our executive officers to share in our financial results and that establish a clear alignment between their interests and the interests of our stockholders;</w:t>
      </w:r>
    </w:p>
    <w:p>
      <w:pPr>
        <w:spacing w:after="0" w:line="30" w:lineRule="exact"/>
        <w:rPr>
          <w:rFonts w:ascii="Arial" w:cs="Arial" w:eastAsia="Arial" w:hAnsi="Arial"/>
          <w:sz w:val="15"/>
          <w:szCs w:val="15"/>
          <w:color w:val="0E191E"/>
        </w:rPr>
      </w:pPr>
    </w:p>
    <w:p>
      <w:pPr>
        <w:ind w:left="500" w:hanging="168"/>
        <w:spacing w:after="0"/>
        <w:tabs>
          <w:tab w:leader="none" w:pos="500" w:val="left"/>
        </w:tabs>
        <w:numPr>
          <w:ilvl w:val="0"/>
          <w:numId w:val="22"/>
        </w:numPr>
        <w:rPr>
          <w:rFonts w:ascii="Arial" w:cs="Arial" w:eastAsia="Arial" w:hAnsi="Arial"/>
          <w:sz w:val="15"/>
          <w:szCs w:val="15"/>
          <w:color w:val="0E191E"/>
        </w:rPr>
      </w:pPr>
      <w:r>
        <w:rPr>
          <w:rFonts w:ascii="Arial" w:cs="Arial" w:eastAsia="Arial" w:hAnsi="Arial"/>
          <w:sz w:val="15"/>
          <w:szCs w:val="15"/>
          <w:color w:val="0E191E"/>
        </w:rPr>
        <w:t>provide a core level of welfare and other benefits; and</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22"/>
        </w:numPr>
        <w:rPr>
          <w:rFonts w:ascii="Arial" w:cs="Arial" w:eastAsia="Arial" w:hAnsi="Arial"/>
          <w:sz w:val="15"/>
          <w:szCs w:val="15"/>
          <w:color w:val="0E191E"/>
        </w:rPr>
      </w:pPr>
      <w:r>
        <w:rPr>
          <w:rFonts w:ascii="Arial" w:cs="Arial" w:eastAsia="Arial" w:hAnsi="Arial"/>
          <w:sz w:val="15"/>
          <w:szCs w:val="15"/>
          <w:color w:val="0E191E"/>
        </w:rPr>
        <w:t>maintain compensation policies and practices that reinforce a culture of ownership, excellence, and responsiveness.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Compensation Program Design</w:t>
      </w:r>
    </w:p>
    <w:p>
      <w:pPr>
        <w:spacing w:after="0" w:line="136" w:lineRule="exact"/>
        <w:rPr>
          <w:sz w:val="20"/>
          <w:szCs w:val="20"/>
          <w:color w:val="auto"/>
        </w:rPr>
      </w:pPr>
    </w:p>
    <w:p>
      <w:pPr>
        <w:ind w:right="60"/>
        <w:spacing w:after="0" w:line="306" w:lineRule="auto"/>
        <w:rPr>
          <w:sz w:val="20"/>
          <w:szCs w:val="20"/>
          <w:color w:val="auto"/>
        </w:rPr>
      </w:pPr>
      <w:r>
        <w:rPr>
          <w:rFonts w:ascii="Arial" w:cs="Arial" w:eastAsia="Arial" w:hAnsi="Arial"/>
          <w:sz w:val="15"/>
          <w:szCs w:val="15"/>
          <w:color w:val="0E191E"/>
        </w:rPr>
        <w:t>For fiscal year 2021, the compensation of our executive officers, including the Named Executive Officers, has consisted of base salary, a cash bonus opportunity, and equity compensation in the form of RSUs subject to performance-based vesting conditions tied to corporate financial and operational metrics (“Performance-Vesting RSUs”) and RSUs subject to time-based vesting conditions (“Time-Vesting RSUs”). Of these components, only base salary is fixed while the other components are variable based</w:t>
      </w:r>
    </w:p>
    <w:p>
      <w:pPr>
        <w:spacing w:after="0" w:line="371"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35</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1" w:right="339" w:bottom="1440" w:gutter="0" w:footer="0" w:header="0"/>
        </w:sectPr>
      </w:pPr>
    </w:p>
    <w:bookmarkStart w:id="39" w:name="page40"/>
    <w:bookmarkEnd w:id="39"/>
    <w:p>
      <w:pPr>
        <w:spacing w:after="0"/>
        <w:rPr>
          <w:sz w:val="20"/>
          <w:szCs w:val="20"/>
          <w:color w:val="auto"/>
        </w:rPr>
      </w:pPr>
      <w:r>
        <w:rPr>
          <w:rFonts w:ascii="Arial" w:cs="Arial" w:eastAsia="Arial" w:hAnsi="Arial"/>
          <w:sz w:val="15"/>
          <w:szCs w:val="15"/>
          <w:color w:val="0E191E"/>
        </w:rPr>
        <w:t>on the performance of both the Company and the individual executive officer, measured against specific objectives that are determined in advance.</w:t>
      </w:r>
    </w:p>
    <w:p>
      <w:pPr>
        <w:spacing w:after="0" w:line="206" w:lineRule="exact"/>
        <w:rPr>
          <w:sz w:val="20"/>
          <w:szCs w:val="20"/>
          <w:color w:val="auto"/>
        </w:rPr>
      </w:pPr>
    </w:p>
    <w:p>
      <w:pPr>
        <w:spacing w:after="0" w:line="306" w:lineRule="auto"/>
        <w:rPr>
          <w:sz w:val="20"/>
          <w:szCs w:val="20"/>
          <w:color w:val="auto"/>
        </w:rPr>
      </w:pPr>
      <w:r>
        <w:rPr>
          <w:rFonts w:ascii="Arial" w:cs="Arial" w:eastAsia="Arial" w:hAnsi="Arial"/>
          <w:sz w:val="15"/>
          <w:szCs w:val="15"/>
          <w:color w:val="0E191E"/>
        </w:rPr>
        <w:t>The key component of our executive compensation program has been equity awards in the form of Performance-Vesting RSUs and Time-Vesting RSUs. Prior to fiscal year 2021, we also granted RSUs subject to performance-based vesting conditions tied to total stockholder return (“TSR” and such RSUs, the “TSR RSUs”). We use equity-based awards as we deem appropriate to offer our employees, including our executive officers, long-term equity incentives that align their interests with the long-term interests of our stockholders.</w:t>
      </w:r>
    </w:p>
    <w:p>
      <w:pPr>
        <w:spacing w:after="0" w:line="146" w:lineRule="exact"/>
        <w:rPr>
          <w:sz w:val="20"/>
          <w:szCs w:val="20"/>
          <w:color w:val="auto"/>
        </w:rPr>
      </w:pPr>
    </w:p>
    <w:p>
      <w:pPr>
        <w:ind w:right="240"/>
        <w:spacing w:after="0" w:line="317" w:lineRule="auto"/>
        <w:rPr>
          <w:sz w:val="20"/>
          <w:szCs w:val="20"/>
          <w:color w:val="auto"/>
        </w:rPr>
      </w:pPr>
      <w:r>
        <w:rPr>
          <w:rFonts w:ascii="Arial" w:cs="Arial" w:eastAsia="Arial" w:hAnsi="Arial"/>
          <w:sz w:val="15"/>
          <w:szCs w:val="15"/>
          <w:color w:val="0E191E"/>
        </w:rPr>
        <w:t>We also have offered cash compensation in the form of base salaries, to reward individual contributions and compensate our executive officers for their day-to-day responsibilities, and annual cash bonuses, to drive and incentivize our executive officers to achieve our short-term strategic and operational objectives.</w:t>
      </w:r>
    </w:p>
    <w:p>
      <w:pPr>
        <w:spacing w:after="0" w:line="138" w:lineRule="exact"/>
        <w:rPr>
          <w:sz w:val="20"/>
          <w:szCs w:val="20"/>
          <w:color w:val="auto"/>
        </w:rPr>
      </w:pPr>
    </w:p>
    <w:p>
      <w:pPr>
        <w:ind w:right="140"/>
        <w:spacing w:after="0" w:line="306" w:lineRule="auto"/>
        <w:rPr>
          <w:sz w:val="20"/>
          <w:szCs w:val="20"/>
          <w:color w:val="auto"/>
        </w:rPr>
      </w:pPr>
      <w:r>
        <w:rPr>
          <w:rFonts w:ascii="Arial" w:cs="Arial" w:eastAsia="Arial" w:hAnsi="Arial"/>
          <w:sz w:val="15"/>
          <w:szCs w:val="15"/>
          <w:color w:val="0E191E"/>
        </w:rPr>
        <w:t xml:space="preserve">In addition to these elements of our executive compensation program, we also provide executive officers, including our Named Executive Officers, with certain other indirect benefits, including participation in certain post-employment compensation arrangements. For a description of these other features of our compensation program, please refer to the section below titled </w:t>
      </w:r>
      <w:r>
        <w:rPr>
          <w:rFonts w:ascii="Arial" w:cs="Arial" w:eastAsia="Arial" w:hAnsi="Arial"/>
          <w:sz w:val="15"/>
          <w:szCs w:val="15"/>
          <w:i w:val="1"/>
          <w:iCs w:val="1"/>
          <w:color w:val="0E191E"/>
        </w:rPr>
        <w:t>“Executive Compensation Program Elements-Welfare and Other Benefits”</w:t>
      </w:r>
      <w:r>
        <w:rPr>
          <w:rFonts w:ascii="Arial" w:cs="Arial" w:eastAsia="Arial" w:hAnsi="Arial"/>
          <w:sz w:val="15"/>
          <w:szCs w:val="15"/>
          <w:color w:val="0E191E"/>
        </w:rPr>
        <w:t xml:space="preserve"> and </w:t>
      </w:r>
      <w:r>
        <w:rPr>
          <w:rFonts w:ascii="Arial" w:cs="Arial" w:eastAsia="Arial" w:hAnsi="Arial"/>
          <w:sz w:val="15"/>
          <w:szCs w:val="15"/>
          <w:i w:val="1"/>
          <w:iCs w:val="1"/>
          <w:color w:val="0E191E"/>
        </w:rPr>
        <w:t>“Executive Agreements and</w:t>
      </w:r>
      <w:r>
        <w:rPr>
          <w:rFonts w:ascii="Arial" w:cs="Arial" w:eastAsia="Arial" w:hAnsi="Arial"/>
          <w:sz w:val="15"/>
          <w:szCs w:val="15"/>
          <w:color w:val="0E191E"/>
        </w:rPr>
        <w:t xml:space="preserve"> </w:t>
      </w:r>
      <w:r>
        <w:rPr>
          <w:rFonts w:ascii="Arial" w:cs="Arial" w:eastAsia="Arial" w:hAnsi="Arial"/>
          <w:sz w:val="15"/>
          <w:szCs w:val="15"/>
          <w:i w:val="1"/>
          <w:iCs w:val="1"/>
          <w:color w:val="0E191E"/>
        </w:rPr>
        <w:t>Termination of Employment Arrangements.”</w:t>
      </w:r>
    </w:p>
    <w:p>
      <w:pPr>
        <w:spacing w:after="0" w:line="146" w:lineRule="exact"/>
        <w:rPr>
          <w:sz w:val="20"/>
          <w:szCs w:val="20"/>
          <w:color w:val="auto"/>
        </w:rPr>
      </w:pPr>
    </w:p>
    <w:p>
      <w:pPr>
        <w:ind w:right="240"/>
        <w:spacing w:after="0" w:line="308" w:lineRule="auto"/>
        <w:rPr>
          <w:sz w:val="20"/>
          <w:szCs w:val="20"/>
          <w:color w:val="auto"/>
        </w:rPr>
      </w:pPr>
      <w:r>
        <w:rPr>
          <w:rFonts w:ascii="Arial" w:cs="Arial" w:eastAsia="Arial" w:hAnsi="Arial"/>
          <w:sz w:val="15"/>
          <w:szCs w:val="15"/>
          <w:color w:val="0E191E"/>
        </w:rPr>
        <w:t>We evaluate our philosophy and compensation programs as circumstances require, and at a minimum, we review executive compensation annually. As part of this review process, we apply our values and the objectives outlined above, while also considering whether our proposed compensation ensures that we remain competitive for talent, that we meet our retention objectives and that our cost of replacement for a key employee is reasonable.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Compensation-Setting Process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1EB7DF"/>
        </w:rPr>
        <w:t>Role of the Compensation Committee</w:t>
      </w:r>
    </w:p>
    <w:p>
      <w:pPr>
        <w:spacing w:after="0" w:line="47" w:lineRule="exact"/>
        <w:rPr>
          <w:sz w:val="20"/>
          <w:szCs w:val="20"/>
          <w:color w:val="auto"/>
        </w:rPr>
      </w:pPr>
    </w:p>
    <w:p>
      <w:pPr>
        <w:ind w:right="280"/>
        <w:spacing w:after="0" w:line="308" w:lineRule="auto"/>
        <w:rPr>
          <w:sz w:val="20"/>
          <w:szCs w:val="20"/>
          <w:color w:val="auto"/>
        </w:rPr>
      </w:pPr>
      <w:r>
        <w:rPr>
          <w:rFonts w:ascii="Arial" w:cs="Arial" w:eastAsia="Arial" w:hAnsi="Arial"/>
          <w:sz w:val="15"/>
          <w:szCs w:val="15"/>
          <w:color w:val="0E191E"/>
        </w:rPr>
        <w:t>The Compensation Committee is responsible for overseeing our executive compensation program and for determining the compensation of our executive officers, including the Named Executive Officers. In addition, the Compensation Committee provides strategic direction to management regarding the overall corporate compensation philosophy. The Compensation Committee operates pursuant to a written charter that has been approved by our board of directors.</w:t>
      </w:r>
    </w:p>
    <w:p>
      <w:pPr>
        <w:spacing w:after="0" w:line="146" w:lineRule="exact"/>
        <w:rPr>
          <w:sz w:val="20"/>
          <w:szCs w:val="20"/>
          <w:color w:val="auto"/>
        </w:rPr>
      </w:pPr>
    </w:p>
    <w:p>
      <w:pPr>
        <w:ind w:right="140"/>
        <w:spacing w:after="0" w:line="304" w:lineRule="auto"/>
        <w:rPr>
          <w:sz w:val="20"/>
          <w:szCs w:val="20"/>
          <w:color w:val="auto"/>
        </w:rPr>
      </w:pPr>
      <w:r>
        <w:rPr>
          <w:rFonts w:ascii="Arial" w:cs="Arial" w:eastAsia="Arial" w:hAnsi="Arial"/>
          <w:sz w:val="15"/>
          <w:szCs w:val="15"/>
          <w:color w:val="0E191E"/>
        </w:rPr>
        <w:t>Typically, in the first quarter of each fiscal year, the Compensation Committee reviews the compensation of our executive officers, decides whether to make any adjustments to their base salaries, designs an executive bonus plan, including the corporate performance measures and objectives to be used for purposes of determining their annual cash bonuses for the current fiscal year, and determines whether to approve any equity awards. In addition, at that time, the Compensation Committee evaluates the performance of the Company, as well as the individual performance of each executive officer, as applicable, to determine whether to pay cash bonuses for the previous fiscal year and, if so, the amount of any such bonuses.</w:t>
      </w:r>
    </w:p>
    <w:p>
      <w:pPr>
        <w:spacing w:after="0" w:line="150"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0E191E"/>
        </w:rPr>
        <w:t>In determining executive compensation for fiscal year 2021, the Compensation Committee reviewed and considered various market data presented by Radford, as well as our overall financial plan. The Compensation Committee did not strictly set compensation at a specific level of pay. Other factors considered include individual performance, role and tenure, in setting our executive compensation. Accordingly, the comparative market data provided by Radford was one reference point and one factor, among others, in our compensation decision-making process.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0E191E"/>
        </w:rPr>
        <w:t>The Compensation Committee has not delegated any of its authority with respect to executive compensation matters.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1EB7DF"/>
        </w:rPr>
        <w:t>Role of Senior Management</w:t>
      </w:r>
    </w:p>
    <w:p>
      <w:pPr>
        <w:spacing w:after="0" w:line="47"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0E191E"/>
        </w:rPr>
        <w:t>Typically, the Compensation Committee seeks the input of our CEO when discussing the performance of and compensation for our executive officers, including the other Named Executive Officers other than the CEO. In this regard, our CEO reviews the performance of the other executive officers, including the other Named Executive Officers, annually and presents to the Compensation Committee his conclusions and other input as to their compensation, including base salary adjustments, cash bonus payouts, and equity awards. The Compensation Committee uses this input as one factor in its deliberations to determine the compensation of our executive officers.</w:t>
      </w:r>
    </w:p>
    <w:p>
      <w:pPr>
        <w:spacing w:after="0" w:line="150" w:lineRule="exact"/>
        <w:rPr>
          <w:sz w:val="20"/>
          <w:szCs w:val="20"/>
          <w:color w:val="auto"/>
        </w:rPr>
      </w:pPr>
    </w:p>
    <w:p>
      <w:pPr>
        <w:spacing w:after="0" w:line="308" w:lineRule="auto"/>
        <w:rPr>
          <w:sz w:val="20"/>
          <w:szCs w:val="20"/>
          <w:color w:val="auto"/>
        </w:rPr>
      </w:pPr>
      <w:r>
        <w:rPr>
          <w:rFonts w:ascii="Arial" w:cs="Arial" w:eastAsia="Arial" w:hAnsi="Arial"/>
          <w:sz w:val="15"/>
          <w:szCs w:val="15"/>
          <w:color w:val="0E191E"/>
        </w:rPr>
        <w:t>While our CEO attends certain meetings of the Compensation Committee, the Compensation Committee meets outside the presence of our CEO when discussing his compensation and when discussing certain other matters. Decisions with respect to our CEO’s compensation are made by the Compensation Committee and our board of directors.</w:t>
      </w:r>
    </w:p>
    <w:p>
      <w:pPr>
        <w:spacing w:after="0" w:line="357"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36</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811" w:right="359" w:bottom="1440" w:gutter="0" w:footer="0" w:header="0"/>
        </w:sectPr>
      </w:pPr>
    </w:p>
    <w:bookmarkStart w:id="40" w:name="page41"/>
    <w:bookmarkEnd w:id="40"/>
    <w:p>
      <w:pPr>
        <w:ind w:right="600"/>
        <w:spacing w:after="0" w:line="317" w:lineRule="auto"/>
        <w:rPr>
          <w:sz w:val="20"/>
          <w:szCs w:val="20"/>
          <w:color w:val="auto"/>
        </w:rPr>
      </w:pPr>
      <w:r>
        <w:rPr>
          <w:rFonts w:ascii="Arial" w:cs="Arial" w:eastAsia="Arial" w:hAnsi="Arial"/>
          <w:sz w:val="15"/>
          <w:szCs w:val="15"/>
          <w:color w:val="0E191E"/>
        </w:rPr>
        <w:t>The Compensation Committee also works with our CFO, our Chief People Officer, and our Chief Administrative Officer and General Counsel in evaluating the financial, accounting, tax, and retention implications of our executive compensation plans and arrangements.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1EB7DF"/>
        </w:rPr>
        <w:t>Role of Compensation Consultant</w:t>
      </w:r>
    </w:p>
    <w:p>
      <w:pPr>
        <w:spacing w:after="0" w:line="47" w:lineRule="exact"/>
        <w:rPr>
          <w:sz w:val="20"/>
          <w:szCs w:val="20"/>
          <w:color w:val="auto"/>
        </w:rPr>
      </w:pPr>
    </w:p>
    <w:p>
      <w:pPr>
        <w:ind w:right="180"/>
        <w:spacing w:after="0" w:line="308" w:lineRule="auto"/>
        <w:rPr>
          <w:sz w:val="20"/>
          <w:szCs w:val="20"/>
          <w:color w:val="auto"/>
        </w:rPr>
      </w:pPr>
      <w:r>
        <w:rPr>
          <w:rFonts w:ascii="Arial" w:cs="Arial" w:eastAsia="Arial" w:hAnsi="Arial"/>
          <w:sz w:val="15"/>
          <w:szCs w:val="15"/>
          <w:color w:val="0E191E"/>
        </w:rPr>
        <w:t>The Compensation Committee is authorized to retain the services of one or more executive compensation advisors, as it sees fit, in connection with the oversight of our executive compensation program. For fiscal year 2021, the Compensation Committee engaged Radford to provide it with information, recommendations, and other advice relating to executive compensation. During fiscal year 2021, Radford performed the following projects for the Compensation Committee:</w:t>
      </w:r>
    </w:p>
    <w:p>
      <w:pPr>
        <w:spacing w:after="0" w:line="92" w:lineRule="exact"/>
        <w:rPr>
          <w:sz w:val="20"/>
          <w:szCs w:val="20"/>
          <w:color w:val="auto"/>
        </w:rPr>
      </w:pPr>
    </w:p>
    <w:p>
      <w:pPr>
        <w:ind w:left="500" w:hanging="168"/>
        <w:spacing w:after="0"/>
        <w:tabs>
          <w:tab w:leader="none" w:pos="500" w:val="left"/>
        </w:tabs>
        <w:numPr>
          <w:ilvl w:val="0"/>
          <w:numId w:val="23"/>
        </w:numPr>
        <w:rPr>
          <w:rFonts w:ascii="Arial" w:cs="Arial" w:eastAsia="Arial" w:hAnsi="Arial"/>
          <w:sz w:val="15"/>
          <w:szCs w:val="15"/>
          <w:color w:val="0E191E"/>
        </w:rPr>
      </w:pPr>
      <w:r>
        <w:rPr>
          <w:rFonts w:ascii="Arial" w:cs="Arial" w:eastAsia="Arial" w:hAnsi="Arial"/>
          <w:sz w:val="15"/>
          <w:szCs w:val="15"/>
          <w:color w:val="0E191E"/>
        </w:rPr>
        <w:t>reviewed our general compensation principles for fiscal year 2021;</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23"/>
        </w:numPr>
        <w:rPr>
          <w:rFonts w:ascii="Arial" w:cs="Arial" w:eastAsia="Arial" w:hAnsi="Arial"/>
          <w:sz w:val="15"/>
          <w:szCs w:val="15"/>
          <w:color w:val="0E191E"/>
        </w:rPr>
      </w:pPr>
      <w:r>
        <w:rPr>
          <w:rFonts w:ascii="Arial" w:cs="Arial" w:eastAsia="Arial" w:hAnsi="Arial"/>
          <w:sz w:val="15"/>
          <w:szCs w:val="15"/>
          <w:color w:val="0E191E"/>
        </w:rPr>
        <w:t>prepared an assessment of non-employee director compensation;</w:t>
      </w:r>
    </w:p>
    <w:p>
      <w:pPr>
        <w:spacing w:after="0" w:line="97" w:lineRule="exact"/>
        <w:rPr>
          <w:rFonts w:ascii="Arial" w:cs="Arial" w:eastAsia="Arial" w:hAnsi="Arial"/>
          <w:sz w:val="15"/>
          <w:szCs w:val="15"/>
          <w:color w:val="0E191E"/>
        </w:rPr>
      </w:pPr>
    </w:p>
    <w:p>
      <w:pPr>
        <w:ind w:left="500" w:right="420" w:hanging="168"/>
        <w:spacing w:after="0" w:line="317" w:lineRule="auto"/>
        <w:tabs>
          <w:tab w:leader="none" w:pos="499" w:val="left"/>
        </w:tabs>
        <w:numPr>
          <w:ilvl w:val="0"/>
          <w:numId w:val="23"/>
        </w:numPr>
        <w:rPr>
          <w:rFonts w:ascii="Arial" w:cs="Arial" w:eastAsia="Arial" w:hAnsi="Arial"/>
          <w:sz w:val="15"/>
          <w:szCs w:val="15"/>
          <w:color w:val="0E191E"/>
        </w:rPr>
      </w:pPr>
      <w:r>
        <w:rPr>
          <w:rFonts w:ascii="Arial" w:cs="Arial" w:eastAsia="Arial" w:hAnsi="Arial"/>
          <w:sz w:val="15"/>
          <w:szCs w:val="15"/>
          <w:color w:val="0E191E"/>
        </w:rPr>
        <w:t>prepared an assessment of our executive officers’ total compensation, as well as each individual compensation component, including an analysis of cash compensation, equity compensation, and total direct compensation as compared to a composition of our peer group (described below);</w:t>
      </w:r>
    </w:p>
    <w:p>
      <w:pPr>
        <w:spacing w:after="0" w:line="30" w:lineRule="exact"/>
        <w:rPr>
          <w:rFonts w:ascii="Arial" w:cs="Arial" w:eastAsia="Arial" w:hAnsi="Arial"/>
          <w:sz w:val="15"/>
          <w:szCs w:val="15"/>
          <w:color w:val="0E191E"/>
        </w:rPr>
      </w:pPr>
    </w:p>
    <w:p>
      <w:pPr>
        <w:ind w:left="500" w:hanging="168"/>
        <w:spacing w:after="0"/>
        <w:tabs>
          <w:tab w:leader="none" w:pos="500" w:val="left"/>
        </w:tabs>
        <w:numPr>
          <w:ilvl w:val="0"/>
          <w:numId w:val="23"/>
        </w:numPr>
        <w:rPr>
          <w:rFonts w:ascii="Arial" w:cs="Arial" w:eastAsia="Arial" w:hAnsi="Arial"/>
          <w:sz w:val="15"/>
          <w:szCs w:val="15"/>
          <w:color w:val="0E191E"/>
        </w:rPr>
      </w:pPr>
      <w:r>
        <w:rPr>
          <w:rFonts w:ascii="Arial" w:cs="Arial" w:eastAsia="Arial" w:hAnsi="Arial"/>
          <w:sz w:val="15"/>
          <w:szCs w:val="15"/>
          <w:color w:val="0E191E"/>
        </w:rPr>
        <w:t>assisted with the design of the overall equity program, including helping set grant levels for the Company as a whole;</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23"/>
        </w:numPr>
        <w:rPr>
          <w:rFonts w:ascii="Arial" w:cs="Arial" w:eastAsia="Arial" w:hAnsi="Arial"/>
          <w:sz w:val="15"/>
          <w:szCs w:val="15"/>
          <w:color w:val="0E191E"/>
        </w:rPr>
      </w:pPr>
      <w:r>
        <w:rPr>
          <w:rFonts w:ascii="Arial" w:cs="Arial" w:eastAsia="Arial" w:hAnsi="Arial"/>
          <w:sz w:val="15"/>
          <w:szCs w:val="15"/>
          <w:color w:val="0E191E"/>
        </w:rPr>
        <w:t>analyzed pay survey data;</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23"/>
        </w:numPr>
        <w:rPr>
          <w:rFonts w:ascii="Arial" w:cs="Arial" w:eastAsia="Arial" w:hAnsi="Arial"/>
          <w:sz w:val="15"/>
          <w:szCs w:val="15"/>
          <w:color w:val="0E191E"/>
        </w:rPr>
      </w:pPr>
      <w:r>
        <w:rPr>
          <w:rFonts w:ascii="Arial" w:cs="Arial" w:eastAsia="Arial" w:hAnsi="Arial"/>
          <w:sz w:val="15"/>
          <w:szCs w:val="15"/>
          <w:color w:val="0E191E"/>
        </w:rPr>
        <w:t>provided advice regarding best practices and compensation trends, including proxy advisory firms’ evolving positions on executive pay; and</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23"/>
        </w:numPr>
        <w:rPr>
          <w:rFonts w:ascii="Arial" w:cs="Arial" w:eastAsia="Arial" w:hAnsi="Arial"/>
          <w:sz w:val="15"/>
          <w:szCs w:val="15"/>
          <w:color w:val="0E191E"/>
        </w:rPr>
      </w:pPr>
      <w:r>
        <w:rPr>
          <w:rFonts w:ascii="Arial" w:cs="Arial" w:eastAsia="Arial" w:hAnsi="Arial"/>
          <w:sz w:val="15"/>
          <w:szCs w:val="15"/>
          <w:color w:val="0E191E"/>
        </w:rPr>
        <w:t>performed a risk analysis of our compensation arrangements.</w:t>
      </w:r>
    </w:p>
    <w:p>
      <w:pPr>
        <w:spacing w:after="0" w:line="206" w:lineRule="exact"/>
        <w:rPr>
          <w:sz w:val="20"/>
          <w:szCs w:val="20"/>
          <w:color w:val="auto"/>
        </w:rPr>
      </w:pPr>
    </w:p>
    <w:p>
      <w:pPr>
        <w:jc w:val="both"/>
        <w:ind w:right="120"/>
        <w:spacing w:after="0" w:line="308" w:lineRule="auto"/>
        <w:rPr>
          <w:sz w:val="20"/>
          <w:szCs w:val="20"/>
          <w:color w:val="auto"/>
        </w:rPr>
      </w:pPr>
      <w:r>
        <w:rPr>
          <w:rFonts w:ascii="Arial" w:cs="Arial" w:eastAsia="Arial" w:hAnsi="Arial"/>
          <w:sz w:val="15"/>
          <w:szCs w:val="15"/>
          <w:color w:val="0E191E"/>
        </w:rPr>
        <w:t>Radford served at the discretion of the Compensation Committee and did not provide any other services to the Company during fiscal year 2021 other than those for which they were engaged by the Compensation Committee. The Compensation Committee assessed the independence of Radford pursuant to applicable SEC and NYSE rules and concluded that no conflict of interest exists that would prevent Radford from independently advising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1EB7DF"/>
        </w:rPr>
        <w:t>Comparative Market Data</w:t>
      </w:r>
    </w:p>
    <w:p>
      <w:pPr>
        <w:spacing w:after="0" w:line="47" w:lineRule="exact"/>
        <w:rPr>
          <w:sz w:val="20"/>
          <w:szCs w:val="20"/>
          <w:color w:val="auto"/>
        </w:rPr>
      </w:pPr>
    </w:p>
    <w:p>
      <w:pPr>
        <w:spacing w:after="0" w:line="303" w:lineRule="auto"/>
        <w:rPr>
          <w:sz w:val="20"/>
          <w:szCs w:val="20"/>
          <w:color w:val="auto"/>
        </w:rPr>
      </w:pPr>
      <w:r>
        <w:rPr>
          <w:rFonts w:ascii="Arial" w:cs="Arial" w:eastAsia="Arial" w:hAnsi="Arial"/>
          <w:sz w:val="15"/>
          <w:szCs w:val="15"/>
          <w:color w:val="0E191E"/>
        </w:rPr>
        <w:t>To assist the Compensation Committee during its annual review of the competitiveness of compensation levels and the appropriate mix of compensation elements to our executive officers, including our Named Executive Officers, Radford prepares comparative market data on compensation practices and programs as well as guidance on industry best practices. The Compensation Committee, with guidance from Radford and input from senior management, determines the composition of our peer group and reevaluates this group on an annual basis. The Compensation Committee determined that our peer group for determining the compensation of our Named Executive Officers in fiscal year 2021 in connection with our annual compensation review would consist of 20 public software companies in the San Francisco Bay Area and other technology "hubs" with revenue between $350 million and $2 billion, including high revenue growth companies, and market capitalization between $3 billion and $30 billion. At the time we determined our peer group for fiscal year 2021, our trailing 12-month revenue approximated the 39th percentile of the peer group and our 30-day average market capitalization approximated the 53rd percentile of the peer group. Below is a list of the companies in our peer group for fiscal year 2021:</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E191E"/>
        </w:rPr>
        <w:t>Fiscal Year 2021 Peer Group Companies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370"/>
        </w:trPr>
        <w:tc>
          <w:tcPr>
            <w:tcW w:w="3770" w:type="dxa"/>
            <w:vAlign w:val="bottom"/>
            <w:shd w:val="clear" w:color="auto" w:fill="E5F1F5"/>
          </w:tcPr>
          <w:p>
            <w:pPr>
              <w:ind w:left="260"/>
              <w:spacing w:after="0"/>
              <w:rPr>
                <w:sz w:val="20"/>
                <w:szCs w:val="20"/>
                <w:color w:val="auto"/>
              </w:rPr>
            </w:pPr>
            <w:r>
              <w:rPr>
                <w:rFonts w:ascii="Arial" w:cs="Arial" w:eastAsia="Arial" w:hAnsi="Arial"/>
                <w:sz w:val="15"/>
                <w:szCs w:val="15"/>
                <w:b w:val="1"/>
                <w:bCs w:val="1"/>
                <w:color w:val="0E191E"/>
              </w:rPr>
              <w:t>ANSYS, Inc.</w:t>
            </w:r>
          </w:p>
        </w:tc>
        <w:tc>
          <w:tcPr>
            <w:tcW w:w="3700" w:type="dxa"/>
            <w:vAlign w:val="bottom"/>
            <w:shd w:val="clear" w:color="auto" w:fill="E5F1F5"/>
          </w:tcPr>
          <w:p>
            <w:pPr>
              <w:ind w:left="190"/>
              <w:spacing w:after="0"/>
              <w:rPr>
                <w:sz w:val="20"/>
                <w:szCs w:val="20"/>
                <w:color w:val="auto"/>
              </w:rPr>
            </w:pPr>
            <w:r>
              <w:rPr>
                <w:rFonts w:ascii="Arial" w:cs="Arial" w:eastAsia="Arial" w:hAnsi="Arial"/>
                <w:sz w:val="15"/>
                <w:szCs w:val="15"/>
                <w:b w:val="1"/>
                <w:bCs w:val="1"/>
                <w:color w:val="0E191E"/>
              </w:rPr>
              <w:t>LogMeIn, Inc.</w:t>
            </w:r>
          </w:p>
        </w:tc>
        <w:tc>
          <w:tcPr>
            <w:tcW w:w="3770" w:type="dxa"/>
            <w:vAlign w:val="bottom"/>
            <w:shd w:val="clear" w:color="auto" w:fill="E5F1F5"/>
          </w:tcPr>
          <w:p>
            <w:pPr>
              <w:ind w:left="190"/>
              <w:spacing w:after="0"/>
              <w:rPr>
                <w:sz w:val="20"/>
                <w:szCs w:val="20"/>
                <w:color w:val="auto"/>
              </w:rPr>
            </w:pPr>
            <w:r>
              <w:rPr>
                <w:rFonts w:ascii="Arial" w:cs="Arial" w:eastAsia="Arial" w:hAnsi="Arial"/>
                <w:sz w:val="15"/>
                <w:szCs w:val="15"/>
                <w:b w:val="1"/>
                <w:bCs w:val="1"/>
                <w:color w:val="0E191E"/>
              </w:rPr>
              <w:t>RingCentral, Inc.</w:t>
            </w:r>
          </w:p>
        </w:tc>
      </w:tr>
      <w:tr>
        <w:trPr>
          <w:trHeight w:val="243"/>
        </w:trPr>
        <w:tc>
          <w:tcPr>
            <w:tcW w:w="3770" w:type="dxa"/>
            <w:vAlign w:val="bottom"/>
            <w:shd w:val="clear" w:color="auto" w:fill="E5F1F5"/>
          </w:tcPr>
          <w:p>
            <w:pPr>
              <w:ind w:left="260"/>
              <w:spacing w:after="0"/>
              <w:rPr>
                <w:sz w:val="20"/>
                <w:szCs w:val="20"/>
                <w:color w:val="auto"/>
              </w:rPr>
            </w:pPr>
            <w:r>
              <w:rPr>
                <w:rFonts w:ascii="Arial" w:cs="Arial" w:eastAsia="Arial" w:hAnsi="Arial"/>
                <w:sz w:val="15"/>
                <w:szCs w:val="15"/>
                <w:b w:val="1"/>
                <w:bCs w:val="1"/>
                <w:color w:val="0E191E"/>
              </w:rPr>
              <w:t>Aspen Technology, Inc.</w:t>
            </w:r>
          </w:p>
        </w:tc>
        <w:tc>
          <w:tcPr>
            <w:tcW w:w="3700" w:type="dxa"/>
            <w:vAlign w:val="bottom"/>
            <w:shd w:val="clear" w:color="auto" w:fill="E5F1F5"/>
          </w:tcPr>
          <w:p>
            <w:pPr>
              <w:ind w:left="190"/>
              <w:spacing w:after="0"/>
              <w:rPr>
                <w:sz w:val="20"/>
                <w:szCs w:val="20"/>
                <w:color w:val="auto"/>
              </w:rPr>
            </w:pPr>
            <w:r>
              <w:rPr>
                <w:rFonts w:ascii="Arial" w:cs="Arial" w:eastAsia="Arial" w:hAnsi="Arial"/>
                <w:sz w:val="15"/>
                <w:szCs w:val="15"/>
                <w:b w:val="1"/>
                <w:bCs w:val="1"/>
                <w:color w:val="0E191E"/>
              </w:rPr>
              <w:t>Manhattan Associates, Inc.</w:t>
            </w:r>
          </w:p>
        </w:tc>
        <w:tc>
          <w:tcPr>
            <w:tcW w:w="3770" w:type="dxa"/>
            <w:vAlign w:val="bottom"/>
            <w:shd w:val="clear" w:color="auto" w:fill="E5F1F5"/>
          </w:tcPr>
          <w:p>
            <w:pPr>
              <w:ind w:left="190"/>
              <w:spacing w:after="0"/>
              <w:rPr>
                <w:sz w:val="20"/>
                <w:szCs w:val="20"/>
                <w:color w:val="auto"/>
              </w:rPr>
            </w:pPr>
            <w:r>
              <w:rPr>
                <w:rFonts w:ascii="Arial" w:cs="Arial" w:eastAsia="Arial" w:hAnsi="Arial"/>
                <w:sz w:val="15"/>
                <w:szCs w:val="15"/>
                <w:b w:val="1"/>
                <w:bCs w:val="1"/>
                <w:color w:val="0E191E"/>
              </w:rPr>
              <w:t>Splunk Inc.</w:t>
            </w:r>
          </w:p>
        </w:tc>
      </w:tr>
      <w:tr>
        <w:trPr>
          <w:trHeight w:val="243"/>
        </w:trPr>
        <w:tc>
          <w:tcPr>
            <w:tcW w:w="3770" w:type="dxa"/>
            <w:vAlign w:val="bottom"/>
            <w:shd w:val="clear" w:color="auto" w:fill="E5F1F5"/>
          </w:tcPr>
          <w:p>
            <w:pPr>
              <w:ind w:left="260"/>
              <w:spacing w:after="0"/>
              <w:rPr>
                <w:sz w:val="20"/>
                <w:szCs w:val="20"/>
                <w:color w:val="auto"/>
              </w:rPr>
            </w:pPr>
            <w:r>
              <w:rPr>
                <w:rFonts w:ascii="Arial" w:cs="Arial" w:eastAsia="Arial" w:hAnsi="Arial"/>
                <w:sz w:val="15"/>
                <w:szCs w:val="15"/>
                <w:b w:val="1"/>
                <w:bCs w:val="1"/>
                <w:color w:val="0E191E"/>
              </w:rPr>
              <w:t>Cornerstone OnDemand, Inc.</w:t>
            </w:r>
          </w:p>
        </w:tc>
        <w:tc>
          <w:tcPr>
            <w:tcW w:w="3700" w:type="dxa"/>
            <w:vAlign w:val="bottom"/>
            <w:shd w:val="clear" w:color="auto" w:fill="E5F1F5"/>
          </w:tcPr>
          <w:p>
            <w:pPr>
              <w:ind w:left="190"/>
              <w:spacing w:after="0"/>
              <w:rPr>
                <w:sz w:val="20"/>
                <w:szCs w:val="20"/>
                <w:color w:val="auto"/>
              </w:rPr>
            </w:pPr>
            <w:r>
              <w:rPr>
                <w:rFonts w:ascii="Arial" w:cs="Arial" w:eastAsia="Arial" w:hAnsi="Arial"/>
                <w:sz w:val="15"/>
                <w:szCs w:val="15"/>
                <w:b w:val="1"/>
                <w:bCs w:val="1"/>
                <w:color w:val="0E191E"/>
              </w:rPr>
              <w:t>New Relic, Inc.</w:t>
            </w:r>
          </w:p>
        </w:tc>
        <w:tc>
          <w:tcPr>
            <w:tcW w:w="3770" w:type="dxa"/>
            <w:vAlign w:val="bottom"/>
            <w:shd w:val="clear" w:color="auto" w:fill="E5F1F5"/>
          </w:tcPr>
          <w:p>
            <w:pPr>
              <w:ind w:left="190"/>
              <w:spacing w:after="0"/>
              <w:rPr>
                <w:sz w:val="20"/>
                <w:szCs w:val="20"/>
                <w:color w:val="auto"/>
              </w:rPr>
            </w:pPr>
            <w:r>
              <w:rPr>
                <w:rFonts w:ascii="Arial" w:cs="Arial" w:eastAsia="Arial" w:hAnsi="Arial"/>
                <w:sz w:val="15"/>
                <w:szCs w:val="15"/>
                <w:b w:val="1"/>
                <w:bCs w:val="1"/>
                <w:color w:val="0E191E"/>
              </w:rPr>
              <w:t>Twilio Inc.</w:t>
            </w:r>
          </w:p>
        </w:tc>
      </w:tr>
      <w:tr>
        <w:trPr>
          <w:trHeight w:val="243"/>
        </w:trPr>
        <w:tc>
          <w:tcPr>
            <w:tcW w:w="3770" w:type="dxa"/>
            <w:vAlign w:val="bottom"/>
            <w:shd w:val="clear" w:color="auto" w:fill="E5F1F5"/>
          </w:tcPr>
          <w:p>
            <w:pPr>
              <w:ind w:left="260"/>
              <w:spacing w:after="0"/>
              <w:rPr>
                <w:sz w:val="20"/>
                <w:szCs w:val="20"/>
                <w:color w:val="auto"/>
              </w:rPr>
            </w:pPr>
            <w:r>
              <w:rPr>
                <w:rFonts w:ascii="Arial" w:cs="Arial" w:eastAsia="Arial" w:hAnsi="Arial"/>
                <w:sz w:val="15"/>
                <w:szCs w:val="15"/>
                <w:b w:val="1"/>
                <w:bCs w:val="1"/>
                <w:color w:val="0E191E"/>
              </w:rPr>
              <w:t>Coupa Software Incorporated</w:t>
            </w:r>
          </w:p>
        </w:tc>
        <w:tc>
          <w:tcPr>
            <w:tcW w:w="3700" w:type="dxa"/>
            <w:vAlign w:val="bottom"/>
            <w:shd w:val="clear" w:color="auto" w:fill="E5F1F5"/>
          </w:tcPr>
          <w:p>
            <w:pPr>
              <w:ind w:left="190"/>
              <w:spacing w:after="0"/>
              <w:rPr>
                <w:sz w:val="20"/>
                <w:szCs w:val="20"/>
                <w:color w:val="auto"/>
              </w:rPr>
            </w:pPr>
            <w:r>
              <w:rPr>
                <w:rFonts w:ascii="Arial" w:cs="Arial" w:eastAsia="Arial" w:hAnsi="Arial"/>
                <w:sz w:val="15"/>
                <w:szCs w:val="15"/>
                <w:b w:val="1"/>
                <w:bCs w:val="1"/>
                <w:color w:val="0E191E"/>
              </w:rPr>
              <w:t>Okta, Inc.</w:t>
            </w:r>
          </w:p>
        </w:tc>
        <w:tc>
          <w:tcPr>
            <w:tcW w:w="3770" w:type="dxa"/>
            <w:vAlign w:val="bottom"/>
            <w:shd w:val="clear" w:color="auto" w:fill="E5F1F5"/>
          </w:tcPr>
          <w:p>
            <w:pPr>
              <w:ind w:left="190"/>
              <w:spacing w:after="0"/>
              <w:rPr>
                <w:sz w:val="20"/>
                <w:szCs w:val="20"/>
                <w:color w:val="auto"/>
              </w:rPr>
            </w:pPr>
            <w:r>
              <w:rPr>
                <w:rFonts w:ascii="Arial" w:cs="Arial" w:eastAsia="Arial" w:hAnsi="Arial"/>
                <w:sz w:val="15"/>
                <w:szCs w:val="15"/>
                <w:b w:val="1"/>
                <w:bCs w:val="1"/>
                <w:color w:val="0E191E"/>
              </w:rPr>
              <w:t>Tyler Technologies, Inc.</w:t>
            </w:r>
          </w:p>
        </w:tc>
      </w:tr>
      <w:tr>
        <w:trPr>
          <w:trHeight w:val="243"/>
        </w:trPr>
        <w:tc>
          <w:tcPr>
            <w:tcW w:w="3770" w:type="dxa"/>
            <w:vAlign w:val="bottom"/>
            <w:shd w:val="clear" w:color="auto" w:fill="E5F1F5"/>
          </w:tcPr>
          <w:p>
            <w:pPr>
              <w:ind w:left="260"/>
              <w:spacing w:after="0"/>
              <w:rPr>
                <w:sz w:val="20"/>
                <w:szCs w:val="20"/>
                <w:color w:val="auto"/>
              </w:rPr>
            </w:pPr>
            <w:r>
              <w:rPr>
                <w:rFonts w:ascii="Arial" w:cs="Arial" w:eastAsia="Arial" w:hAnsi="Arial"/>
                <w:sz w:val="15"/>
                <w:szCs w:val="15"/>
                <w:b w:val="1"/>
                <w:bCs w:val="1"/>
                <w:color w:val="0E191E"/>
              </w:rPr>
              <w:t>FireEye, Inc.</w:t>
            </w:r>
          </w:p>
        </w:tc>
        <w:tc>
          <w:tcPr>
            <w:tcW w:w="3700" w:type="dxa"/>
            <w:vAlign w:val="bottom"/>
            <w:shd w:val="clear" w:color="auto" w:fill="E5F1F5"/>
          </w:tcPr>
          <w:p>
            <w:pPr>
              <w:ind w:left="190"/>
              <w:spacing w:after="0"/>
              <w:rPr>
                <w:sz w:val="20"/>
                <w:szCs w:val="20"/>
                <w:color w:val="auto"/>
              </w:rPr>
            </w:pPr>
            <w:r>
              <w:rPr>
                <w:rFonts w:ascii="Arial" w:cs="Arial" w:eastAsia="Arial" w:hAnsi="Arial"/>
                <w:sz w:val="15"/>
                <w:szCs w:val="15"/>
                <w:b w:val="1"/>
                <w:bCs w:val="1"/>
                <w:color w:val="0E191E"/>
              </w:rPr>
              <w:t>Paylocity Holding Corporation</w:t>
            </w:r>
          </w:p>
        </w:tc>
        <w:tc>
          <w:tcPr>
            <w:tcW w:w="3770" w:type="dxa"/>
            <w:vAlign w:val="bottom"/>
            <w:shd w:val="clear" w:color="auto" w:fill="E5F1F5"/>
          </w:tcPr>
          <w:p>
            <w:pPr>
              <w:ind w:left="190"/>
              <w:spacing w:after="0"/>
              <w:rPr>
                <w:sz w:val="20"/>
                <w:szCs w:val="20"/>
                <w:color w:val="auto"/>
              </w:rPr>
            </w:pPr>
            <w:r>
              <w:rPr>
                <w:rFonts w:ascii="Arial" w:cs="Arial" w:eastAsia="Arial" w:hAnsi="Arial"/>
                <w:sz w:val="15"/>
                <w:szCs w:val="15"/>
                <w:b w:val="1"/>
                <w:bCs w:val="1"/>
                <w:color w:val="0E191E"/>
              </w:rPr>
              <w:t>Veeva Systems, Inc.</w:t>
            </w:r>
          </w:p>
        </w:tc>
      </w:tr>
      <w:tr>
        <w:trPr>
          <w:trHeight w:val="243"/>
        </w:trPr>
        <w:tc>
          <w:tcPr>
            <w:tcW w:w="3770" w:type="dxa"/>
            <w:vAlign w:val="bottom"/>
            <w:shd w:val="clear" w:color="auto" w:fill="E5F1F5"/>
          </w:tcPr>
          <w:p>
            <w:pPr>
              <w:ind w:left="260"/>
              <w:spacing w:after="0"/>
              <w:rPr>
                <w:sz w:val="20"/>
                <w:szCs w:val="20"/>
                <w:color w:val="auto"/>
              </w:rPr>
            </w:pPr>
            <w:r>
              <w:rPr>
                <w:rFonts w:ascii="Arial" w:cs="Arial" w:eastAsia="Arial" w:hAnsi="Arial"/>
                <w:sz w:val="15"/>
                <w:szCs w:val="15"/>
                <w:b w:val="1"/>
                <w:bCs w:val="1"/>
                <w:color w:val="0E191E"/>
              </w:rPr>
              <w:t>Fortinet, Inc.</w:t>
            </w:r>
          </w:p>
        </w:tc>
        <w:tc>
          <w:tcPr>
            <w:tcW w:w="3700" w:type="dxa"/>
            <w:vAlign w:val="bottom"/>
            <w:shd w:val="clear" w:color="auto" w:fill="E5F1F5"/>
          </w:tcPr>
          <w:p>
            <w:pPr>
              <w:ind w:left="190"/>
              <w:spacing w:after="0"/>
              <w:rPr>
                <w:sz w:val="20"/>
                <w:szCs w:val="20"/>
                <w:color w:val="auto"/>
              </w:rPr>
            </w:pPr>
            <w:r>
              <w:rPr>
                <w:rFonts w:ascii="Arial" w:cs="Arial" w:eastAsia="Arial" w:hAnsi="Arial"/>
                <w:sz w:val="15"/>
                <w:szCs w:val="15"/>
                <w:b w:val="1"/>
                <w:bCs w:val="1"/>
                <w:color w:val="0E191E"/>
              </w:rPr>
              <w:t>Proofpoint, Inc.</w:t>
            </w:r>
          </w:p>
        </w:tc>
        <w:tc>
          <w:tcPr>
            <w:tcW w:w="3770" w:type="dxa"/>
            <w:vAlign w:val="bottom"/>
            <w:shd w:val="clear" w:color="auto" w:fill="E5F1F5"/>
          </w:tcPr>
          <w:p>
            <w:pPr>
              <w:ind w:left="190"/>
              <w:spacing w:after="0"/>
              <w:rPr>
                <w:sz w:val="20"/>
                <w:szCs w:val="20"/>
                <w:color w:val="auto"/>
              </w:rPr>
            </w:pPr>
            <w:r>
              <w:rPr>
                <w:rFonts w:ascii="Arial" w:cs="Arial" w:eastAsia="Arial" w:hAnsi="Arial"/>
                <w:sz w:val="15"/>
                <w:szCs w:val="15"/>
                <w:b w:val="1"/>
                <w:bCs w:val="1"/>
                <w:color w:val="0E191E"/>
              </w:rPr>
              <w:t>Zendesk, Inc.</w:t>
            </w:r>
          </w:p>
        </w:tc>
      </w:tr>
      <w:tr>
        <w:trPr>
          <w:trHeight w:val="243"/>
        </w:trPr>
        <w:tc>
          <w:tcPr>
            <w:tcW w:w="3770" w:type="dxa"/>
            <w:vAlign w:val="bottom"/>
            <w:shd w:val="clear" w:color="auto" w:fill="E5F1F5"/>
          </w:tcPr>
          <w:p>
            <w:pPr>
              <w:ind w:left="260"/>
              <w:spacing w:after="0"/>
              <w:rPr>
                <w:sz w:val="20"/>
                <w:szCs w:val="20"/>
                <w:color w:val="auto"/>
              </w:rPr>
            </w:pPr>
            <w:r>
              <w:rPr>
                <w:rFonts w:ascii="Arial" w:cs="Arial" w:eastAsia="Arial" w:hAnsi="Arial"/>
                <w:sz w:val="15"/>
                <w:szCs w:val="15"/>
                <w:b w:val="1"/>
                <w:bCs w:val="1"/>
                <w:color w:val="0E191E"/>
              </w:rPr>
              <w:t>HubSpot, Inc.</w:t>
            </w:r>
          </w:p>
        </w:tc>
        <w:tc>
          <w:tcPr>
            <w:tcW w:w="3700" w:type="dxa"/>
            <w:vAlign w:val="bottom"/>
            <w:shd w:val="clear" w:color="auto" w:fill="E5F1F5"/>
          </w:tcPr>
          <w:p>
            <w:pPr>
              <w:ind w:left="190"/>
              <w:spacing w:after="0"/>
              <w:rPr>
                <w:sz w:val="20"/>
                <w:szCs w:val="20"/>
                <w:color w:val="auto"/>
              </w:rPr>
            </w:pPr>
            <w:r>
              <w:rPr>
                <w:rFonts w:ascii="Arial" w:cs="Arial" w:eastAsia="Arial" w:hAnsi="Arial"/>
                <w:sz w:val="15"/>
                <w:szCs w:val="15"/>
                <w:b w:val="1"/>
                <w:bCs w:val="1"/>
                <w:color w:val="0E191E"/>
              </w:rPr>
              <w:t>RealPage, Inc.</w:t>
            </w:r>
          </w:p>
        </w:tc>
        <w:tc>
          <w:tcPr>
            <w:tcW w:w="3770" w:type="dxa"/>
            <w:vAlign w:val="bottom"/>
            <w:shd w:val="clear" w:color="auto" w:fill="E5F1F5"/>
          </w:tcPr>
          <w:p>
            <w:pPr>
              <w:spacing w:after="0"/>
              <w:rPr>
                <w:sz w:val="21"/>
                <w:szCs w:val="21"/>
                <w:color w:val="auto"/>
              </w:rPr>
            </w:pPr>
          </w:p>
        </w:tc>
      </w:tr>
      <w:tr>
        <w:trPr>
          <w:trHeight w:val="170"/>
        </w:trPr>
        <w:tc>
          <w:tcPr>
            <w:tcW w:w="3770" w:type="dxa"/>
            <w:vAlign w:val="bottom"/>
            <w:shd w:val="clear" w:color="auto" w:fill="E5F1F5"/>
          </w:tcPr>
          <w:p>
            <w:pPr>
              <w:spacing w:after="0"/>
              <w:rPr>
                <w:sz w:val="14"/>
                <w:szCs w:val="14"/>
                <w:color w:val="auto"/>
              </w:rPr>
            </w:pPr>
          </w:p>
        </w:tc>
        <w:tc>
          <w:tcPr>
            <w:tcW w:w="3700" w:type="dxa"/>
            <w:vAlign w:val="bottom"/>
            <w:shd w:val="clear" w:color="auto" w:fill="E5F1F5"/>
          </w:tcPr>
          <w:p>
            <w:pPr>
              <w:spacing w:after="0"/>
              <w:rPr>
                <w:sz w:val="14"/>
                <w:szCs w:val="14"/>
                <w:color w:val="auto"/>
              </w:rPr>
            </w:pPr>
          </w:p>
        </w:tc>
        <w:tc>
          <w:tcPr>
            <w:tcW w:w="3770" w:type="dxa"/>
            <w:vAlign w:val="bottom"/>
            <w:shd w:val="clear" w:color="auto" w:fill="E5F1F5"/>
          </w:tcPr>
          <w:p>
            <w:pPr>
              <w:spacing w:after="0"/>
              <w:rPr>
                <w:sz w:val="14"/>
                <w:szCs w:val="14"/>
                <w:color w:val="auto"/>
              </w:rPr>
            </w:pPr>
          </w:p>
        </w:tc>
      </w:tr>
    </w:tbl>
    <w:p>
      <w:pPr>
        <w:spacing w:after="0" w:line="186" w:lineRule="exact"/>
        <w:rPr>
          <w:sz w:val="20"/>
          <w:szCs w:val="20"/>
          <w:color w:val="auto"/>
        </w:rPr>
      </w:pPr>
    </w:p>
    <w:p>
      <w:pPr>
        <w:ind w:right="140"/>
        <w:spacing w:after="0" w:line="317" w:lineRule="auto"/>
        <w:rPr>
          <w:sz w:val="20"/>
          <w:szCs w:val="20"/>
          <w:color w:val="auto"/>
        </w:rPr>
      </w:pPr>
      <w:r>
        <w:rPr>
          <w:rFonts w:ascii="Arial" w:cs="Arial" w:eastAsia="Arial" w:hAnsi="Arial"/>
          <w:sz w:val="15"/>
          <w:szCs w:val="15"/>
          <w:color w:val="0E191E"/>
        </w:rPr>
        <w:t>The evaluation of the peer group generally occurs in March of each year. In March 2021, our Compensation Committee reassessed our peer group for use in setting our fiscal year 2022 executive compensation, and determined to base it on publicly</w:t>
      </w:r>
    </w:p>
    <w:p>
      <w:pPr>
        <w:spacing w:after="0" w:line="350"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37</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1" w:right="339" w:bottom="1440" w:gutter="0" w:footer="0" w:header="0"/>
        </w:sectPr>
      </w:pPr>
    </w:p>
    <w:bookmarkStart w:id="41" w:name="page42"/>
    <w:bookmarkEnd w:id="41"/>
    <w:p>
      <w:pPr>
        <w:ind w:right="220"/>
        <w:spacing w:after="0" w:line="306" w:lineRule="auto"/>
        <w:rPr>
          <w:sz w:val="20"/>
          <w:szCs w:val="20"/>
          <w:color w:val="auto"/>
        </w:rPr>
      </w:pPr>
      <w:r>
        <w:rPr>
          <w:rFonts w:ascii="Arial" w:cs="Arial" w:eastAsia="Arial" w:hAnsi="Arial"/>
          <w:sz w:val="15"/>
          <w:szCs w:val="15"/>
          <w:color w:val="0E191E"/>
        </w:rPr>
        <w:t>traded software companies in the San Francisco Bay Area and other technology “hubs” with revenue between $400 million and $2 billion, including high revenue growth companies, and market capitalization between $4 billion and $40 billion. Our Compensation Committee removed three companies from the fiscal year 2021 peer group listed above (Fortinet, Inc., LogMeIn, Inc. and Twilio Inc.) because they ceased to be publicly traded or do not fit the established criteria and added two new companies (Anaplan, Inc. and Elastic N.V.) to the peer group so that the group contained a sufficient number of companies.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1EB7DF"/>
        </w:rPr>
        <w:t>Consideration of Say-On-Pay Advisory Vote</w:t>
      </w:r>
    </w:p>
    <w:p>
      <w:pPr>
        <w:spacing w:after="0" w:line="47" w:lineRule="exact"/>
        <w:rPr>
          <w:sz w:val="20"/>
          <w:szCs w:val="20"/>
          <w:color w:val="auto"/>
        </w:rPr>
      </w:pPr>
    </w:p>
    <w:p>
      <w:pPr>
        <w:spacing w:after="0" w:line="302" w:lineRule="auto"/>
        <w:rPr>
          <w:sz w:val="20"/>
          <w:szCs w:val="20"/>
          <w:color w:val="auto"/>
        </w:rPr>
      </w:pPr>
      <w:r>
        <w:rPr>
          <w:rFonts w:ascii="Arial" w:cs="Arial" w:eastAsia="Arial" w:hAnsi="Arial"/>
          <w:sz w:val="15"/>
          <w:szCs w:val="15"/>
          <w:color w:val="0E191E"/>
        </w:rPr>
        <w:t>At our December 15, 2020 annual meeting, we held a non-binding, advisory vote on the compensation of our Named Executive Officers (a “Say-on-Pay” vote), which received the support of approximately 57% of the votes cast. This was significantly lower than the support of approximately 98% of the votes cast in the previous year. To better understand this vote result and solicit stockholder feedback, we undertook a stockholder outreach campaign during fiscal year 2021 around the time of our annual stockholder meeting and again at the beginning of fiscal year 2022. We reached out to our 11 largest institutional stockholders and key investors, with aggregate holdings of approximately 54% of our outstanding shares (as of June 30, 2021), to discuss our executive compensation program and practices, solicit feedback and ensure that our Board and management have insight into the issues that are most important to our stockholders so that we can better understand our stockholders’ perspectives. While not all stockholders have accepted our invitation to engage as of October 7, 2021, we have held these calls with over half of these stockholders. Our calls were led by our Chief Administrative Officer &amp; General Counsel and our Vice President of Investors Relations, and included the Chairpersons of our Compensation Committee and Nominating and Corporate Governance Committee.</w:t>
      </w:r>
    </w:p>
    <w:p>
      <w:pPr>
        <w:spacing w:after="0" w:line="153"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0E191E"/>
        </w:rPr>
        <w:t>During these discussions and among many viewpoints shared, our stockholders acknowledged that while the total compensation package made to our CEO, Mr. Rosenbaum, in connection with his hiring in fiscal year 2020 was significant, they generally recognized the necessity of such package to attract an executive of Mr. Rosenbaum’s caliber and talent. In addition, feedback from our stockholders included that the Company and the Compensation Committee had already taken meaningful steps in fiscal year 2021 to address their concerns regarding CEO compensation levels by lowering our CEO's total compensation so that going forward, it is in line with that of an existing CEO in a comparable peer company. In general, the stockholders that we spoke with expressed support for our compensation programs in light of our cloud transition and our ESG initiatives.</w:t>
      </w:r>
    </w:p>
    <w:p>
      <w:pPr>
        <w:spacing w:after="0" w:line="151"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0E191E"/>
        </w:rPr>
        <w:t>Some stockholders also expressed a desire for more transparent disclosure around the compensation for our Named Executive Officers, as well as continued focus on the alignment of pay for performance for our compensation arrangements. While some stockholders expressed a preference for a reduction in stock compensation expense, others noted that they would prefer Named Executive Officers, in particular, to have and hold more equity in the Company.</w:t>
      </w:r>
    </w:p>
    <w:p>
      <w:pPr>
        <w:spacing w:after="0" w:line="146" w:lineRule="exact"/>
        <w:rPr>
          <w:sz w:val="20"/>
          <w:szCs w:val="20"/>
          <w:color w:val="auto"/>
        </w:rPr>
      </w:pPr>
    </w:p>
    <w:p>
      <w:pPr>
        <w:ind w:right="280"/>
        <w:spacing w:after="0" w:line="317" w:lineRule="auto"/>
        <w:rPr>
          <w:sz w:val="20"/>
          <w:szCs w:val="20"/>
          <w:color w:val="auto"/>
        </w:rPr>
      </w:pPr>
      <w:r>
        <w:rPr>
          <w:rFonts w:ascii="Arial" w:cs="Arial" w:eastAsia="Arial" w:hAnsi="Arial"/>
          <w:sz w:val="15"/>
          <w:szCs w:val="15"/>
          <w:color w:val="0E191E"/>
        </w:rPr>
        <w:t>As a result of these stockholder discussions and the Compensation Committee’s regular annual review process, the Compensation Committee determined to take certain actions to address the stockholder concerns above. Specifically, the actions taken by the Compensation Committee included:</w:t>
      </w:r>
    </w:p>
    <w:p>
      <w:pPr>
        <w:spacing w:after="0" w:line="138" w:lineRule="exact"/>
        <w:rPr>
          <w:sz w:val="20"/>
          <w:szCs w:val="20"/>
          <w:color w:val="auto"/>
        </w:rPr>
      </w:pPr>
    </w:p>
    <w:p>
      <w:pPr>
        <w:ind w:left="580" w:right="20" w:hanging="248"/>
        <w:spacing w:after="0" w:line="303" w:lineRule="auto"/>
        <w:tabs>
          <w:tab w:leader="none" w:pos="572" w:val="left"/>
        </w:tabs>
        <w:numPr>
          <w:ilvl w:val="0"/>
          <w:numId w:val="24"/>
        </w:numPr>
        <w:rPr>
          <w:rFonts w:ascii="Arial" w:cs="Arial" w:eastAsia="Arial" w:hAnsi="Arial"/>
          <w:sz w:val="15"/>
          <w:szCs w:val="15"/>
          <w:color w:val="0E191E"/>
        </w:rPr>
      </w:pPr>
      <w:r>
        <w:rPr>
          <w:rFonts w:ascii="Arial" w:cs="Arial" w:eastAsia="Arial" w:hAnsi="Arial"/>
          <w:sz w:val="15"/>
          <w:szCs w:val="15"/>
          <w:color w:val="0E191E"/>
        </w:rPr>
        <w:t>Aligning our CEO’s compensation with Company performance in fiscal year 2021. As a newly hired CEO in fiscal year 2020, Mr. Rosenbaum’s total compensation package was structured to be in line with that of a new CEO, taking in account his extensive experience in various senior leadership positions in the technology industry, the competitive market for similar positions at other comparable companies based on a review of compensation peer group and related survey data, and his compensation arrangements at his prior position, including compensation that he would have forfeited at his prior employer when he joined us. However, for fiscal year 2021, Mr. Rosenbaum’s total compensation package was structured to be in line with that of an existing CEO, taking into account a review of our compensation peer group, the advice of Radford, as well as Mr. Rosenbaum’s performance during fiscal year 2020. As a result, Mr. Rosenbaum’s base salary and bonus target opportunity were not changed for fiscal year 2021 and the size of his equity grants decreased by 64%.</w:t>
      </w:r>
    </w:p>
    <w:p>
      <w:pPr>
        <w:spacing w:after="0" w:line="149" w:lineRule="exact"/>
        <w:rPr>
          <w:rFonts w:ascii="Arial" w:cs="Arial" w:eastAsia="Arial" w:hAnsi="Arial"/>
          <w:sz w:val="15"/>
          <w:szCs w:val="15"/>
          <w:color w:val="0E191E"/>
        </w:rPr>
      </w:pPr>
    </w:p>
    <w:p>
      <w:pPr>
        <w:ind w:left="560" w:hanging="228"/>
        <w:spacing w:after="0"/>
        <w:tabs>
          <w:tab w:leader="none" w:pos="560" w:val="left"/>
        </w:tabs>
        <w:numPr>
          <w:ilvl w:val="0"/>
          <w:numId w:val="24"/>
        </w:numPr>
        <w:rPr>
          <w:rFonts w:ascii="Arial" w:cs="Arial" w:eastAsia="Arial" w:hAnsi="Arial"/>
          <w:sz w:val="15"/>
          <w:szCs w:val="15"/>
          <w:color w:val="0E191E"/>
        </w:rPr>
      </w:pPr>
      <w:r>
        <w:rPr>
          <w:rFonts w:ascii="Arial" w:cs="Arial" w:eastAsia="Arial" w:hAnsi="Arial"/>
          <w:sz w:val="15"/>
          <w:szCs w:val="15"/>
          <w:color w:val="0E191E"/>
        </w:rPr>
        <w:t>Providing more transparent disclosure regarding the compensation of our Named Executive Officers, especially that of our CEO.</w:t>
      </w:r>
    </w:p>
    <w:p>
      <w:pPr>
        <w:spacing w:after="0" w:line="205" w:lineRule="exact"/>
        <w:rPr>
          <w:rFonts w:ascii="Arial" w:cs="Arial" w:eastAsia="Arial" w:hAnsi="Arial"/>
          <w:sz w:val="15"/>
          <w:szCs w:val="15"/>
          <w:color w:val="0E191E"/>
        </w:rPr>
      </w:pPr>
    </w:p>
    <w:p>
      <w:pPr>
        <w:jc w:val="both"/>
        <w:ind w:left="580" w:right="40" w:hanging="248"/>
        <w:spacing w:after="0" w:line="308" w:lineRule="auto"/>
        <w:tabs>
          <w:tab w:leader="none" w:pos="577" w:val="left"/>
        </w:tabs>
        <w:numPr>
          <w:ilvl w:val="0"/>
          <w:numId w:val="24"/>
        </w:numPr>
        <w:rPr>
          <w:rFonts w:ascii="Arial" w:cs="Arial" w:eastAsia="Arial" w:hAnsi="Arial"/>
          <w:sz w:val="15"/>
          <w:szCs w:val="15"/>
          <w:color w:val="0E191E"/>
        </w:rPr>
      </w:pPr>
      <w:r>
        <w:rPr>
          <w:rFonts w:ascii="Arial" w:cs="Arial" w:eastAsia="Arial" w:hAnsi="Arial"/>
          <w:sz w:val="15"/>
          <w:szCs w:val="15"/>
          <w:color w:val="0E191E"/>
        </w:rPr>
        <w:t>Re-structuring our performance-based RSU program to more heavily weight long-term performance, with 50% based on company performance in fiscal year 2023, and 50% based on company performance in fiscal year 2021. Previously, the three-year performance targets constituted less than half of the long-term performance-based equity award.</w:t>
      </w:r>
    </w:p>
    <w:p>
      <w:pPr>
        <w:spacing w:after="0" w:line="145" w:lineRule="exact"/>
        <w:rPr>
          <w:rFonts w:ascii="Arial" w:cs="Arial" w:eastAsia="Arial" w:hAnsi="Arial"/>
          <w:sz w:val="15"/>
          <w:szCs w:val="15"/>
          <w:color w:val="0E191E"/>
        </w:rPr>
      </w:pPr>
    </w:p>
    <w:p>
      <w:pPr>
        <w:ind w:left="580" w:right="120" w:hanging="248"/>
        <w:spacing w:after="0" w:line="317" w:lineRule="auto"/>
        <w:tabs>
          <w:tab w:leader="none" w:pos="572" w:val="left"/>
        </w:tabs>
        <w:numPr>
          <w:ilvl w:val="0"/>
          <w:numId w:val="24"/>
        </w:numPr>
        <w:rPr>
          <w:rFonts w:ascii="Arial" w:cs="Arial" w:eastAsia="Arial" w:hAnsi="Arial"/>
          <w:sz w:val="15"/>
          <w:szCs w:val="15"/>
          <w:color w:val="0E191E"/>
        </w:rPr>
      </w:pPr>
      <w:r>
        <w:rPr>
          <w:rFonts w:ascii="Arial" w:cs="Arial" w:eastAsia="Arial" w:hAnsi="Arial"/>
          <w:sz w:val="15"/>
          <w:szCs w:val="15"/>
          <w:color w:val="0E191E"/>
        </w:rPr>
        <w:t>Modifying our equity mix to eliminate TSR RSUs and replace them with performance-based RSUs based on ARR metrics, which we determined was a more appropriate metric to focus and drive our cloud transition.</w:t>
      </w:r>
    </w:p>
    <w:p>
      <w:pPr>
        <w:spacing w:after="0" w:line="350"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38</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811" w:right="359" w:bottom="1440" w:gutter="0" w:footer="0" w:header="0"/>
        </w:sectPr>
      </w:pPr>
    </w:p>
    <w:bookmarkStart w:id="42" w:name="page43"/>
    <w:bookmarkEnd w:id="42"/>
    <w:p>
      <w:pPr>
        <w:ind w:left="580" w:right="180" w:hanging="248"/>
        <w:spacing w:after="0" w:line="317" w:lineRule="auto"/>
        <w:tabs>
          <w:tab w:leader="none" w:pos="572" w:val="left"/>
        </w:tabs>
        <w:numPr>
          <w:ilvl w:val="0"/>
          <w:numId w:val="25"/>
        </w:numPr>
        <w:rPr>
          <w:rFonts w:ascii="Arial" w:cs="Arial" w:eastAsia="Arial" w:hAnsi="Arial"/>
          <w:sz w:val="15"/>
          <w:szCs w:val="15"/>
          <w:color w:val="0E191E"/>
        </w:rPr>
      </w:pPr>
      <w:r>
        <w:rPr>
          <w:rFonts w:ascii="Arial" w:cs="Arial" w:eastAsia="Arial" w:hAnsi="Arial"/>
          <w:sz w:val="15"/>
          <w:szCs w:val="15"/>
          <w:color w:val="0E191E"/>
        </w:rPr>
        <w:t>Strengthening our corporate governance and alignment of pay with performance by increasing our stock ownership requirement for non-employee directors and executive officers;</w:t>
      </w:r>
    </w:p>
    <w:p>
      <w:pPr>
        <w:spacing w:after="0" w:line="138" w:lineRule="exact"/>
        <w:rPr>
          <w:rFonts w:ascii="Arial" w:cs="Arial" w:eastAsia="Arial" w:hAnsi="Arial"/>
          <w:sz w:val="15"/>
          <w:szCs w:val="15"/>
          <w:color w:val="0E191E"/>
        </w:rPr>
      </w:pPr>
    </w:p>
    <w:p>
      <w:pPr>
        <w:ind w:left="560" w:hanging="228"/>
        <w:spacing w:after="0"/>
        <w:tabs>
          <w:tab w:leader="none" w:pos="560" w:val="left"/>
        </w:tabs>
        <w:numPr>
          <w:ilvl w:val="0"/>
          <w:numId w:val="25"/>
        </w:numPr>
        <w:rPr>
          <w:rFonts w:ascii="Arial" w:cs="Arial" w:eastAsia="Arial" w:hAnsi="Arial"/>
          <w:sz w:val="15"/>
          <w:szCs w:val="15"/>
          <w:color w:val="0E191E"/>
        </w:rPr>
      </w:pPr>
      <w:r>
        <w:rPr>
          <w:rFonts w:ascii="Arial" w:cs="Arial" w:eastAsia="Arial" w:hAnsi="Arial"/>
          <w:sz w:val="15"/>
          <w:szCs w:val="15"/>
          <w:color w:val="0E191E"/>
        </w:rPr>
        <w:t>Enhancing corporate governance by adopting an equity award grant policy;</w:t>
      </w:r>
    </w:p>
    <w:p>
      <w:pPr>
        <w:spacing w:after="0" w:line="205" w:lineRule="exact"/>
        <w:rPr>
          <w:rFonts w:ascii="Arial" w:cs="Arial" w:eastAsia="Arial" w:hAnsi="Arial"/>
          <w:sz w:val="15"/>
          <w:szCs w:val="15"/>
          <w:color w:val="0E191E"/>
        </w:rPr>
      </w:pPr>
    </w:p>
    <w:p>
      <w:pPr>
        <w:ind w:left="560" w:hanging="228"/>
        <w:spacing w:after="0"/>
        <w:tabs>
          <w:tab w:leader="none" w:pos="560" w:val="left"/>
        </w:tabs>
        <w:numPr>
          <w:ilvl w:val="0"/>
          <w:numId w:val="25"/>
        </w:numPr>
        <w:rPr>
          <w:rFonts w:ascii="Arial" w:cs="Arial" w:eastAsia="Arial" w:hAnsi="Arial"/>
          <w:sz w:val="15"/>
          <w:szCs w:val="15"/>
          <w:color w:val="0E191E"/>
        </w:rPr>
      </w:pPr>
      <w:r>
        <w:rPr>
          <w:rFonts w:ascii="Arial" w:cs="Arial" w:eastAsia="Arial" w:hAnsi="Arial"/>
          <w:sz w:val="15"/>
          <w:szCs w:val="15"/>
          <w:color w:val="0E191E"/>
        </w:rPr>
        <w:t>Adding an ESG component to our bonus program for implementation in fiscal year 2022; and</w:t>
      </w:r>
    </w:p>
    <w:p>
      <w:pPr>
        <w:spacing w:after="0" w:line="205" w:lineRule="exact"/>
        <w:rPr>
          <w:rFonts w:ascii="Arial" w:cs="Arial" w:eastAsia="Arial" w:hAnsi="Arial"/>
          <w:sz w:val="15"/>
          <w:szCs w:val="15"/>
          <w:color w:val="0E191E"/>
        </w:rPr>
      </w:pPr>
    </w:p>
    <w:p>
      <w:pPr>
        <w:ind w:left="560" w:hanging="228"/>
        <w:spacing w:after="0"/>
        <w:tabs>
          <w:tab w:leader="none" w:pos="560" w:val="left"/>
        </w:tabs>
        <w:numPr>
          <w:ilvl w:val="0"/>
          <w:numId w:val="25"/>
        </w:numPr>
        <w:rPr>
          <w:rFonts w:ascii="Arial" w:cs="Arial" w:eastAsia="Arial" w:hAnsi="Arial"/>
          <w:sz w:val="15"/>
          <w:szCs w:val="15"/>
          <w:color w:val="0E191E"/>
        </w:rPr>
      </w:pPr>
      <w:r>
        <w:rPr>
          <w:rFonts w:ascii="Arial" w:cs="Arial" w:eastAsia="Arial" w:hAnsi="Arial"/>
          <w:sz w:val="15"/>
          <w:szCs w:val="15"/>
          <w:color w:val="0E191E"/>
        </w:rPr>
        <w:t>Continuing leadership development for succession planning purposes.</w:t>
      </w:r>
    </w:p>
    <w:p>
      <w:pPr>
        <w:spacing w:after="0" w:line="206" w:lineRule="exact"/>
        <w:rPr>
          <w:sz w:val="20"/>
          <w:szCs w:val="20"/>
          <w:color w:val="auto"/>
        </w:rPr>
      </w:pPr>
    </w:p>
    <w:p>
      <w:pPr>
        <w:ind w:right="240"/>
        <w:spacing w:after="0" w:line="308" w:lineRule="auto"/>
        <w:rPr>
          <w:sz w:val="20"/>
          <w:szCs w:val="20"/>
          <w:color w:val="auto"/>
        </w:rPr>
      </w:pPr>
      <w:r>
        <w:rPr>
          <w:rFonts w:ascii="Arial" w:cs="Arial" w:eastAsia="Arial" w:hAnsi="Arial"/>
          <w:sz w:val="15"/>
          <w:szCs w:val="15"/>
          <w:color w:val="0E191E"/>
        </w:rPr>
        <w:t>We are committed to continuing our ongoing engagement with our stockholders on matters of executive compensation and corporate governance. As our stockholders’ views and market practices on executive compensation evolve, the Compensation Committee will continue to evaluate and, when needed, make changes to our executive compensation program, ensuring that the program continues to reflect our pay-for-performance compensation philosophy and objectives.</w:t>
      </w:r>
    </w:p>
    <w:p>
      <w:pPr>
        <w:spacing w:after="0" w:line="146"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0E191E"/>
        </w:rPr>
        <w:t>As we value the opinions of our stockholders, our Board of Directors and the Compensation Committee will continue to consider the feedback received throughout the year, including when making compensation decisions for our executive officers in the future. In addition, consistent with the recommendation of our Board of Directors and the preference of our stockholders as reflected in the non-binding, advisory vote on the frequency of future Say-on-Pay votes held at our December 15, 2020 annual meeting, we intend to continue holding an annual Say-on-Pay vote.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Executive Compensation Program Elements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0E191E"/>
        </w:rPr>
        <w:t>The following describes each element of our executive compensation program, the rationale for each and how compensation amounts and awards are determined.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1EB7DF"/>
        </w:rPr>
        <w:t>Base Salary</w:t>
      </w:r>
    </w:p>
    <w:p>
      <w:pPr>
        <w:spacing w:after="0" w:line="47" w:lineRule="exact"/>
        <w:rPr>
          <w:sz w:val="20"/>
          <w:szCs w:val="20"/>
          <w:color w:val="auto"/>
        </w:rPr>
      </w:pPr>
    </w:p>
    <w:p>
      <w:pPr>
        <w:spacing w:after="0" w:line="308" w:lineRule="auto"/>
        <w:rPr>
          <w:sz w:val="20"/>
          <w:szCs w:val="20"/>
          <w:color w:val="auto"/>
        </w:rPr>
      </w:pPr>
      <w:r>
        <w:rPr>
          <w:rFonts w:ascii="Arial" w:cs="Arial" w:eastAsia="Arial" w:hAnsi="Arial"/>
          <w:sz w:val="15"/>
          <w:szCs w:val="15"/>
          <w:color w:val="0E191E"/>
        </w:rPr>
        <w:t>We provide our executive officers, including the Named Executive Officers, with base salaries to compensate them for their day-to-day responsibilities. Generally, the initial base salaries of our executive officers are established through arm’s-length negotiation at the time the individual executive officer is hired, taking into account his or her qualifications, experience, and comparable market data.</w:t>
      </w:r>
    </w:p>
    <w:p>
      <w:pPr>
        <w:spacing w:after="0" w:line="146" w:lineRule="exact"/>
        <w:rPr>
          <w:sz w:val="20"/>
          <w:szCs w:val="20"/>
          <w:color w:val="auto"/>
        </w:rPr>
      </w:pPr>
    </w:p>
    <w:p>
      <w:pPr>
        <w:ind w:right="80"/>
        <w:spacing w:after="0" w:line="304" w:lineRule="auto"/>
        <w:rPr>
          <w:sz w:val="20"/>
          <w:szCs w:val="20"/>
          <w:color w:val="auto"/>
        </w:rPr>
      </w:pPr>
      <w:r>
        <w:rPr>
          <w:rFonts w:ascii="Arial" w:cs="Arial" w:eastAsia="Arial" w:hAnsi="Arial"/>
          <w:sz w:val="15"/>
          <w:szCs w:val="15"/>
          <w:color w:val="0E191E"/>
        </w:rPr>
        <w:t>Thereafter, the Compensation Committee reviews and recommends adjustments, as necessary or appropriate, to the base salaries of our executive officers on an annual basis. In doing so, the Compensation Committee exercises its judgment and discretion and considers several factors, including our overall financial and operational results for the prior fiscal year, the performance of the individual executive officer, the executive officer’s potential to contribute to our long-term strategic goals, her or his role and scope of responsibilities within our Company, her or his individual experience and skills, the officer’s compensation as compared to similarly situated executives at comparable companies in our peer group, and the input of our CEO. No specific formula is applied to determine the weight of each criterion.</w:t>
      </w:r>
    </w:p>
    <w:p>
      <w:pPr>
        <w:spacing w:after="0" w:line="150" w:lineRule="exact"/>
        <w:rPr>
          <w:sz w:val="20"/>
          <w:szCs w:val="20"/>
          <w:color w:val="auto"/>
        </w:rPr>
      </w:pPr>
    </w:p>
    <w:p>
      <w:pPr>
        <w:ind w:right="540"/>
        <w:spacing w:after="0" w:line="317" w:lineRule="auto"/>
        <w:rPr>
          <w:sz w:val="20"/>
          <w:szCs w:val="20"/>
          <w:color w:val="auto"/>
        </w:rPr>
      </w:pPr>
      <w:r>
        <w:rPr>
          <w:rFonts w:ascii="Arial" w:cs="Arial" w:eastAsia="Arial" w:hAnsi="Arial"/>
          <w:sz w:val="15"/>
          <w:szCs w:val="15"/>
          <w:color w:val="0E191E"/>
        </w:rPr>
        <w:t>In September 2020, the Compensation Committee reviewed the base salaries of certain of our executive officers and management team, including the Named Executive Officers, and did not approve any increases to annual base salaries for fiscal year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20" w:type="dxa"/>
            <w:vAlign w:val="bottom"/>
            <w:shd w:val="clear" w:color="auto" w:fill="00739D"/>
          </w:tcPr>
          <w:p>
            <w:pPr>
              <w:spacing w:after="0"/>
              <w:rPr>
                <w:sz w:val="14"/>
                <w:szCs w:val="14"/>
                <w:color w:val="auto"/>
              </w:rPr>
            </w:pPr>
          </w:p>
        </w:tc>
        <w:tc>
          <w:tcPr>
            <w:tcW w:w="3880" w:type="dxa"/>
            <w:vAlign w:val="bottom"/>
            <w:shd w:val="clear" w:color="auto" w:fill="00739D"/>
          </w:tcPr>
          <w:p>
            <w:pPr>
              <w:jc w:val="right"/>
              <w:ind w:right="613"/>
              <w:spacing w:after="0"/>
              <w:rPr>
                <w:sz w:val="20"/>
                <w:szCs w:val="20"/>
                <w:color w:val="auto"/>
              </w:rPr>
            </w:pPr>
            <w:r>
              <w:rPr>
                <w:rFonts w:ascii="Arial" w:cs="Arial" w:eastAsia="Arial" w:hAnsi="Arial"/>
                <w:sz w:val="13"/>
                <w:szCs w:val="13"/>
                <w:b w:val="1"/>
                <w:bCs w:val="1"/>
                <w:color w:val="FFFFFF"/>
              </w:rPr>
              <w:t>Fiscal Year 2020 Base Salary</w:t>
            </w:r>
          </w:p>
        </w:tc>
        <w:tc>
          <w:tcPr>
            <w:tcW w:w="3020" w:type="dxa"/>
            <w:vAlign w:val="bottom"/>
            <w:shd w:val="clear" w:color="auto" w:fill="00739D"/>
          </w:tcPr>
          <w:p>
            <w:pPr>
              <w:jc w:val="right"/>
              <w:ind w:right="393"/>
              <w:spacing w:after="0"/>
              <w:rPr>
                <w:sz w:val="20"/>
                <w:szCs w:val="20"/>
                <w:color w:val="auto"/>
              </w:rPr>
            </w:pPr>
            <w:r>
              <w:rPr>
                <w:rFonts w:ascii="Arial" w:cs="Arial" w:eastAsia="Arial" w:hAnsi="Arial"/>
                <w:sz w:val="13"/>
                <w:szCs w:val="13"/>
                <w:b w:val="1"/>
                <w:bCs w:val="1"/>
                <w:color w:val="FFFFFF"/>
              </w:rPr>
              <w:t>Fiscal Year 2021 Base Salary*</w:t>
            </w:r>
          </w:p>
        </w:tc>
        <w:tc>
          <w:tcPr>
            <w:tcW w:w="1220" w:type="dxa"/>
            <w:vAlign w:val="bottom"/>
            <w:shd w:val="clear" w:color="auto" w:fill="00739D"/>
          </w:tcPr>
          <w:p>
            <w:pPr>
              <w:ind w:left="460"/>
              <w:spacing w:after="0"/>
              <w:rPr>
                <w:sz w:val="20"/>
                <w:szCs w:val="20"/>
                <w:color w:val="auto"/>
              </w:rPr>
            </w:pPr>
            <w:r>
              <w:rPr>
                <w:rFonts w:ascii="Arial" w:cs="Arial" w:eastAsia="Arial" w:hAnsi="Arial"/>
                <w:sz w:val="13"/>
                <w:szCs w:val="13"/>
                <w:b w:val="1"/>
                <w:bCs w:val="1"/>
                <w:color w:val="FFFFFF"/>
              </w:rPr>
              <w:t>Increase</w:t>
            </w:r>
          </w:p>
        </w:tc>
      </w:tr>
      <w:tr>
        <w:trPr>
          <w:trHeight w:val="178"/>
        </w:trPr>
        <w:tc>
          <w:tcPr>
            <w:tcW w:w="312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Named Executive Officer</w:t>
            </w:r>
          </w:p>
        </w:tc>
        <w:tc>
          <w:tcPr>
            <w:tcW w:w="3880" w:type="dxa"/>
            <w:vAlign w:val="bottom"/>
            <w:shd w:val="clear" w:color="auto" w:fill="00739D"/>
          </w:tcPr>
          <w:p>
            <w:pPr>
              <w:jc w:val="right"/>
              <w:ind w:right="613"/>
              <w:spacing w:after="0"/>
              <w:rPr>
                <w:sz w:val="20"/>
                <w:szCs w:val="20"/>
                <w:color w:val="auto"/>
              </w:rPr>
            </w:pPr>
            <w:r>
              <w:rPr>
                <w:rFonts w:ascii="Arial" w:cs="Arial" w:eastAsia="Arial" w:hAnsi="Arial"/>
                <w:sz w:val="13"/>
                <w:szCs w:val="13"/>
                <w:b w:val="1"/>
                <w:bCs w:val="1"/>
                <w:color w:val="FFFFFF"/>
              </w:rPr>
              <w:t>($)</w:t>
            </w:r>
          </w:p>
        </w:tc>
        <w:tc>
          <w:tcPr>
            <w:tcW w:w="3020" w:type="dxa"/>
            <w:vAlign w:val="bottom"/>
            <w:shd w:val="clear" w:color="auto" w:fill="00739D"/>
          </w:tcPr>
          <w:p>
            <w:pPr>
              <w:jc w:val="right"/>
              <w:ind w:right="393"/>
              <w:spacing w:after="0"/>
              <w:rPr>
                <w:sz w:val="20"/>
                <w:szCs w:val="20"/>
                <w:color w:val="auto"/>
              </w:rPr>
            </w:pPr>
            <w:r>
              <w:rPr>
                <w:rFonts w:ascii="Arial" w:cs="Arial" w:eastAsia="Arial" w:hAnsi="Arial"/>
                <w:sz w:val="13"/>
                <w:szCs w:val="13"/>
                <w:b w:val="1"/>
                <w:bCs w:val="1"/>
                <w:color w:val="FFFFFF"/>
              </w:rPr>
              <w:t>($)</w:t>
            </w:r>
          </w:p>
        </w:tc>
        <w:tc>
          <w:tcPr>
            <w:tcW w:w="1220" w:type="dxa"/>
            <w:vAlign w:val="bottom"/>
            <w:shd w:val="clear" w:color="auto" w:fill="00739D"/>
          </w:tcPr>
          <w:p>
            <w:pPr>
              <w:ind w:left="880"/>
              <w:spacing w:after="0"/>
              <w:rPr>
                <w:sz w:val="20"/>
                <w:szCs w:val="20"/>
                <w:color w:val="auto"/>
              </w:rPr>
            </w:pPr>
            <w:r>
              <w:rPr>
                <w:rFonts w:ascii="Arial" w:cs="Arial" w:eastAsia="Arial" w:hAnsi="Arial"/>
                <w:sz w:val="13"/>
                <w:szCs w:val="13"/>
                <w:b w:val="1"/>
                <w:bCs w:val="1"/>
                <w:color w:val="FFFFFF"/>
              </w:rPr>
              <w:t>($)</w:t>
            </w:r>
          </w:p>
        </w:tc>
      </w:tr>
      <w:tr>
        <w:trPr>
          <w:trHeight w:val="122"/>
        </w:trPr>
        <w:tc>
          <w:tcPr>
            <w:tcW w:w="3120" w:type="dxa"/>
            <w:vAlign w:val="bottom"/>
            <w:shd w:val="clear" w:color="auto" w:fill="00739D"/>
          </w:tcPr>
          <w:p>
            <w:pPr>
              <w:spacing w:after="0"/>
              <w:rPr>
                <w:sz w:val="10"/>
                <w:szCs w:val="10"/>
                <w:color w:val="auto"/>
              </w:rPr>
            </w:pPr>
          </w:p>
        </w:tc>
        <w:tc>
          <w:tcPr>
            <w:tcW w:w="3880" w:type="dxa"/>
            <w:vAlign w:val="bottom"/>
            <w:shd w:val="clear" w:color="auto" w:fill="00739D"/>
          </w:tcPr>
          <w:p>
            <w:pPr>
              <w:spacing w:after="0"/>
              <w:rPr>
                <w:sz w:val="10"/>
                <w:szCs w:val="10"/>
                <w:color w:val="auto"/>
              </w:rPr>
            </w:pPr>
          </w:p>
        </w:tc>
        <w:tc>
          <w:tcPr>
            <w:tcW w:w="3020" w:type="dxa"/>
            <w:vAlign w:val="bottom"/>
            <w:shd w:val="clear" w:color="auto" w:fill="00739D"/>
          </w:tcPr>
          <w:p>
            <w:pPr>
              <w:spacing w:after="0"/>
              <w:rPr>
                <w:sz w:val="10"/>
                <w:szCs w:val="10"/>
                <w:color w:val="auto"/>
              </w:rPr>
            </w:pPr>
          </w:p>
        </w:tc>
        <w:tc>
          <w:tcPr>
            <w:tcW w:w="1220" w:type="dxa"/>
            <w:vAlign w:val="bottom"/>
            <w:shd w:val="clear" w:color="auto" w:fill="00739D"/>
          </w:tcPr>
          <w:p>
            <w:pPr>
              <w:spacing w:after="0"/>
              <w:rPr>
                <w:sz w:val="10"/>
                <w:szCs w:val="10"/>
                <w:color w:val="auto"/>
              </w:rPr>
            </w:pPr>
          </w:p>
        </w:tc>
      </w:tr>
      <w:tr>
        <w:trPr>
          <w:trHeight w:val="188"/>
        </w:trPr>
        <w:tc>
          <w:tcPr>
            <w:tcW w:w="3120" w:type="dxa"/>
            <w:vAlign w:val="bottom"/>
          </w:tcPr>
          <w:p>
            <w:pPr>
              <w:ind w:left="100"/>
              <w:spacing w:after="0"/>
              <w:rPr>
                <w:sz w:val="20"/>
                <w:szCs w:val="20"/>
                <w:color w:val="auto"/>
              </w:rPr>
            </w:pPr>
            <w:r>
              <w:rPr>
                <w:rFonts w:ascii="Arial" w:cs="Arial" w:eastAsia="Arial" w:hAnsi="Arial"/>
                <w:sz w:val="13"/>
                <w:szCs w:val="13"/>
                <w:b w:val="1"/>
                <w:bCs w:val="1"/>
                <w:color w:val="0E191E"/>
              </w:rPr>
              <w:t>Mike Rosenbaum</w:t>
            </w:r>
          </w:p>
        </w:tc>
        <w:tc>
          <w:tcPr>
            <w:tcW w:w="3880" w:type="dxa"/>
            <w:vAlign w:val="bottom"/>
          </w:tcPr>
          <w:p>
            <w:pPr>
              <w:jc w:val="right"/>
              <w:ind w:right="653"/>
              <w:spacing w:after="0"/>
              <w:rPr>
                <w:sz w:val="20"/>
                <w:szCs w:val="20"/>
                <w:color w:val="auto"/>
              </w:rPr>
            </w:pPr>
            <w:r>
              <w:rPr>
                <w:rFonts w:ascii="Arial" w:cs="Arial" w:eastAsia="Arial" w:hAnsi="Arial"/>
                <w:sz w:val="13"/>
                <w:szCs w:val="13"/>
                <w:color w:val="0E191E"/>
              </w:rPr>
              <w:t>750,000</w:t>
            </w:r>
          </w:p>
        </w:tc>
        <w:tc>
          <w:tcPr>
            <w:tcW w:w="3020" w:type="dxa"/>
            <w:vAlign w:val="bottom"/>
          </w:tcPr>
          <w:p>
            <w:pPr>
              <w:jc w:val="right"/>
              <w:ind w:right="433"/>
              <w:spacing w:after="0"/>
              <w:rPr>
                <w:sz w:val="20"/>
                <w:szCs w:val="20"/>
                <w:color w:val="auto"/>
              </w:rPr>
            </w:pPr>
            <w:r>
              <w:rPr>
                <w:rFonts w:ascii="Arial" w:cs="Arial" w:eastAsia="Arial" w:hAnsi="Arial"/>
                <w:sz w:val="13"/>
                <w:szCs w:val="13"/>
                <w:color w:val="0E191E"/>
              </w:rPr>
              <w:t>750,000</w:t>
            </w:r>
          </w:p>
        </w:tc>
        <w:tc>
          <w:tcPr>
            <w:tcW w:w="1220" w:type="dxa"/>
            <w:vAlign w:val="bottom"/>
          </w:tcPr>
          <w:p>
            <w:pPr>
              <w:ind w:left="880"/>
              <w:spacing w:after="0"/>
              <w:rPr>
                <w:sz w:val="20"/>
                <w:szCs w:val="20"/>
                <w:color w:val="auto"/>
              </w:rPr>
            </w:pPr>
            <w:r>
              <w:rPr>
                <w:rFonts w:ascii="Arial" w:cs="Arial" w:eastAsia="Arial" w:hAnsi="Arial"/>
                <w:sz w:val="13"/>
                <w:szCs w:val="13"/>
                <w:color w:val="0E191E"/>
              </w:rPr>
              <w:t>—</w:t>
            </w:r>
          </w:p>
        </w:tc>
      </w:tr>
      <w:tr>
        <w:trPr>
          <w:trHeight w:val="28"/>
        </w:trPr>
        <w:tc>
          <w:tcPr>
            <w:tcW w:w="31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96"/>
        </w:trPr>
        <w:tc>
          <w:tcPr>
            <w:tcW w:w="3120" w:type="dxa"/>
            <w:vAlign w:val="bottom"/>
            <w:tcBorders>
              <w:bottom w:val="single" w:sz="8" w:color="E5F1F5"/>
            </w:tcBorders>
            <w:shd w:val="clear" w:color="auto" w:fill="E5F1F5"/>
          </w:tcPr>
          <w:p>
            <w:pPr>
              <w:ind w:left="100"/>
              <w:spacing w:after="0"/>
              <w:rPr>
                <w:sz w:val="20"/>
                <w:szCs w:val="20"/>
                <w:color w:val="auto"/>
              </w:rPr>
            </w:pPr>
            <w:r>
              <w:rPr>
                <w:rFonts w:ascii="Arial" w:cs="Arial" w:eastAsia="Arial" w:hAnsi="Arial"/>
                <w:sz w:val="13"/>
                <w:szCs w:val="13"/>
                <w:b w:val="1"/>
                <w:bCs w:val="1"/>
                <w:color w:val="0E191E"/>
              </w:rPr>
              <w:t>Jeff Cooper</w:t>
            </w:r>
          </w:p>
        </w:tc>
        <w:tc>
          <w:tcPr>
            <w:tcW w:w="3880" w:type="dxa"/>
            <w:vAlign w:val="bottom"/>
            <w:tcBorders>
              <w:bottom w:val="single" w:sz="8" w:color="E5F1F5"/>
            </w:tcBorders>
            <w:shd w:val="clear" w:color="auto" w:fill="E5F1F5"/>
          </w:tcPr>
          <w:p>
            <w:pPr>
              <w:jc w:val="right"/>
              <w:ind w:right="653"/>
              <w:spacing w:after="0"/>
              <w:rPr>
                <w:sz w:val="20"/>
                <w:szCs w:val="20"/>
                <w:color w:val="auto"/>
              </w:rPr>
            </w:pPr>
            <w:r>
              <w:rPr>
                <w:rFonts w:ascii="Arial" w:cs="Arial" w:eastAsia="Arial" w:hAnsi="Arial"/>
                <w:sz w:val="13"/>
                <w:szCs w:val="13"/>
                <w:color w:val="0E191E"/>
              </w:rPr>
              <w:t>387,000</w:t>
            </w:r>
          </w:p>
        </w:tc>
        <w:tc>
          <w:tcPr>
            <w:tcW w:w="3020" w:type="dxa"/>
            <w:vAlign w:val="bottom"/>
            <w:tcBorders>
              <w:bottom w:val="single" w:sz="8" w:color="E5F1F5"/>
            </w:tcBorders>
            <w:shd w:val="clear" w:color="auto" w:fill="E5F1F5"/>
          </w:tcPr>
          <w:p>
            <w:pPr>
              <w:jc w:val="right"/>
              <w:ind w:right="433"/>
              <w:spacing w:after="0"/>
              <w:rPr>
                <w:sz w:val="20"/>
                <w:szCs w:val="20"/>
                <w:color w:val="auto"/>
              </w:rPr>
            </w:pPr>
            <w:r>
              <w:rPr>
                <w:rFonts w:ascii="Arial" w:cs="Arial" w:eastAsia="Arial" w:hAnsi="Arial"/>
                <w:sz w:val="13"/>
                <w:szCs w:val="13"/>
                <w:color w:val="0E191E"/>
              </w:rPr>
              <w:t>387,000</w:t>
            </w:r>
          </w:p>
        </w:tc>
        <w:tc>
          <w:tcPr>
            <w:tcW w:w="1220" w:type="dxa"/>
            <w:vAlign w:val="bottom"/>
            <w:tcBorders>
              <w:bottom w:val="single" w:sz="8" w:color="E5F1F5"/>
            </w:tcBorders>
            <w:shd w:val="clear" w:color="auto" w:fill="E5F1F5"/>
          </w:tcPr>
          <w:p>
            <w:pPr>
              <w:ind w:left="880"/>
              <w:spacing w:after="0"/>
              <w:rPr>
                <w:sz w:val="20"/>
                <w:szCs w:val="20"/>
                <w:color w:val="auto"/>
              </w:rPr>
            </w:pPr>
            <w:r>
              <w:rPr>
                <w:rFonts w:ascii="Arial" w:cs="Arial" w:eastAsia="Arial" w:hAnsi="Arial"/>
                <w:sz w:val="13"/>
                <w:szCs w:val="13"/>
                <w:color w:val="0E191E"/>
              </w:rPr>
              <w:t>—</w:t>
            </w:r>
          </w:p>
        </w:tc>
      </w:tr>
      <w:tr>
        <w:trPr>
          <w:trHeight w:val="189"/>
        </w:trPr>
        <w:tc>
          <w:tcPr>
            <w:tcW w:w="3120" w:type="dxa"/>
            <w:vAlign w:val="bottom"/>
          </w:tcPr>
          <w:p>
            <w:pPr>
              <w:ind w:left="100"/>
              <w:spacing w:after="0"/>
              <w:rPr>
                <w:sz w:val="20"/>
                <w:szCs w:val="20"/>
                <w:color w:val="auto"/>
              </w:rPr>
            </w:pPr>
            <w:r>
              <w:rPr>
                <w:rFonts w:ascii="Arial" w:cs="Arial" w:eastAsia="Arial" w:hAnsi="Arial"/>
                <w:sz w:val="13"/>
                <w:szCs w:val="13"/>
                <w:b w:val="1"/>
                <w:bCs w:val="1"/>
                <w:color w:val="0E191E"/>
              </w:rPr>
              <w:t>Priscilla Hung</w:t>
            </w:r>
          </w:p>
        </w:tc>
        <w:tc>
          <w:tcPr>
            <w:tcW w:w="3880" w:type="dxa"/>
            <w:vAlign w:val="bottom"/>
          </w:tcPr>
          <w:p>
            <w:pPr>
              <w:jc w:val="right"/>
              <w:ind w:right="653"/>
              <w:spacing w:after="0"/>
              <w:rPr>
                <w:sz w:val="20"/>
                <w:szCs w:val="20"/>
                <w:color w:val="auto"/>
              </w:rPr>
            </w:pPr>
            <w:r>
              <w:rPr>
                <w:rFonts w:ascii="Arial" w:cs="Arial" w:eastAsia="Arial" w:hAnsi="Arial"/>
                <w:sz w:val="13"/>
                <w:szCs w:val="13"/>
                <w:color w:val="0E191E"/>
              </w:rPr>
              <w:t>405,000</w:t>
            </w:r>
          </w:p>
        </w:tc>
        <w:tc>
          <w:tcPr>
            <w:tcW w:w="3020" w:type="dxa"/>
            <w:vAlign w:val="bottom"/>
          </w:tcPr>
          <w:p>
            <w:pPr>
              <w:jc w:val="right"/>
              <w:ind w:right="433"/>
              <w:spacing w:after="0"/>
              <w:rPr>
                <w:sz w:val="20"/>
                <w:szCs w:val="20"/>
                <w:color w:val="auto"/>
              </w:rPr>
            </w:pPr>
            <w:r>
              <w:rPr>
                <w:rFonts w:ascii="Arial" w:cs="Arial" w:eastAsia="Arial" w:hAnsi="Arial"/>
                <w:sz w:val="13"/>
                <w:szCs w:val="13"/>
                <w:color w:val="0E191E"/>
              </w:rPr>
              <w:t>405,000</w:t>
            </w:r>
          </w:p>
        </w:tc>
        <w:tc>
          <w:tcPr>
            <w:tcW w:w="1220" w:type="dxa"/>
            <w:vAlign w:val="bottom"/>
          </w:tcPr>
          <w:p>
            <w:pPr>
              <w:ind w:left="880"/>
              <w:spacing w:after="0"/>
              <w:rPr>
                <w:sz w:val="20"/>
                <w:szCs w:val="20"/>
                <w:color w:val="auto"/>
              </w:rPr>
            </w:pPr>
            <w:r>
              <w:rPr>
                <w:rFonts w:ascii="Arial" w:cs="Arial" w:eastAsia="Arial" w:hAnsi="Arial"/>
                <w:sz w:val="13"/>
                <w:szCs w:val="13"/>
                <w:color w:val="0E191E"/>
              </w:rPr>
              <w:t>—</w:t>
            </w:r>
          </w:p>
        </w:tc>
      </w:tr>
      <w:tr>
        <w:trPr>
          <w:trHeight w:val="28"/>
        </w:trPr>
        <w:tc>
          <w:tcPr>
            <w:tcW w:w="31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96"/>
        </w:trPr>
        <w:tc>
          <w:tcPr>
            <w:tcW w:w="3120" w:type="dxa"/>
            <w:vAlign w:val="bottom"/>
            <w:tcBorders>
              <w:bottom w:val="single" w:sz="8" w:color="E5F1F5"/>
            </w:tcBorders>
            <w:shd w:val="clear" w:color="auto" w:fill="E5F1F5"/>
          </w:tcPr>
          <w:p>
            <w:pPr>
              <w:ind w:left="100"/>
              <w:spacing w:after="0"/>
              <w:rPr>
                <w:sz w:val="20"/>
                <w:szCs w:val="20"/>
                <w:color w:val="auto"/>
              </w:rPr>
            </w:pPr>
            <w:r>
              <w:rPr>
                <w:rFonts w:ascii="Arial" w:cs="Arial" w:eastAsia="Arial" w:hAnsi="Arial"/>
                <w:sz w:val="13"/>
                <w:szCs w:val="13"/>
                <w:b w:val="1"/>
                <w:bCs w:val="1"/>
                <w:color w:val="0E191E"/>
              </w:rPr>
              <w:t>Winston King</w:t>
            </w:r>
          </w:p>
        </w:tc>
        <w:tc>
          <w:tcPr>
            <w:tcW w:w="3880" w:type="dxa"/>
            <w:vAlign w:val="bottom"/>
            <w:tcBorders>
              <w:bottom w:val="single" w:sz="8" w:color="E5F1F5"/>
            </w:tcBorders>
            <w:shd w:val="clear" w:color="auto" w:fill="E5F1F5"/>
          </w:tcPr>
          <w:p>
            <w:pPr>
              <w:jc w:val="right"/>
              <w:ind w:right="653"/>
              <w:spacing w:after="0"/>
              <w:rPr>
                <w:sz w:val="20"/>
                <w:szCs w:val="20"/>
                <w:color w:val="auto"/>
              </w:rPr>
            </w:pPr>
            <w:r>
              <w:rPr>
                <w:rFonts w:ascii="Arial" w:cs="Arial" w:eastAsia="Arial" w:hAnsi="Arial"/>
                <w:sz w:val="13"/>
                <w:szCs w:val="13"/>
                <w:color w:val="0E191E"/>
              </w:rPr>
              <w:t>350,000</w:t>
            </w:r>
          </w:p>
        </w:tc>
        <w:tc>
          <w:tcPr>
            <w:tcW w:w="3020" w:type="dxa"/>
            <w:vAlign w:val="bottom"/>
            <w:tcBorders>
              <w:bottom w:val="single" w:sz="8" w:color="E5F1F5"/>
            </w:tcBorders>
            <w:shd w:val="clear" w:color="auto" w:fill="E5F1F5"/>
          </w:tcPr>
          <w:p>
            <w:pPr>
              <w:jc w:val="right"/>
              <w:ind w:right="433"/>
              <w:spacing w:after="0"/>
              <w:rPr>
                <w:sz w:val="20"/>
                <w:szCs w:val="20"/>
                <w:color w:val="auto"/>
              </w:rPr>
            </w:pPr>
            <w:r>
              <w:rPr>
                <w:rFonts w:ascii="Arial" w:cs="Arial" w:eastAsia="Arial" w:hAnsi="Arial"/>
                <w:sz w:val="13"/>
                <w:szCs w:val="13"/>
                <w:color w:val="0E191E"/>
              </w:rPr>
              <w:t>350,000</w:t>
            </w:r>
          </w:p>
        </w:tc>
        <w:tc>
          <w:tcPr>
            <w:tcW w:w="1220" w:type="dxa"/>
            <w:vAlign w:val="bottom"/>
            <w:tcBorders>
              <w:bottom w:val="single" w:sz="8" w:color="E5F1F5"/>
            </w:tcBorders>
            <w:shd w:val="clear" w:color="auto" w:fill="E5F1F5"/>
          </w:tcPr>
          <w:p>
            <w:pPr>
              <w:ind w:left="880"/>
              <w:spacing w:after="0"/>
              <w:rPr>
                <w:sz w:val="20"/>
                <w:szCs w:val="20"/>
                <w:color w:val="auto"/>
              </w:rPr>
            </w:pPr>
            <w:r>
              <w:rPr>
                <w:rFonts w:ascii="Arial" w:cs="Arial" w:eastAsia="Arial" w:hAnsi="Arial"/>
                <w:sz w:val="13"/>
                <w:szCs w:val="13"/>
                <w:color w:val="0E191E"/>
              </w:rPr>
              <w:t>—</w:t>
            </w:r>
          </w:p>
        </w:tc>
      </w:tr>
      <w:tr>
        <w:trPr>
          <w:trHeight w:val="189"/>
        </w:trPr>
        <w:tc>
          <w:tcPr>
            <w:tcW w:w="3120" w:type="dxa"/>
            <w:vAlign w:val="bottom"/>
          </w:tcPr>
          <w:p>
            <w:pPr>
              <w:ind w:left="100"/>
              <w:spacing w:after="0"/>
              <w:rPr>
                <w:sz w:val="20"/>
                <w:szCs w:val="20"/>
                <w:color w:val="auto"/>
              </w:rPr>
            </w:pPr>
            <w:r>
              <w:rPr>
                <w:rFonts w:ascii="Arial" w:cs="Arial" w:eastAsia="Arial" w:hAnsi="Arial"/>
                <w:sz w:val="13"/>
                <w:szCs w:val="13"/>
                <w:b w:val="1"/>
                <w:bCs w:val="1"/>
                <w:color w:val="0E191E"/>
              </w:rPr>
              <w:t>Frank O'Dowd</w:t>
            </w:r>
          </w:p>
        </w:tc>
        <w:tc>
          <w:tcPr>
            <w:tcW w:w="3880" w:type="dxa"/>
            <w:vAlign w:val="bottom"/>
          </w:tcPr>
          <w:p>
            <w:pPr>
              <w:jc w:val="right"/>
              <w:ind w:right="653"/>
              <w:spacing w:after="0"/>
              <w:rPr>
                <w:sz w:val="20"/>
                <w:szCs w:val="20"/>
                <w:color w:val="auto"/>
              </w:rPr>
            </w:pPr>
            <w:r>
              <w:rPr>
                <w:rFonts w:ascii="Arial" w:cs="Arial" w:eastAsia="Arial" w:hAnsi="Arial"/>
                <w:sz w:val="13"/>
                <w:szCs w:val="13"/>
                <w:color w:val="0E191E"/>
              </w:rPr>
              <w:t>425,000</w:t>
            </w:r>
          </w:p>
        </w:tc>
        <w:tc>
          <w:tcPr>
            <w:tcW w:w="3020" w:type="dxa"/>
            <w:vAlign w:val="bottom"/>
          </w:tcPr>
          <w:p>
            <w:pPr>
              <w:jc w:val="right"/>
              <w:ind w:right="433"/>
              <w:spacing w:after="0"/>
              <w:rPr>
                <w:sz w:val="20"/>
                <w:szCs w:val="20"/>
                <w:color w:val="auto"/>
              </w:rPr>
            </w:pPr>
            <w:r>
              <w:rPr>
                <w:rFonts w:ascii="Arial" w:cs="Arial" w:eastAsia="Arial" w:hAnsi="Arial"/>
                <w:sz w:val="13"/>
                <w:szCs w:val="13"/>
                <w:color w:val="0E191E"/>
              </w:rPr>
              <w:t>425,000</w:t>
            </w:r>
          </w:p>
        </w:tc>
        <w:tc>
          <w:tcPr>
            <w:tcW w:w="1220" w:type="dxa"/>
            <w:vAlign w:val="bottom"/>
          </w:tcPr>
          <w:p>
            <w:pPr>
              <w:ind w:left="880"/>
              <w:spacing w:after="0"/>
              <w:rPr>
                <w:sz w:val="20"/>
                <w:szCs w:val="20"/>
                <w:color w:val="auto"/>
              </w:rPr>
            </w:pPr>
            <w:r>
              <w:rPr>
                <w:rFonts w:ascii="Arial" w:cs="Arial" w:eastAsia="Arial" w:hAnsi="Arial"/>
                <w:sz w:val="13"/>
                <w:szCs w:val="13"/>
                <w:color w:val="0E191E"/>
              </w:rPr>
              <w:t>—</w:t>
            </w:r>
          </w:p>
        </w:tc>
      </w:tr>
      <w:tr>
        <w:trPr>
          <w:trHeight w:val="28"/>
        </w:trPr>
        <w:tc>
          <w:tcPr>
            <w:tcW w:w="312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0E191E"/>
        </w:rPr>
        <w:t>* All fiscal year 2021 base salaries first became effective on November 1, 2020.</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1EB7DF"/>
        </w:rPr>
        <w:t>Senior Executive Incentive Bonus Plan</w:t>
      </w:r>
    </w:p>
    <w:p>
      <w:pPr>
        <w:spacing w:after="0" w:line="47" w:lineRule="exact"/>
        <w:rPr>
          <w:sz w:val="20"/>
          <w:szCs w:val="20"/>
          <w:color w:val="auto"/>
        </w:rPr>
      </w:pPr>
    </w:p>
    <w:p>
      <w:pPr>
        <w:ind w:right="520"/>
        <w:spacing w:after="0" w:line="317" w:lineRule="auto"/>
        <w:rPr>
          <w:sz w:val="20"/>
          <w:szCs w:val="20"/>
          <w:color w:val="auto"/>
        </w:rPr>
      </w:pPr>
      <w:r>
        <w:rPr>
          <w:rFonts w:ascii="Arial" w:cs="Arial" w:eastAsia="Arial" w:hAnsi="Arial"/>
          <w:sz w:val="15"/>
          <w:szCs w:val="15"/>
          <w:color w:val="0E191E"/>
        </w:rPr>
        <w:t>Our Senior Executive Incentive Bonus Plan (the “Bonus Plan”) applies to certain key executives, including all the Named Executive Officers, as selected by the Compensation Committee. The Bonus Plan provides for bonus payments based upon the</w:t>
      </w:r>
    </w:p>
    <w:p>
      <w:pPr>
        <w:spacing w:after="0" w:line="350"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39</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1" w:right="339" w:bottom="1440" w:gutter="0" w:footer="0" w:header="0"/>
        </w:sectPr>
      </w:pPr>
    </w:p>
    <w:bookmarkStart w:id="43" w:name="page44"/>
    <w:bookmarkEnd w:id="43"/>
    <w:p>
      <w:pPr>
        <w:ind w:right="460"/>
        <w:spacing w:after="0" w:line="317" w:lineRule="auto"/>
        <w:rPr>
          <w:sz w:val="20"/>
          <w:szCs w:val="20"/>
          <w:color w:val="auto"/>
        </w:rPr>
      </w:pPr>
      <w:r>
        <w:rPr>
          <w:rFonts w:ascii="Arial" w:cs="Arial" w:eastAsia="Arial" w:hAnsi="Arial"/>
          <w:sz w:val="15"/>
          <w:szCs w:val="15"/>
          <w:color w:val="0E191E"/>
        </w:rPr>
        <w:t>attainment of performance targets established by the Compensation Committee related to financial and operational metrics with respect to the Company and its subsidiaries (the “Performance Goals”).</w:t>
      </w:r>
    </w:p>
    <w:p>
      <w:pPr>
        <w:spacing w:after="0" w:line="138"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0E191E"/>
        </w:rPr>
        <w:t>Any bonuses paid under the Bonus Plan are based upon objectively determinable bonus formulas that tie such bonuses to one or more performance targets relating to the Performance Goals. The bonus formulas are adopted in each annual performance period by the Compensation Committee and communicated to each executive officer. No bonuses shall be paid under the Bonus Plan unless and until the Compensation Committee makes a determination with respect to the attainment of the performance objectives. Notwithstanding the foregoing, we can adjust or pay bonuses under the Bonus Plan based on achievement of individual performance goals or pay bonuses (including, without limitation, discretionary bonuses) to executive officers under the Bonus Plan based upon such other terms and conditions as the Compensation Committee may in its discretion determine.</w:t>
      </w:r>
    </w:p>
    <w:p>
      <w:pPr>
        <w:spacing w:after="0" w:line="151"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0E191E"/>
        </w:rPr>
        <w:t>Each executive officer participating in the Bonus Plan has a targeted bonus opportunity set for each performance period. The Performance Goals will be measured at the end of each performance period after our financial reports have been published or such other appropriate time as the Compensation Committee determines. If the Performance Goals are met, payments will be made as soon as practicable following the end of each performance period. Subject to the rights contained in any agreement between the executive officer and the Company, an executive officer must be employed by the Company on the bonus payment date in order to be eligible to receive a bonus payment.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E191E"/>
        </w:rPr>
        <w:t>Target Bonus and Commission Opportunities</w:t>
      </w:r>
    </w:p>
    <w:p>
      <w:pPr>
        <w:spacing w:after="0" w:line="108"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0E191E"/>
        </w:rPr>
        <w:t>In September 2020, the Compensation Committee reviewed the target bonus and commission opportunities of our executive officers and management team, including the applicable Named Executive Officers, and adjusted target bonus and commission opportunities, as applicable, for each of our Named Executive Officers in view of their performance during fiscal year 2020 and to set each Named Executive Officer’s total cash compensation (consisting of base salary and short-term incentive bonus target opportunity) generally at the 50th percentile of our peer group’s total compensation for similarly situated executives. In setting these target bonus and commission opportunities, the Compensation Committee also exercised its judgment and discretion and considered several factors, including our Company’s overall financial and operational results for the prior fiscal year, the performance of the individual executive officer, the executive officer’s potential to contribute to our long-term strategic goals, his or her role and scope of responsibilities within our Company, his or her individual experience and skills, the Compensation Committee’s sense of competitive market practices for annual bonuses and the recommendations of our CEO.</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0E191E"/>
        </w:rPr>
        <w:t>As a result, our Compensation Committee did not change the target bonus and commission opportunities for our Named Executive Officers for fiscal year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60" w:type="dxa"/>
            <w:vAlign w:val="bottom"/>
            <w:shd w:val="clear" w:color="auto" w:fill="00739D"/>
          </w:tcPr>
          <w:p>
            <w:pPr>
              <w:spacing w:after="0"/>
              <w:rPr>
                <w:sz w:val="14"/>
                <w:szCs w:val="14"/>
                <w:color w:val="auto"/>
              </w:rPr>
            </w:pPr>
          </w:p>
        </w:tc>
        <w:tc>
          <w:tcPr>
            <w:tcW w:w="39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Fiscal Year 2020 Target</w:t>
            </w:r>
          </w:p>
        </w:tc>
        <w:tc>
          <w:tcPr>
            <w:tcW w:w="38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Fiscal Year 2021 Target</w:t>
            </w:r>
          </w:p>
        </w:tc>
      </w:tr>
      <w:tr>
        <w:trPr>
          <w:trHeight w:val="162"/>
        </w:trPr>
        <w:tc>
          <w:tcPr>
            <w:tcW w:w="3460" w:type="dxa"/>
            <w:vAlign w:val="bottom"/>
            <w:shd w:val="clear" w:color="auto" w:fill="00739D"/>
          </w:tcPr>
          <w:p>
            <w:pPr>
              <w:spacing w:after="0"/>
              <w:rPr>
                <w:sz w:val="14"/>
                <w:szCs w:val="14"/>
                <w:color w:val="auto"/>
              </w:rPr>
            </w:pPr>
          </w:p>
        </w:tc>
        <w:tc>
          <w:tcPr>
            <w:tcW w:w="39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Bonus/Commission Opportunity</w:t>
            </w:r>
          </w:p>
        </w:tc>
        <w:tc>
          <w:tcPr>
            <w:tcW w:w="38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Bonus/Commission Opportunity</w:t>
            </w:r>
          </w:p>
        </w:tc>
      </w:tr>
      <w:tr>
        <w:trPr>
          <w:trHeight w:val="178"/>
        </w:trPr>
        <w:tc>
          <w:tcPr>
            <w:tcW w:w="346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Named Executive Officer</w:t>
            </w:r>
          </w:p>
        </w:tc>
        <w:tc>
          <w:tcPr>
            <w:tcW w:w="39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 of Base Salary)</w:t>
            </w:r>
          </w:p>
        </w:tc>
        <w:tc>
          <w:tcPr>
            <w:tcW w:w="38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 of Base Salary)</w:t>
            </w:r>
          </w:p>
        </w:tc>
      </w:tr>
      <w:tr>
        <w:trPr>
          <w:trHeight w:val="122"/>
        </w:trPr>
        <w:tc>
          <w:tcPr>
            <w:tcW w:w="3460" w:type="dxa"/>
            <w:vAlign w:val="bottom"/>
            <w:shd w:val="clear" w:color="auto" w:fill="00739D"/>
          </w:tcPr>
          <w:p>
            <w:pPr>
              <w:spacing w:after="0"/>
              <w:rPr>
                <w:sz w:val="10"/>
                <w:szCs w:val="10"/>
                <w:color w:val="auto"/>
              </w:rPr>
            </w:pPr>
          </w:p>
        </w:tc>
        <w:tc>
          <w:tcPr>
            <w:tcW w:w="3900" w:type="dxa"/>
            <w:vAlign w:val="bottom"/>
            <w:shd w:val="clear" w:color="auto" w:fill="00739D"/>
          </w:tcPr>
          <w:p>
            <w:pPr>
              <w:spacing w:after="0"/>
              <w:rPr>
                <w:sz w:val="10"/>
                <w:szCs w:val="10"/>
                <w:color w:val="auto"/>
              </w:rPr>
            </w:pPr>
          </w:p>
        </w:tc>
        <w:tc>
          <w:tcPr>
            <w:tcW w:w="3880" w:type="dxa"/>
            <w:vAlign w:val="bottom"/>
            <w:shd w:val="clear" w:color="auto" w:fill="00739D"/>
          </w:tcPr>
          <w:p>
            <w:pPr>
              <w:spacing w:after="0"/>
              <w:rPr>
                <w:sz w:val="10"/>
                <w:szCs w:val="10"/>
                <w:color w:val="auto"/>
              </w:rPr>
            </w:pPr>
          </w:p>
        </w:tc>
      </w:tr>
      <w:tr>
        <w:trPr>
          <w:trHeight w:val="188"/>
        </w:trPr>
        <w:tc>
          <w:tcPr>
            <w:tcW w:w="3460" w:type="dxa"/>
            <w:vAlign w:val="bottom"/>
          </w:tcPr>
          <w:p>
            <w:pPr>
              <w:ind w:left="100"/>
              <w:spacing w:after="0"/>
              <w:rPr>
                <w:sz w:val="20"/>
                <w:szCs w:val="20"/>
                <w:color w:val="auto"/>
              </w:rPr>
            </w:pPr>
            <w:r>
              <w:rPr>
                <w:rFonts w:ascii="Arial" w:cs="Arial" w:eastAsia="Arial" w:hAnsi="Arial"/>
                <w:sz w:val="13"/>
                <w:szCs w:val="13"/>
                <w:b w:val="1"/>
                <w:bCs w:val="1"/>
                <w:color w:val="0E191E"/>
              </w:rPr>
              <w:t>Mike Rosenbaum</w:t>
            </w:r>
          </w:p>
        </w:tc>
        <w:tc>
          <w:tcPr>
            <w:tcW w:w="3900" w:type="dxa"/>
            <w:vAlign w:val="bottom"/>
          </w:tcPr>
          <w:p>
            <w:pPr>
              <w:jc w:val="center"/>
              <w:spacing w:after="0"/>
              <w:rPr>
                <w:sz w:val="20"/>
                <w:szCs w:val="20"/>
                <w:color w:val="auto"/>
              </w:rPr>
            </w:pPr>
            <w:r>
              <w:rPr>
                <w:rFonts w:ascii="Arial" w:cs="Arial" w:eastAsia="Arial" w:hAnsi="Arial"/>
                <w:sz w:val="13"/>
                <w:szCs w:val="13"/>
                <w:color w:val="0E191E"/>
              </w:rPr>
              <w:t>100</w:t>
            </w:r>
          </w:p>
        </w:tc>
        <w:tc>
          <w:tcPr>
            <w:tcW w:w="3880" w:type="dxa"/>
            <w:vAlign w:val="bottom"/>
          </w:tcPr>
          <w:p>
            <w:pPr>
              <w:jc w:val="center"/>
              <w:spacing w:after="0"/>
              <w:rPr>
                <w:sz w:val="20"/>
                <w:szCs w:val="20"/>
                <w:color w:val="auto"/>
              </w:rPr>
            </w:pPr>
            <w:r>
              <w:rPr>
                <w:rFonts w:ascii="Arial" w:cs="Arial" w:eastAsia="Arial" w:hAnsi="Arial"/>
                <w:sz w:val="13"/>
                <w:szCs w:val="13"/>
                <w:color w:val="0E191E"/>
              </w:rPr>
              <w:t>100</w:t>
            </w:r>
          </w:p>
        </w:tc>
      </w:tr>
      <w:tr>
        <w:trPr>
          <w:trHeight w:val="28"/>
        </w:trPr>
        <w:tc>
          <w:tcPr>
            <w:tcW w:w="3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196"/>
        </w:trPr>
        <w:tc>
          <w:tcPr>
            <w:tcW w:w="3460" w:type="dxa"/>
            <w:vAlign w:val="bottom"/>
            <w:tcBorders>
              <w:bottom w:val="single" w:sz="8" w:color="E5F1F5"/>
            </w:tcBorders>
            <w:shd w:val="clear" w:color="auto" w:fill="E5F1F5"/>
          </w:tcPr>
          <w:p>
            <w:pPr>
              <w:ind w:left="100"/>
              <w:spacing w:after="0"/>
              <w:rPr>
                <w:sz w:val="20"/>
                <w:szCs w:val="20"/>
                <w:color w:val="auto"/>
              </w:rPr>
            </w:pPr>
            <w:r>
              <w:rPr>
                <w:rFonts w:ascii="Arial" w:cs="Arial" w:eastAsia="Arial" w:hAnsi="Arial"/>
                <w:sz w:val="13"/>
                <w:szCs w:val="13"/>
                <w:b w:val="1"/>
                <w:bCs w:val="1"/>
                <w:color w:val="0E191E"/>
              </w:rPr>
              <w:t>Jeff Cooper</w:t>
            </w:r>
          </w:p>
        </w:tc>
        <w:tc>
          <w:tcPr>
            <w:tcW w:w="3900" w:type="dxa"/>
            <w:vAlign w:val="bottom"/>
            <w:tcBorders>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w w:val="96"/>
              </w:rPr>
              <w:t>60</w:t>
            </w:r>
          </w:p>
        </w:tc>
        <w:tc>
          <w:tcPr>
            <w:tcW w:w="3880" w:type="dxa"/>
            <w:vAlign w:val="bottom"/>
            <w:tcBorders>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rPr>
              <w:t>60</w:t>
            </w:r>
          </w:p>
        </w:tc>
      </w:tr>
      <w:tr>
        <w:trPr>
          <w:trHeight w:val="189"/>
        </w:trPr>
        <w:tc>
          <w:tcPr>
            <w:tcW w:w="3460" w:type="dxa"/>
            <w:vAlign w:val="bottom"/>
          </w:tcPr>
          <w:p>
            <w:pPr>
              <w:ind w:left="100"/>
              <w:spacing w:after="0"/>
              <w:rPr>
                <w:sz w:val="20"/>
                <w:szCs w:val="20"/>
                <w:color w:val="auto"/>
              </w:rPr>
            </w:pPr>
            <w:r>
              <w:rPr>
                <w:rFonts w:ascii="Arial" w:cs="Arial" w:eastAsia="Arial" w:hAnsi="Arial"/>
                <w:sz w:val="13"/>
                <w:szCs w:val="13"/>
                <w:b w:val="1"/>
                <w:bCs w:val="1"/>
                <w:color w:val="0E191E"/>
              </w:rPr>
              <w:t>Priscilla Hung</w:t>
            </w:r>
          </w:p>
        </w:tc>
        <w:tc>
          <w:tcPr>
            <w:tcW w:w="3900" w:type="dxa"/>
            <w:vAlign w:val="bottom"/>
          </w:tcPr>
          <w:p>
            <w:pPr>
              <w:jc w:val="center"/>
              <w:spacing w:after="0"/>
              <w:rPr>
                <w:sz w:val="20"/>
                <w:szCs w:val="20"/>
                <w:color w:val="auto"/>
              </w:rPr>
            </w:pPr>
            <w:r>
              <w:rPr>
                <w:rFonts w:ascii="Arial" w:cs="Arial" w:eastAsia="Arial" w:hAnsi="Arial"/>
                <w:sz w:val="13"/>
                <w:szCs w:val="13"/>
                <w:color w:val="0E191E"/>
                <w:w w:val="96"/>
              </w:rPr>
              <w:t>75</w:t>
            </w:r>
          </w:p>
        </w:tc>
        <w:tc>
          <w:tcPr>
            <w:tcW w:w="3880" w:type="dxa"/>
            <w:vAlign w:val="bottom"/>
          </w:tcPr>
          <w:p>
            <w:pPr>
              <w:jc w:val="center"/>
              <w:spacing w:after="0"/>
              <w:rPr>
                <w:sz w:val="20"/>
                <w:szCs w:val="20"/>
                <w:color w:val="auto"/>
              </w:rPr>
            </w:pPr>
            <w:r>
              <w:rPr>
                <w:rFonts w:ascii="Arial" w:cs="Arial" w:eastAsia="Arial" w:hAnsi="Arial"/>
                <w:sz w:val="13"/>
                <w:szCs w:val="13"/>
                <w:color w:val="0E191E"/>
              </w:rPr>
              <w:t>75</w:t>
            </w:r>
          </w:p>
        </w:tc>
      </w:tr>
      <w:tr>
        <w:trPr>
          <w:trHeight w:val="28"/>
        </w:trPr>
        <w:tc>
          <w:tcPr>
            <w:tcW w:w="3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196"/>
        </w:trPr>
        <w:tc>
          <w:tcPr>
            <w:tcW w:w="3460" w:type="dxa"/>
            <w:vAlign w:val="bottom"/>
            <w:tcBorders>
              <w:bottom w:val="single" w:sz="8" w:color="E5F1F5"/>
            </w:tcBorders>
            <w:shd w:val="clear" w:color="auto" w:fill="E5F1F5"/>
          </w:tcPr>
          <w:p>
            <w:pPr>
              <w:ind w:left="100"/>
              <w:spacing w:after="0"/>
              <w:rPr>
                <w:sz w:val="20"/>
                <w:szCs w:val="20"/>
                <w:color w:val="auto"/>
              </w:rPr>
            </w:pPr>
            <w:r>
              <w:rPr>
                <w:rFonts w:ascii="Arial" w:cs="Arial" w:eastAsia="Arial" w:hAnsi="Arial"/>
                <w:sz w:val="13"/>
                <w:szCs w:val="13"/>
                <w:b w:val="1"/>
                <w:bCs w:val="1"/>
                <w:color w:val="0E191E"/>
              </w:rPr>
              <w:t>Winston King</w:t>
            </w:r>
          </w:p>
        </w:tc>
        <w:tc>
          <w:tcPr>
            <w:tcW w:w="3900" w:type="dxa"/>
            <w:vAlign w:val="bottom"/>
            <w:tcBorders>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w w:val="96"/>
              </w:rPr>
              <w:t>50</w:t>
            </w:r>
          </w:p>
        </w:tc>
        <w:tc>
          <w:tcPr>
            <w:tcW w:w="3880" w:type="dxa"/>
            <w:vAlign w:val="bottom"/>
            <w:tcBorders>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rPr>
              <w:t>50</w:t>
            </w:r>
          </w:p>
        </w:tc>
      </w:tr>
      <w:tr>
        <w:trPr>
          <w:trHeight w:val="188"/>
        </w:trPr>
        <w:tc>
          <w:tcPr>
            <w:tcW w:w="3460" w:type="dxa"/>
            <w:vAlign w:val="bottom"/>
          </w:tcPr>
          <w:p>
            <w:pPr>
              <w:ind w:left="100"/>
              <w:spacing w:after="0"/>
              <w:rPr>
                <w:sz w:val="20"/>
                <w:szCs w:val="20"/>
                <w:color w:val="auto"/>
              </w:rPr>
            </w:pPr>
            <w:r>
              <w:rPr>
                <w:rFonts w:ascii="Arial" w:cs="Arial" w:eastAsia="Arial" w:hAnsi="Arial"/>
                <w:sz w:val="13"/>
                <w:szCs w:val="13"/>
                <w:b w:val="1"/>
                <w:bCs w:val="1"/>
                <w:color w:val="0E191E"/>
              </w:rPr>
              <w:t>Frank O'Dowd</w:t>
            </w:r>
          </w:p>
        </w:tc>
        <w:tc>
          <w:tcPr>
            <w:tcW w:w="3900" w:type="dxa"/>
            <w:vAlign w:val="bottom"/>
          </w:tcPr>
          <w:p>
            <w:pPr>
              <w:jc w:val="center"/>
              <w:spacing w:after="0"/>
              <w:rPr>
                <w:sz w:val="20"/>
                <w:szCs w:val="20"/>
                <w:color w:val="auto"/>
              </w:rPr>
            </w:pPr>
            <w:r>
              <w:rPr>
                <w:rFonts w:ascii="Arial" w:cs="Arial" w:eastAsia="Arial" w:hAnsi="Arial"/>
                <w:sz w:val="13"/>
                <w:szCs w:val="13"/>
                <w:color w:val="0E191E"/>
              </w:rPr>
              <w:t>N/A*</w:t>
            </w:r>
          </w:p>
        </w:tc>
        <w:tc>
          <w:tcPr>
            <w:tcW w:w="3880" w:type="dxa"/>
            <w:vAlign w:val="bottom"/>
          </w:tcPr>
          <w:p>
            <w:pPr>
              <w:jc w:val="center"/>
              <w:spacing w:after="0"/>
              <w:rPr>
                <w:sz w:val="20"/>
                <w:szCs w:val="20"/>
                <w:color w:val="auto"/>
              </w:rPr>
            </w:pPr>
            <w:r>
              <w:rPr>
                <w:rFonts w:ascii="Arial" w:cs="Arial" w:eastAsia="Arial" w:hAnsi="Arial"/>
                <w:sz w:val="13"/>
                <w:szCs w:val="13"/>
                <w:color w:val="0E191E"/>
              </w:rPr>
              <w:t>122</w:t>
            </w:r>
          </w:p>
        </w:tc>
      </w:tr>
      <w:tr>
        <w:trPr>
          <w:trHeight w:val="28"/>
        </w:trPr>
        <w:tc>
          <w:tcPr>
            <w:tcW w:w="34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0E191E"/>
        </w:rPr>
        <w:t>* Mr. O’Dowd was not eligible to earn a bonus or any commissions for fiscal year 2020, as he commenced employment with us on June 15, 2020.</w:t>
      </w:r>
    </w:p>
    <w:p>
      <w:pPr>
        <w:spacing w:after="0" w:line="303"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0E191E"/>
        </w:rPr>
        <w:t>For our Named Executive Officers other than Mr. O’Dowd, 100% of such executive officer’s bonus was based on our Company’s performance during fiscal year 2021 as measured against the corporate financial and operational metrics described below (the "Company Performance Factor"). For Mr. O’Dowd, 50% of his Bonus/Commission Opportunity was based on our Company’s performance during fiscal year 2021 as measured against the corporate financial and operational metrics described below (the "Company Performance Factor") and 50% was based on the Sales Plan defined below. The Compensation Committee determined this allocation to be appropriate because it linked each executive officer’s potential bonus opportunity to corporate performance, thereby motivating him or her to focus his or her efforts on successfully executing our annual operating plan. The formula for the bonus calculation was as follows:</w:t>
      </w:r>
    </w:p>
    <w:p>
      <w:pPr>
        <w:spacing w:after="0" w:line="363"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40</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00739D"/>
        </w:rPr>
        <w:t>Target Cash Bonus Opportunity X Company Performance Factor</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E191E"/>
        </w:rPr>
        <w:t>Company Performance Factor</w:t>
      </w:r>
    </w:p>
    <w:p>
      <w:pPr>
        <w:spacing w:after="0" w:line="108"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0E191E"/>
        </w:rPr>
        <w:t>In fiscal year 2021, the bonuses of our executive officers, including the Named Executive Officers, who participated in our Bonus Plan were based on the performance of our Company during fiscal year 2021 as measured against the following pre-established corporate financial and operational metrics, which the board of directors deemed to be critical to enhancing stockholder value:</w:t>
      </w:r>
    </w:p>
    <w:p>
      <w:pPr>
        <w:spacing w:after="0" w:line="9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5"/>
          <w:szCs w:val="15"/>
          <w:color w:val="0E191E"/>
        </w:rPr>
      </w:pPr>
      <w:r>
        <w:rPr>
          <w:rFonts w:ascii="Arial" w:cs="Arial" w:eastAsia="Arial" w:hAnsi="Arial"/>
          <w:sz w:val="15"/>
          <w:szCs w:val="15"/>
          <w:color w:val="0E191E"/>
        </w:rPr>
        <w:t>Annual Recurring Revenue (ARR) (the goal of this metric is to maximize annual recurring revenue) on a constant currency basis; and</w:t>
      </w:r>
    </w:p>
    <w:p>
      <w:pPr>
        <w:spacing w:after="0" w:line="97" w:lineRule="exact"/>
        <w:rPr>
          <w:rFonts w:ascii="Arial" w:cs="Arial" w:eastAsia="Arial" w:hAnsi="Arial"/>
          <w:sz w:val="15"/>
          <w:szCs w:val="15"/>
          <w:color w:val="0E191E"/>
        </w:rPr>
      </w:pPr>
    </w:p>
    <w:p>
      <w:pPr>
        <w:ind w:left="660" w:hanging="328"/>
        <w:spacing w:after="0"/>
        <w:tabs>
          <w:tab w:leader="none" w:pos="660" w:val="left"/>
        </w:tabs>
        <w:numPr>
          <w:ilvl w:val="0"/>
          <w:numId w:val="26"/>
        </w:numPr>
        <w:rPr>
          <w:rFonts w:ascii="Arial" w:cs="Arial" w:eastAsia="Arial" w:hAnsi="Arial"/>
          <w:sz w:val="15"/>
          <w:szCs w:val="15"/>
          <w:color w:val="0E191E"/>
        </w:rPr>
      </w:pPr>
      <w:r>
        <w:rPr>
          <w:rFonts w:ascii="Arial" w:cs="Arial" w:eastAsia="Arial" w:hAnsi="Arial"/>
          <w:sz w:val="15"/>
          <w:szCs w:val="15"/>
          <w:color w:val="0E191E"/>
        </w:rPr>
        <w:t>Cash flow from operations (the goal of this metric is to manage profitability).</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0E191E"/>
        </w:rPr>
        <w:t>The threshold, target and maximum performance goals for each of these metrics were as follows in fiscal year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40" w:type="dxa"/>
            <w:vAlign w:val="bottom"/>
            <w:shd w:val="clear" w:color="auto" w:fill="00739D"/>
          </w:tcPr>
          <w:p>
            <w:pPr>
              <w:spacing w:after="0"/>
              <w:rPr>
                <w:sz w:val="14"/>
                <w:szCs w:val="14"/>
                <w:color w:val="auto"/>
              </w:rPr>
            </w:pPr>
          </w:p>
        </w:tc>
        <w:tc>
          <w:tcPr>
            <w:tcW w:w="1740" w:type="dxa"/>
            <w:vAlign w:val="bottom"/>
            <w:shd w:val="clear" w:color="auto" w:fill="00739D"/>
          </w:tcPr>
          <w:p>
            <w:pPr>
              <w:spacing w:after="0"/>
              <w:rPr>
                <w:sz w:val="14"/>
                <w:szCs w:val="14"/>
                <w:color w:val="auto"/>
              </w:rPr>
            </w:pPr>
          </w:p>
        </w:tc>
        <w:tc>
          <w:tcPr>
            <w:tcW w:w="2000" w:type="dxa"/>
            <w:vAlign w:val="bottom"/>
            <w:shd w:val="clear" w:color="auto" w:fill="00739D"/>
          </w:tcPr>
          <w:p>
            <w:pPr>
              <w:ind w:left="500"/>
              <w:spacing w:after="0"/>
              <w:rPr>
                <w:sz w:val="20"/>
                <w:szCs w:val="20"/>
                <w:color w:val="auto"/>
              </w:rPr>
            </w:pPr>
            <w:r>
              <w:rPr>
                <w:rFonts w:ascii="Arial" w:cs="Arial" w:eastAsia="Arial" w:hAnsi="Arial"/>
                <w:sz w:val="13"/>
                <w:szCs w:val="13"/>
                <w:b w:val="1"/>
                <w:bCs w:val="1"/>
                <w:color w:val="FFFFFF"/>
              </w:rPr>
              <w:t>Threshold (50%)</w:t>
            </w:r>
          </w:p>
        </w:tc>
        <w:tc>
          <w:tcPr>
            <w:tcW w:w="1760" w:type="dxa"/>
            <w:vAlign w:val="bottom"/>
            <w:shd w:val="clear" w:color="auto" w:fill="00739D"/>
          </w:tcPr>
          <w:p>
            <w:pPr>
              <w:ind w:left="440"/>
              <w:spacing w:after="0"/>
              <w:rPr>
                <w:sz w:val="20"/>
                <w:szCs w:val="20"/>
                <w:color w:val="auto"/>
              </w:rPr>
            </w:pPr>
            <w:r>
              <w:rPr>
                <w:rFonts w:ascii="Arial" w:cs="Arial" w:eastAsia="Arial" w:hAnsi="Arial"/>
                <w:sz w:val="13"/>
                <w:szCs w:val="13"/>
                <w:b w:val="1"/>
                <w:bCs w:val="1"/>
                <w:color w:val="FFFFFF"/>
              </w:rPr>
              <w:t>Target (100%)</w:t>
            </w:r>
          </w:p>
        </w:tc>
        <w:tc>
          <w:tcPr>
            <w:tcW w:w="1940" w:type="dxa"/>
            <w:vAlign w:val="bottom"/>
            <w:shd w:val="clear" w:color="auto" w:fill="00739D"/>
          </w:tcPr>
          <w:p>
            <w:pPr>
              <w:ind w:left="440"/>
              <w:spacing w:after="0"/>
              <w:rPr>
                <w:sz w:val="20"/>
                <w:szCs w:val="20"/>
                <w:color w:val="auto"/>
              </w:rPr>
            </w:pPr>
            <w:r>
              <w:rPr>
                <w:rFonts w:ascii="Arial" w:cs="Arial" w:eastAsia="Arial" w:hAnsi="Arial"/>
                <w:sz w:val="13"/>
                <w:szCs w:val="13"/>
                <w:b w:val="1"/>
                <w:bCs w:val="1"/>
                <w:color w:val="FFFFFF"/>
              </w:rPr>
              <w:t>Maximum (150%)</w:t>
            </w:r>
          </w:p>
        </w:tc>
        <w:tc>
          <w:tcPr>
            <w:tcW w:w="2060" w:type="dxa"/>
            <w:vAlign w:val="bottom"/>
            <w:shd w:val="clear" w:color="auto" w:fill="00739D"/>
          </w:tcPr>
          <w:p>
            <w:pPr>
              <w:ind w:left="380"/>
              <w:spacing w:after="0"/>
              <w:rPr>
                <w:sz w:val="20"/>
                <w:szCs w:val="20"/>
                <w:color w:val="auto"/>
              </w:rPr>
            </w:pPr>
            <w:r>
              <w:rPr>
                <w:rFonts w:ascii="Arial" w:cs="Arial" w:eastAsia="Arial" w:hAnsi="Arial"/>
                <w:sz w:val="13"/>
                <w:szCs w:val="13"/>
                <w:b w:val="1"/>
                <w:bCs w:val="1"/>
                <w:color w:val="FFFFFF"/>
              </w:rPr>
              <w:t>Actual Performance</w:t>
            </w:r>
          </w:p>
        </w:tc>
        <w:tc>
          <w:tcPr>
            <w:tcW w:w="0" w:type="dxa"/>
            <w:vAlign w:val="bottom"/>
          </w:tcPr>
          <w:p>
            <w:pPr>
              <w:spacing w:after="0"/>
              <w:rPr>
                <w:sz w:val="1"/>
                <w:szCs w:val="1"/>
                <w:color w:val="auto"/>
              </w:rPr>
            </w:pPr>
          </w:p>
        </w:tc>
      </w:tr>
      <w:tr>
        <w:trPr>
          <w:trHeight w:val="178"/>
        </w:trPr>
        <w:tc>
          <w:tcPr>
            <w:tcW w:w="174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Metric*</w:t>
            </w:r>
          </w:p>
        </w:tc>
        <w:tc>
          <w:tcPr>
            <w:tcW w:w="1740" w:type="dxa"/>
            <w:vAlign w:val="bottom"/>
            <w:shd w:val="clear" w:color="auto" w:fill="00739D"/>
          </w:tcPr>
          <w:p>
            <w:pPr>
              <w:jc w:val="center"/>
              <w:ind w:left="33"/>
              <w:spacing w:after="0"/>
              <w:rPr>
                <w:sz w:val="20"/>
                <w:szCs w:val="20"/>
                <w:color w:val="auto"/>
              </w:rPr>
            </w:pPr>
            <w:r>
              <w:rPr>
                <w:rFonts w:ascii="Arial" w:cs="Arial" w:eastAsia="Arial" w:hAnsi="Arial"/>
                <w:sz w:val="13"/>
                <w:szCs w:val="13"/>
                <w:b w:val="1"/>
                <w:bCs w:val="1"/>
                <w:color w:val="FFFFFF"/>
              </w:rPr>
              <w:t>Weighting</w:t>
            </w:r>
          </w:p>
        </w:tc>
        <w:tc>
          <w:tcPr>
            <w:tcW w:w="20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t>
            </w:r>
          </w:p>
        </w:tc>
        <w:tc>
          <w:tcPr>
            <w:tcW w:w="17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t>
            </w:r>
          </w:p>
        </w:tc>
        <w:tc>
          <w:tcPr>
            <w:tcW w:w="19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t>
            </w:r>
          </w:p>
        </w:tc>
        <w:tc>
          <w:tcPr>
            <w:tcW w:w="20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22"/>
        </w:trPr>
        <w:tc>
          <w:tcPr>
            <w:tcW w:w="1740" w:type="dxa"/>
            <w:vAlign w:val="bottom"/>
            <w:shd w:val="clear" w:color="auto" w:fill="00739D"/>
          </w:tcPr>
          <w:p>
            <w:pPr>
              <w:spacing w:after="0"/>
              <w:rPr>
                <w:sz w:val="10"/>
                <w:szCs w:val="10"/>
                <w:color w:val="auto"/>
              </w:rPr>
            </w:pPr>
          </w:p>
        </w:tc>
        <w:tc>
          <w:tcPr>
            <w:tcW w:w="1740" w:type="dxa"/>
            <w:vAlign w:val="bottom"/>
            <w:shd w:val="clear" w:color="auto" w:fill="00739D"/>
          </w:tcPr>
          <w:p>
            <w:pPr>
              <w:spacing w:after="0"/>
              <w:rPr>
                <w:sz w:val="10"/>
                <w:szCs w:val="10"/>
                <w:color w:val="auto"/>
              </w:rPr>
            </w:pPr>
          </w:p>
        </w:tc>
        <w:tc>
          <w:tcPr>
            <w:tcW w:w="2000" w:type="dxa"/>
            <w:vAlign w:val="bottom"/>
            <w:shd w:val="clear" w:color="auto" w:fill="00739D"/>
          </w:tcPr>
          <w:p>
            <w:pPr>
              <w:spacing w:after="0"/>
              <w:rPr>
                <w:sz w:val="10"/>
                <w:szCs w:val="10"/>
                <w:color w:val="auto"/>
              </w:rPr>
            </w:pPr>
          </w:p>
        </w:tc>
        <w:tc>
          <w:tcPr>
            <w:tcW w:w="1760" w:type="dxa"/>
            <w:vAlign w:val="bottom"/>
            <w:shd w:val="clear" w:color="auto" w:fill="00739D"/>
          </w:tcPr>
          <w:p>
            <w:pPr>
              <w:spacing w:after="0"/>
              <w:rPr>
                <w:sz w:val="10"/>
                <w:szCs w:val="10"/>
                <w:color w:val="auto"/>
              </w:rPr>
            </w:pPr>
          </w:p>
        </w:tc>
        <w:tc>
          <w:tcPr>
            <w:tcW w:w="1940" w:type="dxa"/>
            <w:vAlign w:val="bottom"/>
            <w:shd w:val="clear" w:color="auto" w:fill="00739D"/>
          </w:tcPr>
          <w:p>
            <w:pPr>
              <w:spacing w:after="0"/>
              <w:rPr>
                <w:sz w:val="10"/>
                <w:szCs w:val="10"/>
                <w:color w:val="auto"/>
              </w:rPr>
            </w:pPr>
          </w:p>
        </w:tc>
        <w:tc>
          <w:tcPr>
            <w:tcW w:w="2060" w:type="dxa"/>
            <w:vAlign w:val="bottom"/>
            <w:shd w:val="clear" w:color="auto" w:fill="00739D"/>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740" w:type="dxa"/>
            <w:vAlign w:val="bottom"/>
          </w:tcPr>
          <w:p>
            <w:pPr>
              <w:ind w:left="100"/>
              <w:spacing w:after="0"/>
              <w:rPr>
                <w:sz w:val="20"/>
                <w:szCs w:val="20"/>
                <w:color w:val="auto"/>
              </w:rPr>
            </w:pPr>
            <w:r>
              <w:rPr>
                <w:rFonts w:ascii="Arial" w:cs="Arial" w:eastAsia="Arial" w:hAnsi="Arial"/>
                <w:sz w:val="13"/>
                <w:szCs w:val="13"/>
                <w:b w:val="1"/>
                <w:bCs w:val="1"/>
                <w:color w:val="0E191E"/>
              </w:rPr>
              <w:t>ARR**</w:t>
            </w:r>
          </w:p>
        </w:tc>
        <w:tc>
          <w:tcPr>
            <w:tcW w:w="1740" w:type="dxa"/>
            <w:vAlign w:val="bottom"/>
          </w:tcPr>
          <w:p>
            <w:pPr>
              <w:jc w:val="center"/>
              <w:ind w:left="33"/>
              <w:spacing w:after="0"/>
              <w:rPr>
                <w:sz w:val="20"/>
                <w:szCs w:val="20"/>
                <w:color w:val="auto"/>
              </w:rPr>
            </w:pPr>
            <w:r>
              <w:rPr>
                <w:rFonts w:ascii="Arial" w:cs="Arial" w:eastAsia="Arial" w:hAnsi="Arial"/>
                <w:sz w:val="13"/>
                <w:szCs w:val="13"/>
                <w:color w:val="0E191E"/>
              </w:rPr>
              <w:t>80%</w:t>
            </w:r>
          </w:p>
        </w:tc>
        <w:tc>
          <w:tcPr>
            <w:tcW w:w="2000" w:type="dxa"/>
            <w:vAlign w:val="bottom"/>
          </w:tcPr>
          <w:p>
            <w:pPr>
              <w:jc w:val="center"/>
              <w:spacing w:after="0"/>
              <w:rPr>
                <w:sz w:val="20"/>
                <w:szCs w:val="20"/>
                <w:color w:val="auto"/>
              </w:rPr>
            </w:pPr>
            <w:r>
              <w:rPr>
                <w:rFonts w:ascii="Arial" w:cs="Arial" w:eastAsia="Arial" w:hAnsi="Arial"/>
                <w:sz w:val="13"/>
                <w:szCs w:val="13"/>
                <w:color w:val="0E191E"/>
              </w:rPr>
              <w:t>540M</w:t>
            </w:r>
          </w:p>
        </w:tc>
        <w:tc>
          <w:tcPr>
            <w:tcW w:w="1760" w:type="dxa"/>
            <w:vAlign w:val="bottom"/>
          </w:tcPr>
          <w:p>
            <w:pPr>
              <w:jc w:val="center"/>
              <w:spacing w:after="0"/>
              <w:rPr>
                <w:sz w:val="20"/>
                <w:szCs w:val="20"/>
                <w:color w:val="auto"/>
              </w:rPr>
            </w:pPr>
            <w:r>
              <w:rPr>
                <w:rFonts w:ascii="Arial" w:cs="Arial" w:eastAsia="Arial" w:hAnsi="Arial"/>
                <w:sz w:val="13"/>
                <w:szCs w:val="13"/>
                <w:color w:val="0E191E"/>
              </w:rPr>
              <w:t>571M</w:t>
            </w:r>
          </w:p>
        </w:tc>
        <w:tc>
          <w:tcPr>
            <w:tcW w:w="1940" w:type="dxa"/>
            <w:vAlign w:val="bottom"/>
          </w:tcPr>
          <w:p>
            <w:pPr>
              <w:jc w:val="center"/>
              <w:spacing w:after="0"/>
              <w:rPr>
                <w:sz w:val="20"/>
                <w:szCs w:val="20"/>
                <w:color w:val="auto"/>
              </w:rPr>
            </w:pPr>
            <w:r>
              <w:rPr>
                <w:rFonts w:ascii="Arial" w:cs="Arial" w:eastAsia="Arial" w:hAnsi="Arial"/>
                <w:sz w:val="13"/>
                <w:szCs w:val="13"/>
                <w:color w:val="0E191E"/>
              </w:rPr>
              <w:t>614M</w:t>
            </w:r>
          </w:p>
        </w:tc>
        <w:tc>
          <w:tcPr>
            <w:tcW w:w="2060" w:type="dxa"/>
            <w:vAlign w:val="bottom"/>
          </w:tcPr>
          <w:p>
            <w:pPr>
              <w:jc w:val="center"/>
              <w:spacing w:after="0"/>
              <w:rPr>
                <w:sz w:val="20"/>
                <w:szCs w:val="20"/>
                <w:color w:val="auto"/>
              </w:rPr>
            </w:pPr>
            <w:r>
              <w:rPr>
                <w:rFonts w:ascii="Arial" w:cs="Arial" w:eastAsia="Arial" w:hAnsi="Arial"/>
                <w:sz w:val="13"/>
                <w:szCs w:val="13"/>
                <w:color w:val="0E191E"/>
                <w:w w:val="98"/>
              </w:rPr>
              <w:t>575M</w:t>
            </w:r>
          </w:p>
        </w:tc>
        <w:tc>
          <w:tcPr>
            <w:tcW w:w="0" w:type="dxa"/>
            <w:vAlign w:val="bottom"/>
          </w:tcPr>
          <w:p>
            <w:pPr>
              <w:spacing w:after="0"/>
              <w:rPr>
                <w:sz w:val="1"/>
                <w:szCs w:val="1"/>
                <w:color w:val="auto"/>
              </w:rPr>
            </w:pPr>
          </w:p>
        </w:tc>
      </w:tr>
      <w:tr>
        <w:trPr>
          <w:trHeight w:val="28"/>
        </w:trPr>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740" w:type="dxa"/>
            <w:vAlign w:val="bottom"/>
            <w:shd w:val="clear" w:color="auto" w:fill="E5F1F5"/>
          </w:tcPr>
          <w:p>
            <w:pPr>
              <w:ind w:left="100"/>
              <w:spacing w:after="0"/>
              <w:rPr>
                <w:sz w:val="20"/>
                <w:szCs w:val="20"/>
                <w:color w:val="auto"/>
              </w:rPr>
            </w:pPr>
            <w:r>
              <w:rPr>
                <w:rFonts w:ascii="Arial" w:cs="Arial" w:eastAsia="Arial" w:hAnsi="Arial"/>
                <w:sz w:val="13"/>
                <w:szCs w:val="13"/>
                <w:b w:val="1"/>
                <w:bCs w:val="1"/>
                <w:color w:val="0E191E"/>
              </w:rPr>
              <w:t>Cash Flow from</w:t>
            </w:r>
          </w:p>
        </w:tc>
        <w:tc>
          <w:tcPr>
            <w:tcW w:w="1740" w:type="dxa"/>
            <w:vAlign w:val="bottom"/>
            <w:vMerge w:val="restart"/>
            <w:shd w:val="clear" w:color="auto" w:fill="E5F1F5"/>
          </w:tcPr>
          <w:p>
            <w:pPr>
              <w:jc w:val="center"/>
              <w:ind w:left="33"/>
              <w:spacing w:after="0"/>
              <w:rPr>
                <w:sz w:val="20"/>
                <w:szCs w:val="20"/>
                <w:color w:val="auto"/>
              </w:rPr>
            </w:pPr>
            <w:r>
              <w:rPr>
                <w:rFonts w:ascii="Arial" w:cs="Arial" w:eastAsia="Arial" w:hAnsi="Arial"/>
                <w:sz w:val="13"/>
                <w:szCs w:val="13"/>
                <w:color w:val="0E191E"/>
              </w:rPr>
              <w:t>20%</w:t>
            </w:r>
          </w:p>
        </w:tc>
        <w:tc>
          <w:tcPr>
            <w:tcW w:w="2000" w:type="dxa"/>
            <w:vAlign w:val="bottom"/>
            <w:vMerge w:val="restart"/>
            <w:shd w:val="clear" w:color="auto" w:fill="E5F1F5"/>
          </w:tcPr>
          <w:p>
            <w:pPr>
              <w:jc w:val="center"/>
              <w:spacing w:after="0"/>
              <w:rPr>
                <w:sz w:val="20"/>
                <w:szCs w:val="20"/>
                <w:color w:val="auto"/>
              </w:rPr>
            </w:pPr>
            <w:r>
              <w:rPr>
                <w:rFonts w:ascii="Arial" w:cs="Arial" w:eastAsia="Arial" w:hAnsi="Arial"/>
                <w:sz w:val="13"/>
                <w:szCs w:val="13"/>
                <w:color w:val="0E191E"/>
              </w:rPr>
              <w:t>48M</w:t>
            </w:r>
          </w:p>
        </w:tc>
        <w:tc>
          <w:tcPr>
            <w:tcW w:w="1760" w:type="dxa"/>
            <w:vAlign w:val="bottom"/>
            <w:vMerge w:val="restart"/>
            <w:shd w:val="clear" w:color="auto" w:fill="E5F1F5"/>
          </w:tcPr>
          <w:p>
            <w:pPr>
              <w:jc w:val="center"/>
              <w:spacing w:after="0"/>
              <w:rPr>
                <w:sz w:val="20"/>
                <w:szCs w:val="20"/>
                <w:color w:val="auto"/>
              </w:rPr>
            </w:pPr>
            <w:r>
              <w:rPr>
                <w:rFonts w:ascii="Arial" w:cs="Arial" w:eastAsia="Arial" w:hAnsi="Arial"/>
                <w:sz w:val="13"/>
                <w:szCs w:val="13"/>
                <w:color w:val="0E191E"/>
              </w:rPr>
              <w:t>68M</w:t>
            </w:r>
          </w:p>
        </w:tc>
        <w:tc>
          <w:tcPr>
            <w:tcW w:w="1940" w:type="dxa"/>
            <w:vAlign w:val="bottom"/>
            <w:vMerge w:val="restart"/>
            <w:shd w:val="clear" w:color="auto" w:fill="E5F1F5"/>
          </w:tcPr>
          <w:p>
            <w:pPr>
              <w:jc w:val="center"/>
              <w:spacing w:after="0"/>
              <w:rPr>
                <w:sz w:val="20"/>
                <w:szCs w:val="20"/>
                <w:color w:val="auto"/>
              </w:rPr>
            </w:pPr>
            <w:r>
              <w:rPr>
                <w:rFonts w:ascii="Arial" w:cs="Arial" w:eastAsia="Arial" w:hAnsi="Arial"/>
                <w:sz w:val="13"/>
                <w:szCs w:val="13"/>
                <w:color w:val="0E191E"/>
              </w:rPr>
              <w:t>88M</w:t>
            </w:r>
          </w:p>
        </w:tc>
        <w:tc>
          <w:tcPr>
            <w:tcW w:w="2060" w:type="dxa"/>
            <w:vAlign w:val="bottom"/>
            <w:vMerge w:val="restart"/>
            <w:shd w:val="clear" w:color="auto" w:fill="E5F1F5"/>
          </w:tcPr>
          <w:p>
            <w:pPr>
              <w:jc w:val="center"/>
              <w:spacing w:after="0"/>
              <w:rPr>
                <w:sz w:val="20"/>
                <w:szCs w:val="20"/>
                <w:color w:val="auto"/>
              </w:rPr>
            </w:pPr>
            <w:r>
              <w:rPr>
                <w:rFonts w:ascii="Arial" w:cs="Arial" w:eastAsia="Arial" w:hAnsi="Arial"/>
                <w:sz w:val="13"/>
                <w:szCs w:val="13"/>
                <w:color w:val="0E191E"/>
                <w:w w:val="98"/>
              </w:rPr>
              <w:t>112M</w:t>
            </w:r>
          </w:p>
        </w:tc>
        <w:tc>
          <w:tcPr>
            <w:tcW w:w="0" w:type="dxa"/>
            <w:vAlign w:val="bottom"/>
          </w:tcPr>
          <w:p>
            <w:pPr>
              <w:spacing w:after="0"/>
              <w:rPr>
                <w:sz w:val="1"/>
                <w:szCs w:val="1"/>
                <w:color w:val="auto"/>
              </w:rPr>
            </w:pPr>
          </w:p>
        </w:tc>
      </w:tr>
      <w:tr>
        <w:trPr>
          <w:trHeight w:val="97"/>
        </w:trPr>
        <w:tc>
          <w:tcPr>
            <w:tcW w:w="1740" w:type="dxa"/>
            <w:vAlign w:val="bottom"/>
            <w:vMerge w:val="restart"/>
            <w:shd w:val="clear" w:color="auto" w:fill="E5F1F5"/>
          </w:tcPr>
          <w:p>
            <w:pPr>
              <w:ind w:left="100"/>
              <w:spacing w:after="0"/>
              <w:rPr>
                <w:sz w:val="20"/>
                <w:szCs w:val="20"/>
                <w:color w:val="auto"/>
              </w:rPr>
            </w:pPr>
            <w:r>
              <w:rPr>
                <w:rFonts w:ascii="Arial" w:cs="Arial" w:eastAsia="Arial" w:hAnsi="Arial"/>
                <w:sz w:val="13"/>
                <w:szCs w:val="13"/>
                <w:b w:val="1"/>
                <w:bCs w:val="1"/>
                <w:color w:val="0E191E"/>
              </w:rPr>
              <w:t>Operations</w:t>
            </w:r>
          </w:p>
        </w:tc>
        <w:tc>
          <w:tcPr>
            <w:tcW w:w="1740" w:type="dxa"/>
            <w:vAlign w:val="bottom"/>
            <w:vMerge w:val="continue"/>
            <w:shd w:val="clear" w:color="auto" w:fill="E5F1F5"/>
          </w:tcPr>
          <w:p>
            <w:pPr>
              <w:spacing w:after="0"/>
              <w:rPr>
                <w:sz w:val="8"/>
                <w:szCs w:val="8"/>
                <w:color w:val="auto"/>
              </w:rPr>
            </w:pPr>
          </w:p>
        </w:tc>
        <w:tc>
          <w:tcPr>
            <w:tcW w:w="2000" w:type="dxa"/>
            <w:vAlign w:val="bottom"/>
            <w:vMerge w:val="continue"/>
            <w:shd w:val="clear" w:color="auto" w:fill="E5F1F5"/>
          </w:tcPr>
          <w:p>
            <w:pPr>
              <w:spacing w:after="0"/>
              <w:rPr>
                <w:sz w:val="8"/>
                <w:szCs w:val="8"/>
                <w:color w:val="auto"/>
              </w:rPr>
            </w:pPr>
          </w:p>
        </w:tc>
        <w:tc>
          <w:tcPr>
            <w:tcW w:w="1760" w:type="dxa"/>
            <w:vAlign w:val="bottom"/>
            <w:vMerge w:val="continue"/>
            <w:shd w:val="clear" w:color="auto" w:fill="E5F1F5"/>
          </w:tcPr>
          <w:p>
            <w:pPr>
              <w:spacing w:after="0"/>
              <w:rPr>
                <w:sz w:val="8"/>
                <w:szCs w:val="8"/>
                <w:color w:val="auto"/>
              </w:rPr>
            </w:pPr>
          </w:p>
        </w:tc>
        <w:tc>
          <w:tcPr>
            <w:tcW w:w="1940" w:type="dxa"/>
            <w:vAlign w:val="bottom"/>
            <w:vMerge w:val="continue"/>
            <w:shd w:val="clear" w:color="auto" w:fill="E5F1F5"/>
          </w:tcPr>
          <w:p>
            <w:pPr>
              <w:spacing w:after="0"/>
              <w:rPr>
                <w:sz w:val="8"/>
                <w:szCs w:val="8"/>
                <w:color w:val="auto"/>
              </w:rPr>
            </w:pPr>
          </w:p>
        </w:tc>
        <w:tc>
          <w:tcPr>
            <w:tcW w:w="2060" w:type="dxa"/>
            <w:vAlign w:val="bottom"/>
            <w:vMerge w:val="continue"/>
            <w:shd w:val="clear" w:color="auto" w:fill="E5F1F5"/>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740" w:type="dxa"/>
            <w:vAlign w:val="bottom"/>
            <w:tcBorders>
              <w:bottom w:val="single" w:sz="8" w:color="E5F1F5"/>
            </w:tcBorders>
            <w:vMerge w:val="continue"/>
            <w:shd w:val="clear" w:color="auto" w:fill="E5F1F5"/>
          </w:tcPr>
          <w:p>
            <w:pPr>
              <w:spacing w:after="0"/>
              <w:rPr>
                <w:sz w:val="7"/>
                <w:szCs w:val="7"/>
                <w:color w:val="auto"/>
              </w:rPr>
            </w:pPr>
          </w:p>
        </w:tc>
        <w:tc>
          <w:tcPr>
            <w:tcW w:w="1740" w:type="dxa"/>
            <w:vAlign w:val="bottom"/>
            <w:tcBorders>
              <w:bottom w:val="single" w:sz="8" w:color="E5F1F5"/>
            </w:tcBorders>
            <w:shd w:val="clear" w:color="auto" w:fill="E5F1F5"/>
          </w:tcPr>
          <w:p>
            <w:pPr>
              <w:spacing w:after="0"/>
              <w:rPr>
                <w:sz w:val="7"/>
                <w:szCs w:val="7"/>
                <w:color w:val="auto"/>
              </w:rPr>
            </w:pPr>
          </w:p>
        </w:tc>
        <w:tc>
          <w:tcPr>
            <w:tcW w:w="2000" w:type="dxa"/>
            <w:vAlign w:val="bottom"/>
            <w:tcBorders>
              <w:bottom w:val="single" w:sz="8" w:color="E5F1F5"/>
            </w:tcBorders>
            <w:shd w:val="clear" w:color="auto" w:fill="E5F1F5"/>
          </w:tcPr>
          <w:p>
            <w:pPr>
              <w:spacing w:after="0"/>
              <w:rPr>
                <w:sz w:val="7"/>
                <w:szCs w:val="7"/>
                <w:color w:val="auto"/>
              </w:rPr>
            </w:pPr>
          </w:p>
        </w:tc>
        <w:tc>
          <w:tcPr>
            <w:tcW w:w="1760" w:type="dxa"/>
            <w:vAlign w:val="bottom"/>
            <w:tcBorders>
              <w:bottom w:val="single" w:sz="8" w:color="E5F1F5"/>
            </w:tcBorders>
            <w:shd w:val="clear" w:color="auto" w:fill="E5F1F5"/>
          </w:tcPr>
          <w:p>
            <w:pPr>
              <w:spacing w:after="0"/>
              <w:rPr>
                <w:sz w:val="7"/>
                <w:szCs w:val="7"/>
                <w:color w:val="auto"/>
              </w:rPr>
            </w:pPr>
          </w:p>
        </w:tc>
        <w:tc>
          <w:tcPr>
            <w:tcW w:w="1940" w:type="dxa"/>
            <w:vAlign w:val="bottom"/>
            <w:tcBorders>
              <w:bottom w:val="single" w:sz="8" w:color="E5F1F5"/>
            </w:tcBorders>
            <w:shd w:val="clear" w:color="auto" w:fill="E5F1F5"/>
          </w:tcPr>
          <w:p>
            <w:pPr>
              <w:spacing w:after="0"/>
              <w:rPr>
                <w:sz w:val="7"/>
                <w:szCs w:val="7"/>
                <w:color w:val="auto"/>
              </w:rPr>
            </w:pPr>
          </w:p>
        </w:tc>
        <w:tc>
          <w:tcPr>
            <w:tcW w:w="2060" w:type="dxa"/>
            <w:vAlign w:val="bottom"/>
            <w:tcBorders>
              <w:bottom w:val="single" w:sz="8" w:color="E5F1F5"/>
            </w:tcBorders>
            <w:shd w:val="clear" w:color="auto" w:fill="E5F1F5"/>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80" w:right="540" w:hanging="80"/>
        <w:spacing w:after="0" w:line="262" w:lineRule="auto"/>
        <w:rPr>
          <w:sz w:val="20"/>
          <w:szCs w:val="20"/>
          <w:color w:val="auto"/>
        </w:rPr>
      </w:pPr>
      <w:r>
        <w:rPr>
          <w:rFonts w:ascii="Arial" w:cs="Arial" w:eastAsia="Arial" w:hAnsi="Arial"/>
          <w:sz w:val="15"/>
          <w:szCs w:val="15"/>
          <w:color w:val="0E191E"/>
        </w:rPr>
        <w:t>*Achievement was calculated on a straight-line basis from (i) the minimum to the target and (ii) from the target to the maximum. Achievement at the target was credited at 100%. Achievement below threshold results in 50% payout. Payout is capped at 150%.</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0E191E"/>
        </w:rPr>
        <w:t>**ARR is calculated on a constant currency basis per exchange rates at July 31, 2020.</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0E191E"/>
        </w:rPr>
        <w:t>These metrics were determined at the beginning of fiscal year 2021.</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E191E"/>
        </w:rPr>
        <w:t>Fiscal Year 2021 Bonus Decisions</w:t>
      </w:r>
    </w:p>
    <w:p>
      <w:pPr>
        <w:spacing w:after="0" w:line="108" w:lineRule="exact"/>
        <w:rPr>
          <w:sz w:val="20"/>
          <w:szCs w:val="20"/>
          <w:color w:val="auto"/>
        </w:rPr>
      </w:pPr>
    </w:p>
    <w:p>
      <w:pPr>
        <w:ind w:right="180"/>
        <w:spacing w:after="0" w:line="308" w:lineRule="auto"/>
        <w:rPr>
          <w:sz w:val="20"/>
          <w:szCs w:val="20"/>
          <w:color w:val="auto"/>
        </w:rPr>
      </w:pPr>
      <w:r>
        <w:rPr>
          <w:rFonts w:ascii="Arial" w:cs="Arial" w:eastAsia="Arial" w:hAnsi="Arial"/>
          <w:sz w:val="15"/>
          <w:szCs w:val="15"/>
          <w:color w:val="0E191E"/>
        </w:rPr>
        <w:t>After the conclusion of fiscal year 2021, the Compensation Committee evaluated our financial and operational performance for the fiscal year and determined that a Company Performance Factor of 113.5% was appropriate. Based on this determination, the Compensation Committee approved cash bonuses for the applicable Named Executive Officers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40" w:type="dxa"/>
            <w:vAlign w:val="bottom"/>
            <w:shd w:val="clear" w:color="auto" w:fill="00739D"/>
          </w:tcPr>
          <w:p>
            <w:pPr>
              <w:spacing w:after="0"/>
              <w:rPr>
                <w:sz w:val="14"/>
                <w:szCs w:val="14"/>
                <w:color w:val="auto"/>
              </w:rPr>
            </w:pPr>
          </w:p>
        </w:tc>
        <w:tc>
          <w:tcPr>
            <w:tcW w:w="3200" w:type="dxa"/>
            <w:vAlign w:val="bottom"/>
            <w:shd w:val="clear" w:color="auto" w:fill="00739D"/>
          </w:tcPr>
          <w:p>
            <w:pPr>
              <w:jc w:val="center"/>
              <w:ind w:left="213"/>
              <w:spacing w:after="0"/>
              <w:rPr>
                <w:sz w:val="20"/>
                <w:szCs w:val="20"/>
                <w:color w:val="auto"/>
              </w:rPr>
            </w:pPr>
            <w:r>
              <w:rPr>
                <w:rFonts w:ascii="Arial" w:cs="Arial" w:eastAsia="Arial" w:hAnsi="Arial"/>
                <w:sz w:val="13"/>
                <w:szCs w:val="13"/>
                <w:b w:val="1"/>
                <w:bCs w:val="1"/>
                <w:color w:val="FFFFFF"/>
              </w:rPr>
              <w:t>Fiscal Year 2021 Target</w:t>
            </w:r>
          </w:p>
        </w:tc>
        <w:tc>
          <w:tcPr>
            <w:tcW w:w="27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Company</w:t>
            </w:r>
          </w:p>
        </w:tc>
        <w:tc>
          <w:tcPr>
            <w:tcW w:w="1760" w:type="dxa"/>
            <w:vAlign w:val="bottom"/>
            <w:shd w:val="clear" w:color="auto" w:fill="00739D"/>
          </w:tcPr>
          <w:p>
            <w:pPr>
              <w:spacing w:after="0"/>
              <w:rPr>
                <w:sz w:val="14"/>
                <w:szCs w:val="14"/>
                <w:color w:val="auto"/>
              </w:rPr>
            </w:pPr>
          </w:p>
        </w:tc>
      </w:tr>
      <w:tr>
        <w:trPr>
          <w:trHeight w:val="162"/>
        </w:trPr>
        <w:tc>
          <w:tcPr>
            <w:tcW w:w="3540" w:type="dxa"/>
            <w:vAlign w:val="bottom"/>
            <w:shd w:val="clear" w:color="auto" w:fill="00739D"/>
          </w:tcPr>
          <w:p>
            <w:pPr>
              <w:spacing w:after="0"/>
              <w:rPr>
                <w:sz w:val="14"/>
                <w:szCs w:val="14"/>
                <w:color w:val="auto"/>
              </w:rPr>
            </w:pPr>
          </w:p>
        </w:tc>
        <w:tc>
          <w:tcPr>
            <w:tcW w:w="3200" w:type="dxa"/>
            <w:vAlign w:val="bottom"/>
            <w:shd w:val="clear" w:color="auto" w:fill="00739D"/>
          </w:tcPr>
          <w:p>
            <w:pPr>
              <w:jc w:val="center"/>
              <w:ind w:left="213"/>
              <w:spacing w:after="0"/>
              <w:rPr>
                <w:sz w:val="20"/>
                <w:szCs w:val="20"/>
                <w:color w:val="auto"/>
              </w:rPr>
            </w:pPr>
            <w:r>
              <w:rPr>
                <w:rFonts w:ascii="Arial" w:cs="Arial" w:eastAsia="Arial" w:hAnsi="Arial"/>
                <w:sz w:val="13"/>
                <w:szCs w:val="13"/>
                <w:b w:val="1"/>
                <w:bCs w:val="1"/>
                <w:color w:val="FFFFFF"/>
              </w:rPr>
              <w:t>Bonus Opportunity</w:t>
            </w:r>
          </w:p>
        </w:tc>
        <w:tc>
          <w:tcPr>
            <w:tcW w:w="27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Performance Factor</w:t>
            </w:r>
          </w:p>
        </w:tc>
        <w:tc>
          <w:tcPr>
            <w:tcW w:w="1760" w:type="dxa"/>
            <w:vAlign w:val="bottom"/>
            <w:shd w:val="clear" w:color="auto" w:fill="00739D"/>
          </w:tcPr>
          <w:p>
            <w:pPr>
              <w:jc w:val="right"/>
              <w:ind w:right="133"/>
              <w:spacing w:after="0"/>
              <w:rPr>
                <w:sz w:val="20"/>
                <w:szCs w:val="20"/>
                <w:color w:val="auto"/>
              </w:rPr>
            </w:pPr>
            <w:r>
              <w:rPr>
                <w:rFonts w:ascii="Arial" w:cs="Arial" w:eastAsia="Arial" w:hAnsi="Arial"/>
                <w:sz w:val="13"/>
                <w:szCs w:val="13"/>
                <w:b w:val="1"/>
                <w:bCs w:val="1"/>
                <w:color w:val="FFFFFF"/>
              </w:rPr>
              <w:t>Cash Bonus</w:t>
            </w:r>
          </w:p>
        </w:tc>
      </w:tr>
      <w:tr>
        <w:trPr>
          <w:trHeight w:val="178"/>
        </w:trPr>
        <w:tc>
          <w:tcPr>
            <w:tcW w:w="354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Named Executive Officer</w:t>
            </w:r>
          </w:p>
        </w:tc>
        <w:tc>
          <w:tcPr>
            <w:tcW w:w="3200" w:type="dxa"/>
            <w:vAlign w:val="bottom"/>
            <w:shd w:val="clear" w:color="auto" w:fill="00739D"/>
          </w:tcPr>
          <w:p>
            <w:pPr>
              <w:jc w:val="center"/>
              <w:ind w:left="253"/>
              <w:spacing w:after="0"/>
              <w:rPr>
                <w:sz w:val="20"/>
                <w:szCs w:val="20"/>
                <w:color w:val="auto"/>
              </w:rPr>
            </w:pPr>
            <w:r>
              <w:rPr>
                <w:rFonts w:ascii="Arial" w:cs="Arial" w:eastAsia="Arial" w:hAnsi="Arial"/>
                <w:sz w:val="13"/>
                <w:szCs w:val="13"/>
                <w:b w:val="1"/>
                <w:bCs w:val="1"/>
                <w:color w:val="FFFFFF"/>
              </w:rPr>
              <w:t>(% of Base Salary)</w:t>
            </w:r>
          </w:p>
        </w:tc>
        <w:tc>
          <w:tcPr>
            <w:tcW w:w="27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t>
            </w:r>
          </w:p>
        </w:tc>
        <w:tc>
          <w:tcPr>
            <w:tcW w:w="1760" w:type="dxa"/>
            <w:vAlign w:val="bottom"/>
            <w:shd w:val="clear" w:color="auto" w:fill="00739D"/>
          </w:tcPr>
          <w:p>
            <w:pPr>
              <w:jc w:val="right"/>
              <w:ind w:right="93"/>
              <w:spacing w:after="0"/>
              <w:rPr>
                <w:sz w:val="20"/>
                <w:szCs w:val="20"/>
                <w:color w:val="auto"/>
              </w:rPr>
            </w:pPr>
            <w:r>
              <w:rPr>
                <w:rFonts w:ascii="Arial" w:cs="Arial" w:eastAsia="Arial" w:hAnsi="Arial"/>
                <w:sz w:val="13"/>
                <w:szCs w:val="13"/>
                <w:b w:val="1"/>
                <w:bCs w:val="1"/>
                <w:color w:val="FFFFFF"/>
              </w:rPr>
              <w:t>($)</w:t>
            </w:r>
          </w:p>
        </w:tc>
      </w:tr>
      <w:tr>
        <w:trPr>
          <w:trHeight w:val="122"/>
        </w:trPr>
        <w:tc>
          <w:tcPr>
            <w:tcW w:w="3540" w:type="dxa"/>
            <w:vAlign w:val="bottom"/>
            <w:shd w:val="clear" w:color="auto" w:fill="00739D"/>
          </w:tcPr>
          <w:p>
            <w:pPr>
              <w:spacing w:after="0"/>
              <w:rPr>
                <w:sz w:val="10"/>
                <w:szCs w:val="10"/>
                <w:color w:val="auto"/>
              </w:rPr>
            </w:pPr>
          </w:p>
        </w:tc>
        <w:tc>
          <w:tcPr>
            <w:tcW w:w="3200" w:type="dxa"/>
            <w:vAlign w:val="bottom"/>
            <w:shd w:val="clear" w:color="auto" w:fill="00739D"/>
          </w:tcPr>
          <w:p>
            <w:pPr>
              <w:spacing w:after="0"/>
              <w:rPr>
                <w:sz w:val="10"/>
                <w:szCs w:val="10"/>
                <w:color w:val="auto"/>
              </w:rPr>
            </w:pPr>
          </w:p>
        </w:tc>
        <w:tc>
          <w:tcPr>
            <w:tcW w:w="2740" w:type="dxa"/>
            <w:vAlign w:val="bottom"/>
            <w:shd w:val="clear" w:color="auto" w:fill="00739D"/>
          </w:tcPr>
          <w:p>
            <w:pPr>
              <w:spacing w:after="0"/>
              <w:rPr>
                <w:sz w:val="10"/>
                <w:szCs w:val="10"/>
                <w:color w:val="auto"/>
              </w:rPr>
            </w:pPr>
          </w:p>
        </w:tc>
        <w:tc>
          <w:tcPr>
            <w:tcW w:w="1760" w:type="dxa"/>
            <w:vAlign w:val="bottom"/>
            <w:shd w:val="clear" w:color="auto" w:fill="00739D"/>
          </w:tcPr>
          <w:p>
            <w:pPr>
              <w:spacing w:after="0"/>
              <w:rPr>
                <w:sz w:val="10"/>
                <w:szCs w:val="10"/>
                <w:color w:val="auto"/>
              </w:rPr>
            </w:pPr>
          </w:p>
        </w:tc>
      </w:tr>
      <w:tr>
        <w:trPr>
          <w:trHeight w:val="188"/>
        </w:trPr>
        <w:tc>
          <w:tcPr>
            <w:tcW w:w="3540" w:type="dxa"/>
            <w:vAlign w:val="bottom"/>
          </w:tcPr>
          <w:p>
            <w:pPr>
              <w:ind w:left="100"/>
              <w:spacing w:after="0"/>
              <w:rPr>
                <w:sz w:val="20"/>
                <w:szCs w:val="20"/>
                <w:color w:val="auto"/>
              </w:rPr>
            </w:pPr>
            <w:r>
              <w:rPr>
                <w:rFonts w:ascii="Arial" w:cs="Arial" w:eastAsia="Arial" w:hAnsi="Arial"/>
                <w:sz w:val="13"/>
                <w:szCs w:val="13"/>
                <w:b w:val="1"/>
                <w:bCs w:val="1"/>
                <w:color w:val="0E191E"/>
              </w:rPr>
              <w:t>Mike Rosenbaum</w:t>
            </w:r>
          </w:p>
        </w:tc>
        <w:tc>
          <w:tcPr>
            <w:tcW w:w="3200" w:type="dxa"/>
            <w:vAlign w:val="bottom"/>
          </w:tcPr>
          <w:p>
            <w:pPr>
              <w:jc w:val="center"/>
              <w:ind w:left="253"/>
              <w:spacing w:after="0"/>
              <w:rPr>
                <w:sz w:val="20"/>
                <w:szCs w:val="20"/>
                <w:color w:val="auto"/>
              </w:rPr>
            </w:pPr>
            <w:r>
              <w:rPr>
                <w:rFonts w:ascii="Arial" w:cs="Arial" w:eastAsia="Arial" w:hAnsi="Arial"/>
                <w:sz w:val="13"/>
                <w:szCs w:val="13"/>
                <w:color w:val="0E191E"/>
              </w:rPr>
              <w:t>100</w:t>
            </w:r>
          </w:p>
        </w:tc>
        <w:tc>
          <w:tcPr>
            <w:tcW w:w="2740" w:type="dxa"/>
            <w:vAlign w:val="bottom"/>
          </w:tcPr>
          <w:p>
            <w:pPr>
              <w:jc w:val="center"/>
              <w:spacing w:after="0"/>
              <w:rPr>
                <w:sz w:val="20"/>
                <w:szCs w:val="20"/>
                <w:color w:val="auto"/>
              </w:rPr>
            </w:pPr>
            <w:r>
              <w:rPr>
                <w:rFonts w:ascii="Arial" w:cs="Arial" w:eastAsia="Arial" w:hAnsi="Arial"/>
                <w:sz w:val="13"/>
                <w:szCs w:val="13"/>
                <w:color w:val="0E191E"/>
              </w:rPr>
              <w:t>113.5</w:t>
            </w:r>
          </w:p>
        </w:tc>
        <w:tc>
          <w:tcPr>
            <w:tcW w:w="1760" w:type="dxa"/>
            <w:vAlign w:val="bottom"/>
          </w:tcPr>
          <w:p>
            <w:pPr>
              <w:jc w:val="right"/>
              <w:ind w:right="93"/>
              <w:spacing w:after="0"/>
              <w:rPr>
                <w:sz w:val="20"/>
                <w:szCs w:val="20"/>
                <w:color w:val="auto"/>
              </w:rPr>
            </w:pPr>
            <w:r>
              <w:rPr>
                <w:rFonts w:ascii="Arial" w:cs="Arial" w:eastAsia="Arial" w:hAnsi="Arial"/>
                <w:sz w:val="13"/>
                <w:szCs w:val="13"/>
                <w:color w:val="0E191E"/>
              </w:rPr>
              <w:t>851,250</w:t>
            </w:r>
          </w:p>
        </w:tc>
      </w:tr>
      <w:tr>
        <w:trPr>
          <w:trHeight w:val="28"/>
        </w:trPr>
        <w:tc>
          <w:tcPr>
            <w:tcW w:w="35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96"/>
        </w:trPr>
        <w:tc>
          <w:tcPr>
            <w:tcW w:w="3540" w:type="dxa"/>
            <w:vAlign w:val="bottom"/>
            <w:tcBorders>
              <w:bottom w:val="single" w:sz="8" w:color="E5F1F5"/>
            </w:tcBorders>
            <w:shd w:val="clear" w:color="auto" w:fill="E5F1F5"/>
          </w:tcPr>
          <w:p>
            <w:pPr>
              <w:ind w:left="100"/>
              <w:spacing w:after="0"/>
              <w:rPr>
                <w:sz w:val="20"/>
                <w:szCs w:val="20"/>
                <w:color w:val="auto"/>
              </w:rPr>
            </w:pPr>
            <w:r>
              <w:rPr>
                <w:rFonts w:ascii="Arial" w:cs="Arial" w:eastAsia="Arial" w:hAnsi="Arial"/>
                <w:sz w:val="13"/>
                <w:szCs w:val="13"/>
                <w:b w:val="1"/>
                <w:bCs w:val="1"/>
                <w:color w:val="0E191E"/>
              </w:rPr>
              <w:t>Jeff Cooper</w:t>
            </w:r>
          </w:p>
        </w:tc>
        <w:tc>
          <w:tcPr>
            <w:tcW w:w="3200" w:type="dxa"/>
            <w:vAlign w:val="bottom"/>
            <w:tcBorders>
              <w:bottom w:val="single" w:sz="8" w:color="E5F1F5"/>
            </w:tcBorders>
            <w:shd w:val="clear" w:color="auto" w:fill="E5F1F5"/>
          </w:tcPr>
          <w:p>
            <w:pPr>
              <w:jc w:val="center"/>
              <w:ind w:left="253"/>
              <w:spacing w:after="0"/>
              <w:rPr>
                <w:sz w:val="20"/>
                <w:szCs w:val="20"/>
                <w:color w:val="auto"/>
              </w:rPr>
            </w:pPr>
            <w:r>
              <w:rPr>
                <w:rFonts w:ascii="Arial" w:cs="Arial" w:eastAsia="Arial" w:hAnsi="Arial"/>
                <w:sz w:val="13"/>
                <w:szCs w:val="13"/>
                <w:color w:val="0E191E"/>
              </w:rPr>
              <w:t>60</w:t>
            </w:r>
          </w:p>
        </w:tc>
        <w:tc>
          <w:tcPr>
            <w:tcW w:w="2740" w:type="dxa"/>
            <w:vAlign w:val="bottom"/>
            <w:tcBorders>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rPr>
              <w:t>113.5</w:t>
            </w:r>
          </w:p>
        </w:tc>
        <w:tc>
          <w:tcPr>
            <w:tcW w:w="1760" w:type="dxa"/>
            <w:vAlign w:val="bottom"/>
            <w:tcBorders>
              <w:bottom w:val="single" w:sz="8" w:color="E5F1F5"/>
            </w:tcBorders>
            <w:shd w:val="clear" w:color="auto" w:fill="E5F1F5"/>
          </w:tcPr>
          <w:p>
            <w:pPr>
              <w:jc w:val="right"/>
              <w:ind w:right="93"/>
              <w:spacing w:after="0"/>
              <w:rPr>
                <w:sz w:val="20"/>
                <w:szCs w:val="20"/>
                <w:color w:val="auto"/>
              </w:rPr>
            </w:pPr>
            <w:r>
              <w:rPr>
                <w:rFonts w:ascii="Arial" w:cs="Arial" w:eastAsia="Arial" w:hAnsi="Arial"/>
                <w:sz w:val="13"/>
                <w:szCs w:val="13"/>
                <w:color w:val="0E191E"/>
              </w:rPr>
              <w:t>263,547</w:t>
            </w:r>
          </w:p>
        </w:tc>
      </w:tr>
      <w:tr>
        <w:trPr>
          <w:trHeight w:val="188"/>
        </w:trPr>
        <w:tc>
          <w:tcPr>
            <w:tcW w:w="3540" w:type="dxa"/>
            <w:vAlign w:val="bottom"/>
          </w:tcPr>
          <w:p>
            <w:pPr>
              <w:ind w:left="100"/>
              <w:spacing w:after="0"/>
              <w:rPr>
                <w:sz w:val="20"/>
                <w:szCs w:val="20"/>
                <w:color w:val="auto"/>
              </w:rPr>
            </w:pPr>
            <w:r>
              <w:rPr>
                <w:rFonts w:ascii="Arial" w:cs="Arial" w:eastAsia="Arial" w:hAnsi="Arial"/>
                <w:sz w:val="13"/>
                <w:szCs w:val="13"/>
                <w:b w:val="1"/>
                <w:bCs w:val="1"/>
                <w:color w:val="0E191E"/>
              </w:rPr>
              <w:t>Priscilla Hung</w:t>
            </w:r>
          </w:p>
        </w:tc>
        <w:tc>
          <w:tcPr>
            <w:tcW w:w="3200" w:type="dxa"/>
            <w:vAlign w:val="bottom"/>
          </w:tcPr>
          <w:p>
            <w:pPr>
              <w:jc w:val="center"/>
              <w:ind w:left="253"/>
              <w:spacing w:after="0"/>
              <w:rPr>
                <w:sz w:val="20"/>
                <w:szCs w:val="20"/>
                <w:color w:val="auto"/>
              </w:rPr>
            </w:pPr>
            <w:r>
              <w:rPr>
                <w:rFonts w:ascii="Arial" w:cs="Arial" w:eastAsia="Arial" w:hAnsi="Arial"/>
                <w:sz w:val="13"/>
                <w:szCs w:val="13"/>
                <w:color w:val="0E191E"/>
              </w:rPr>
              <w:t>75</w:t>
            </w:r>
          </w:p>
        </w:tc>
        <w:tc>
          <w:tcPr>
            <w:tcW w:w="2740" w:type="dxa"/>
            <w:vAlign w:val="bottom"/>
          </w:tcPr>
          <w:p>
            <w:pPr>
              <w:jc w:val="center"/>
              <w:spacing w:after="0"/>
              <w:rPr>
                <w:sz w:val="20"/>
                <w:szCs w:val="20"/>
                <w:color w:val="auto"/>
              </w:rPr>
            </w:pPr>
            <w:r>
              <w:rPr>
                <w:rFonts w:ascii="Arial" w:cs="Arial" w:eastAsia="Arial" w:hAnsi="Arial"/>
                <w:sz w:val="13"/>
                <w:szCs w:val="13"/>
                <w:color w:val="0E191E"/>
              </w:rPr>
              <w:t>113.5</w:t>
            </w:r>
          </w:p>
        </w:tc>
        <w:tc>
          <w:tcPr>
            <w:tcW w:w="1760" w:type="dxa"/>
            <w:vAlign w:val="bottom"/>
          </w:tcPr>
          <w:p>
            <w:pPr>
              <w:jc w:val="right"/>
              <w:ind w:right="93"/>
              <w:spacing w:after="0"/>
              <w:rPr>
                <w:sz w:val="20"/>
                <w:szCs w:val="20"/>
                <w:color w:val="auto"/>
              </w:rPr>
            </w:pPr>
            <w:r>
              <w:rPr>
                <w:rFonts w:ascii="Arial" w:cs="Arial" w:eastAsia="Arial" w:hAnsi="Arial"/>
                <w:sz w:val="13"/>
                <w:szCs w:val="13"/>
                <w:color w:val="0E191E"/>
              </w:rPr>
              <w:t>344,756</w:t>
            </w:r>
          </w:p>
        </w:tc>
      </w:tr>
      <w:tr>
        <w:trPr>
          <w:trHeight w:val="28"/>
        </w:trPr>
        <w:tc>
          <w:tcPr>
            <w:tcW w:w="35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96"/>
        </w:trPr>
        <w:tc>
          <w:tcPr>
            <w:tcW w:w="3540" w:type="dxa"/>
            <w:vAlign w:val="bottom"/>
            <w:tcBorders>
              <w:bottom w:val="single" w:sz="8" w:color="E5F1F5"/>
            </w:tcBorders>
            <w:shd w:val="clear" w:color="auto" w:fill="E5F1F5"/>
          </w:tcPr>
          <w:p>
            <w:pPr>
              <w:ind w:left="100"/>
              <w:spacing w:after="0"/>
              <w:rPr>
                <w:sz w:val="20"/>
                <w:szCs w:val="20"/>
                <w:color w:val="auto"/>
              </w:rPr>
            </w:pPr>
            <w:r>
              <w:rPr>
                <w:rFonts w:ascii="Arial" w:cs="Arial" w:eastAsia="Arial" w:hAnsi="Arial"/>
                <w:sz w:val="13"/>
                <w:szCs w:val="13"/>
                <w:b w:val="1"/>
                <w:bCs w:val="1"/>
                <w:color w:val="0E191E"/>
              </w:rPr>
              <w:t>Winston King</w:t>
            </w:r>
          </w:p>
        </w:tc>
        <w:tc>
          <w:tcPr>
            <w:tcW w:w="3200" w:type="dxa"/>
            <w:vAlign w:val="bottom"/>
            <w:tcBorders>
              <w:bottom w:val="single" w:sz="8" w:color="E5F1F5"/>
            </w:tcBorders>
            <w:shd w:val="clear" w:color="auto" w:fill="E5F1F5"/>
          </w:tcPr>
          <w:p>
            <w:pPr>
              <w:jc w:val="center"/>
              <w:ind w:left="253"/>
              <w:spacing w:after="0"/>
              <w:rPr>
                <w:sz w:val="20"/>
                <w:szCs w:val="20"/>
                <w:color w:val="auto"/>
              </w:rPr>
            </w:pPr>
            <w:r>
              <w:rPr>
                <w:rFonts w:ascii="Arial" w:cs="Arial" w:eastAsia="Arial" w:hAnsi="Arial"/>
                <w:sz w:val="13"/>
                <w:szCs w:val="13"/>
                <w:color w:val="0E191E"/>
              </w:rPr>
              <w:t>50</w:t>
            </w:r>
          </w:p>
        </w:tc>
        <w:tc>
          <w:tcPr>
            <w:tcW w:w="2740" w:type="dxa"/>
            <w:vAlign w:val="bottom"/>
            <w:tcBorders>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rPr>
              <w:t>113.5</w:t>
            </w:r>
          </w:p>
        </w:tc>
        <w:tc>
          <w:tcPr>
            <w:tcW w:w="1760" w:type="dxa"/>
            <w:vAlign w:val="bottom"/>
            <w:tcBorders>
              <w:bottom w:val="single" w:sz="8" w:color="E5F1F5"/>
            </w:tcBorders>
            <w:shd w:val="clear" w:color="auto" w:fill="E5F1F5"/>
          </w:tcPr>
          <w:p>
            <w:pPr>
              <w:jc w:val="right"/>
              <w:ind w:right="93"/>
              <w:spacing w:after="0"/>
              <w:rPr>
                <w:sz w:val="20"/>
                <w:szCs w:val="20"/>
                <w:color w:val="auto"/>
              </w:rPr>
            </w:pPr>
            <w:r>
              <w:rPr>
                <w:rFonts w:ascii="Arial" w:cs="Arial" w:eastAsia="Arial" w:hAnsi="Arial"/>
                <w:sz w:val="13"/>
                <w:szCs w:val="13"/>
                <w:color w:val="0E191E"/>
              </w:rPr>
              <w:t>198,625</w:t>
            </w:r>
          </w:p>
        </w:tc>
      </w:tr>
      <w:tr>
        <w:trPr>
          <w:trHeight w:val="188"/>
        </w:trPr>
        <w:tc>
          <w:tcPr>
            <w:tcW w:w="3540" w:type="dxa"/>
            <w:vAlign w:val="bottom"/>
          </w:tcPr>
          <w:p>
            <w:pPr>
              <w:ind w:left="100"/>
              <w:spacing w:after="0"/>
              <w:rPr>
                <w:sz w:val="20"/>
                <w:szCs w:val="20"/>
                <w:color w:val="auto"/>
              </w:rPr>
            </w:pPr>
            <w:r>
              <w:rPr>
                <w:rFonts w:ascii="Arial" w:cs="Arial" w:eastAsia="Arial" w:hAnsi="Arial"/>
                <w:sz w:val="13"/>
                <w:szCs w:val="13"/>
                <w:b w:val="1"/>
                <w:bCs w:val="1"/>
                <w:color w:val="0E191E"/>
              </w:rPr>
              <w:t>Frank O’Dowd</w:t>
            </w:r>
          </w:p>
        </w:tc>
        <w:tc>
          <w:tcPr>
            <w:tcW w:w="3200" w:type="dxa"/>
            <w:vAlign w:val="bottom"/>
          </w:tcPr>
          <w:p>
            <w:pPr>
              <w:jc w:val="center"/>
              <w:ind w:left="253"/>
              <w:spacing w:after="0"/>
              <w:rPr>
                <w:sz w:val="20"/>
                <w:szCs w:val="20"/>
                <w:color w:val="auto"/>
              </w:rPr>
            </w:pPr>
            <w:r>
              <w:rPr>
                <w:rFonts w:ascii="Arial" w:cs="Arial" w:eastAsia="Arial" w:hAnsi="Arial"/>
                <w:sz w:val="13"/>
                <w:szCs w:val="13"/>
                <w:color w:val="0E191E"/>
              </w:rPr>
              <w:t>61</w:t>
            </w:r>
          </w:p>
        </w:tc>
        <w:tc>
          <w:tcPr>
            <w:tcW w:w="2740" w:type="dxa"/>
            <w:vAlign w:val="bottom"/>
          </w:tcPr>
          <w:p>
            <w:pPr>
              <w:jc w:val="center"/>
              <w:spacing w:after="0"/>
              <w:rPr>
                <w:sz w:val="20"/>
                <w:szCs w:val="20"/>
                <w:color w:val="auto"/>
              </w:rPr>
            </w:pPr>
            <w:r>
              <w:rPr>
                <w:rFonts w:ascii="Arial" w:cs="Arial" w:eastAsia="Arial" w:hAnsi="Arial"/>
                <w:sz w:val="13"/>
                <w:szCs w:val="13"/>
                <w:color w:val="0E191E"/>
              </w:rPr>
              <w:t>113.5</w:t>
            </w:r>
          </w:p>
        </w:tc>
        <w:tc>
          <w:tcPr>
            <w:tcW w:w="1760" w:type="dxa"/>
            <w:vAlign w:val="bottom"/>
          </w:tcPr>
          <w:p>
            <w:pPr>
              <w:jc w:val="right"/>
              <w:ind w:right="93"/>
              <w:spacing w:after="0"/>
              <w:rPr>
                <w:sz w:val="20"/>
                <w:szCs w:val="20"/>
                <w:color w:val="auto"/>
              </w:rPr>
            </w:pPr>
            <w:r>
              <w:rPr>
                <w:rFonts w:ascii="Arial" w:cs="Arial" w:eastAsia="Arial" w:hAnsi="Arial"/>
                <w:sz w:val="13"/>
                <w:szCs w:val="13"/>
                <w:color w:val="0E191E"/>
              </w:rPr>
              <w:t>294,533</w:t>
            </w:r>
          </w:p>
        </w:tc>
      </w:tr>
      <w:tr>
        <w:trPr>
          <w:trHeight w:val="28"/>
        </w:trPr>
        <w:tc>
          <w:tcPr>
            <w:tcW w:w="35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0E191E"/>
        </w:rPr>
        <w:t>These bonuses to the Named Executive Officers for fiscal year 2021 were paid in fiscal year 2022, in accordance with normal Company practice.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1EB7DF"/>
        </w:rPr>
        <w:t>Sales Plan</w:t>
      </w:r>
    </w:p>
    <w:p>
      <w:pPr>
        <w:spacing w:after="0" w:line="47" w:lineRule="exact"/>
        <w:rPr>
          <w:sz w:val="20"/>
          <w:szCs w:val="20"/>
          <w:color w:val="auto"/>
        </w:rPr>
      </w:pPr>
    </w:p>
    <w:p>
      <w:pPr>
        <w:spacing w:after="0" w:line="304" w:lineRule="auto"/>
        <w:rPr>
          <w:sz w:val="20"/>
          <w:szCs w:val="20"/>
          <w:color w:val="auto"/>
        </w:rPr>
      </w:pPr>
      <w:r>
        <w:rPr>
          <w:rFonts w:ascii="Arial" w:cs="Arial" w:eastAsia="Arial" w:hAnsi="Arial"/>
          <w:sz w:val="15"/>
          <w:szCs w:val="15"/>
          <w:color w:val="0E191E"/>
        </w:rPr>
        <w:t>Because Mr. O'Dowd’s responsibilities are focused on the sale of our products, the Compensation Committee determined that it would be equally important for Mr. O'Dowd to participate in both the Sales Plan, with terms that correspond to the results achieved by his sales team, as well as in the Bonus Plan described above. 50% of Mr. O’Dowd’s Target Bonus/Commission Opportunity was pursuant to the Sales Plan. Mr. O'Dowd therefore earned commissions based on his team’s (i) attainment of bookings quotas and (ii) attainment of the company's corporate bonus based on company performance and alignment with ARR. The commission and corporate bonus target for Mr. O'Dowd was determined by the Compensation Committee based in part on the recommendations of our CEO.</w:t>
      </w:r>
    </w:p>
    <w:p>
      <w:pPr>
        <w:spacing w:after="0" w:line="150"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0E191E"/>
        </w:rPr>
        <w:t>Mr. O'Dowd’s commission target was based on the attainment of his sales team’s bookings quota. If 100% or less of the target bookings quota was met, then Mr. O'Dowd's commission payout percentage of target would equal the actual bookings percentage achieved of the target. If greater than 100%, but less than or equal to 110% of the target bookings quota was achieved, then Mr. O'Dowd would be paid one percentage point for each incremental one percentage point above the bookings</w:t>
      </w:r>
    </w:p>
    <w:p>
      <w:pPr>
        <w:spacing w:after="0" w:line="200" w:lineRule="exact"/>
        <w:rPr>
          <w:sz w:val="20"/>
          <w:szCs w:val="20"/>
          <w:color w:val="auto"/>
        </w:rPr>
      </w:pPr>
    </w:p>
    <w:p>
      <w:pPr>
        <w:spacing w:after="0" w:line="361"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41</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5" w:name="page46"/>
    <w:bookmarkEnd w:id="45"/>
    <w:p>
      <w:pPr>
        <w:ind w:right="160"/>
        <w:spacing w:after="0" w:line="317" w:lineRule="auto"/>
        <w:rPr>
          <w:sz w:val="20"/>
          <w:szCs w:val="20"/>
          <w:color w:val="auto"/>
        </w:rPr>
      </w:pPr>
      <w:r>
        <w:rPr>
          <w:rFonts w:ascii="Arial" w:cs="Arial" w:eastAsia="Arial" w:hAnsi="Arial"/>
          <w:sz w:val="15"/>
          <w:szCs w:val="15"/>
          <w:color w:val="0E191E"/>
        </w:rPr>
        <w:t>target. If greater than 110% of the target bookings quota was achieved, then Mr. O'Dowd would be paid 1.3 percentage points for each incremental one percentage point above 110% of the bookings target.</w:t>
      </w:r>
    </w:p>
    <w:p>
      <w:pPr>
        <w:spacing w:after="0" w:line="138"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0E191E"/>
        </w:rPr>
        <w:t>For fiscal year 2021, Mr. O'Dowd was deemed to have earned an amount equal to $238,793 based on his sales team’s attainment of bookings quotas and attainment of bookings quotas related to specific Company products for such year, as well as the Company's achievement of the ARR growth target. Mr. O'Dowd’s sales commissions for bookings are paid on a monthly basis.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00739D"/>
        </w:rPr>
        <w:t>Equity Compensation</w:t>
      </w:r>
    </w:p>
    <w:p>
      <w:pPr>
        <w:spacing w:after="0" w:line="62" w:lineRule="exact"/>
        <w:rPr>
          <w:sz w:val="20"/>
          <w:szCs w:val="20"/>
          <w:color w:val="auto"/>
        </w:rPr>
      </w:pPr>
    </w:p>
    <w:p>
      <w:pPr>
        <w:ind w:right="300"/>
        <w:spacing w:after="0" w:line="317" w:lineRule="auto"/>
        <w:rPr>
          <w:sz w:val="20"/>
          <w:szCs w:val="20"/>
          <w:color w:val="auto"/>
        </w:rPr>
      </w:pPr>
      <w:r>
        <w:rPr>
          <w:rFonts w:ascii="Arial" w:cs="Arial" w:eastAsia="Arial" w:hAnsi="Arial"/>
          <w:sz w:val="15"/>
          <w:szCs w:val="15"/>
          <w:color w:val="0E191E"/>
        </w:rPr>
        <w:t>We use equity awards to incentivize and reward our executive officers, including the Named Executive Officers, for long-term corporate performance based on the value of our common stock and, thereby, to align their interests with those of our stockholders.</w:t>
      </w:r>
    </w:p>
    <w:p>
      <w:pPr>
        <w:spacing w:after="0" w:line="138"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0E191E"/>
        </w:rPr>
        <w:t>For the past few years prior to fiscal year 2021, we used Performance-Vesting RSUs, TSR RSUs, and Time-Vesting RSUs as our equity award vehicles. For fiscal year 2021, in consultation with Radford, we decided to transition to a long-term incentive program providing for only Performance-Vesting RSUs and Time-Vesting RSUs, with Performance-Vesting RSUs focusing mainly on ARR, as we determined that ARR was a key metric for the Company and a more appropriate metric to align and drive performance than TSR in light of our cloud transition. We believed that for fiscal 2021, Performance-Vesting RSUs and Time-Vesting RSUs provided a strong retention incentive for our executive officers, provided a moderate reward for growth in the market price of our common stock, and were less dilutive to our stockholders. Our equity award vehicles provide a strong incentive for our executive officers to remain employed with the Company as they require continued employment through the vesting period.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1EB7DF"/>
        </w:rPr>
        <w:t>Time-Vesting RSUs</w:t>
      </w:r>
    </w:p>
    <w:p>
      <w:pPr>
        <w:spacing w:after="0" w:line="47" w:lineRule="exact"/>
        <w:rPr>
          <w:sz w:val="20"/>
          <w:szCs w:val="20"/>
          <w:color w:val="auto"/>
        </w:rPr>
      </w:pPr>
    </w:p>
    <w:p>
      <w:pPr>
        <w:jc w:val="both"/>
        <w:ind w:right="320"/>
        <w:spacing w:after="0" w:line="306" w:lineRule="auto"/>
        <w:rPr>
          <w:sz w:val="20"/>
          <w:szCs w:val="20"/>
          <w:color w:val="auto"/>
        </w:rPr>
      </w:pPr>
      <w:r>
        <w:rPr>
          <w:rFonts w:ascii="Arial" w:cs="Arial" w:eastAsia="Arial" w:hAnsi="Arial"/>
          <w:sz w:val="15"/>
          <w:szCs w:val="15"/>
          <w:color w:val="0E191E"/>
        </w:rPr>
        <w:t>We have granted our Named Executive Officers Performance-Vesting RSUs as well as Time-Vesting RSUs. Time-Vesting RSUs generally vest quarterly over four years (except that for new hires, 25% of their Time-Vesting RSUs cliff vest on the first anniversary of the vesting commencement date, with the remaining portion vesting in equal quarterly installments over the three years thereafter), subject to an equity award holder’s continued employment through each applicable vesting 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1EB7DF"/>
        </w:rPr>
        <w:t>Performance-Vesting RSUs</w:t>
      </w:r>
    </w:p>
    <w:p>
      <w:pPr>
        <w:spacing w:after="0" w:line="47"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0E191E"/>
        </w:rPr>
        <w:t>50% of the Performance-Vesting RSUs vest based on the satisfaction of both a three-year time condition and a one-year performance condition (the "First Tranche Performance-Vesting RSUs"). Assuming the applicable performance conditions are met, the First Tranche Performance-Vesting RSUs vest over three years with 33 1/3% of the earned amount cliff vesting on the first anniversary of the vesting commencement date, with the remaining portion vesting in equal annual installments over the two years thereafter. For the First Tranche Performance-Vesting RSUs, the performance condition for fiscal year 2021 (the “FY 21 Performance Condition”) was tied to the achievement of fiscal year 2021 ARR, measured on a constant currency basis using July 31, 2020 exchange rates. For the ARR target: (i) at the threshold ARR amount, the number of First Tranche Performance-Vesting RSUs eligible to vest would equal the target number of First Tranche Performance-Vesting RSUs (i.e., 50% of the target number of Performance-Vesting RSUs) multiplied by 50%; (ii) at the target ARR amount, the number of First Tranche Performance-Vesting RSUs eligible to vest would equal the target number of First Tranche Performance-Vesting RSUs multiplied by 100%; and (iii) at or above the maximum ARR amount, the number of First Tranche Performance-Vesting RSUs eligible to vest would equal the target number of First Tranche Performance-Vesting RSUs multiplied by 150%. If the ARR threshold is not attained, then none of the First Tranche Performance-Vesting RSUs would be eligible to vest. In addition, if our ARR amount exceeds the maximum ARR amount, then the number of First Tranche Performance-Vesting RSUs earned would still be capped at 150% of target. For fiscal year 2021, the Company was determined to have achieved an ARR amount in excess of the target amount, which resulted in 104.3% of the target number of First Tranche Performance-Vesting RSUs vesting in relation to FY 21 Performance Condition achievement. 33 1/3% of these earned First Tranche Performance-Vesting RSUs vested on the first anniversary of the vesting commencement date and the remainder will time-vest in equal annual installments over the next two years subject to the holder’s continued employment with us. The applicable goals for the FY 21 Performance Conditions for the First Tranche Performance-Vesting RSUs were: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60" w:type="dxa"/>
            <w:vAlign w:val="bottom"/>
            <w:shd w:val="clear" w:color="auto" w:fill="00739D"/>
          </w:tcPr>
          <w:p>
            <w:pPr>
              <w:spacing w:after="0"/>
              <w:rPr>
                <w:sz w:val="14"/>
                <w:szCs w:val="14"/>
                <w:color w:val="auto"/>
              </w:rPr>
            </w:pPr>
          </w:p>
        </w:tc>
        <w:tc>
          <w:tcPr>
            <w:tcW w:w="2020" w:type="dxa"/>
            <w:vAlign w:val="bottom"/>
            <w:shd w:val="clear" w:color="auto" w:fill="00739D"/>
          </w:tcPr>
          <w:p>
            <w:pPr>
              <w:ind w:left="460"/>
              <w:spacing w:after="0"/>
              <w:rPr>
                <w:sz w:val="20"/>
                <w:szCs w:val="20"/>
                <w:color w:val="auto"/>
              </w:rPr>
            </w:pPr>
            <w:r>
              <w:rPr>
                <w:rFonts w:ascii="Arial" w:cs="Arial" w:eastAsia="Arial" w:hAnsi="Arial"/>
                <w:sz w:val="13"/>
                <w:szCs w:val="13"/>
                <w:b w:val="1"/>
                <w:bCs w:val="1"/>
                <w:color w:val="FFFFFF"/>
              </w:rPr>
              <w:t>Threshold (50%)</w:t>
            </w:r>
          </w:p>
        </w:tc>
        <w:tc>
          <w:tcPr>
            <w:tcW w:w="1860" w:type="dxa"/>
            <w:vAlign w:val="bottom"/>
            <w:shd w:val="clear" w:color="auto" w:fill="00739D"/>
          </w:tcPr>
          <w:p>
            <w:pPr>
              <w:ind w:left="480"/>
              <w:spacing w:after="0"/>
              <w:rPr>
                <w:sz w:val="20"/>
                <w:szCs w:val="20"/>
                <w:color w:val="auto"/>
              </w:rPr>
            </w:pPr>
            <w:r>
              <w:rPr>
                <w:rFonts w:ascii="Arial" w:cs="Arial" w:eastAsia="Arial" w:hAnsi="Arial"/>
                <w:sz w:val="13"/>
                <w:szCs w:val="13"/>
                <w:b w:val="1"/>
                <w:bCs w:val="1"/>
                <w:color w:val="FFFFFF"/>
              </w:rPr>
              <w:t>Target (100%)</w:t>
            </w:r>
          </w:p>
        </w:tc>
        <w:tc>
          <w:tcPr>
            <w:tcW w:w="1980" w:type="dxa"/>
            <w:vAlign w:val="bottom"/>
            <w:shd w:val="clear" w:color="auto" w:fill="00739D"/>
          </w:tcPr>
          <w:p>
            <w:pPr>
              <w:ind w:left="500"/>
              <w:spacing w:after="0"/>
              <w:rPr>
                <w:sz w:val="20"/>
                <w:szCs w:val="20"/>
                <w:color w:val="auto"/>
              </w:rPr>
            </w:pPr>
            <w:r>
              <w:rPr>
                <w:rFonts w:ascii="Arial" w:cs="Arial" w:eastAsia="Arial" w:hAnsi="Arial"/>
                <w:sz w:val="13"/>
                <w:szCs w:val="13"/>
                <w:b w:val="1"/>
                <w:bCs w:val="1"/>
                <w:color w:val="FFFFFF"/>
              </w:rPr>
              <w:t>Maximum (150%)</w:t>
            </w:r>
          </w:p>
        </w:tc>
        <w:tc>
          <w:tcPr>
            <w:tcW w:w="2020" w:type="dxa"/>
            <w:vAlign w:val="bottom"/>
            <w:shd w:val="clear" w:color="auto" w:fill="00739D"/>
          </w:tcPr>
          <w:p>
            <w:pPr>
              <w:ind w:left="400"/>
              <w:spacing w:after="0"/>
              <w:rPr>
                <w:sz w:val="20"/>
                <w:szCs w:val="20"/>
                <w:color w:val="auto"/>
              </w:rPr>
            </w:pPr>
            <w:r>
              <w:rPr>
                <w:rFonts w:ascii="Arial" w:cs="Arial" w:eastAsia="Arial" w:hAnsi="Arial"/>
                <w:sz w:val="13"/>
                <w:szCs w:val="13"/>
                <w:b w:val="1"/>
                <w:bCs w:val="1"/>
                <w:color w:val="FFFFFF"/>
              </w:rPr>
              <w:t>Actual Performance</w:t>
            </w:r>
          </w:p>
        </w:tc>
      </w:tr>
      <w:tr>
        <w:trPr>
          <w:trHeight w:val="178"/>
        </w:trPr>
        <w:tc>
          <w:tcPr>
            <w:tcW w:w="3360" w:type="dxa"/>
            <w:vAlign w:val="bottom"/>
            <w:shd w:val="clear" w:color="auto" w:fill="00739D"/>
          </w:tcPr>
          <w:p>
            <w:pPr>
              <w:spacing w:after="0"/>
              <w:rPr>
                <w:sz w:val="15"/>
                <w:szCs w:val="15"/>
                <w:color w:val="auto"/>
              </w:rPr>
            </w:pPr>
          </w:p>
        </w:tc>
        <w:tc>
          <w:tcPr>
            <w:tcW w:w="2020" w:type="dxa"/>
            <w:vAlign w:val="bottom"/>
            <w:shd w:val="clear" w:color="auto" w:fill="00739D"/>
          </w:tcPr>
          <w:p>
            <w:pPr>
              <w:jc w:val="right"/>
              <w:ind w:right="873"/>
              <w:spacing w:after="0"/>
              <w:rPr>
                <w:sz w:val="20"/>
                <w:szCs w:val="20"/>
                <w:color w:val="auto"/>
              </w:rPr>
            </w:pPr>
            <w:r>
              <w:rPr>
                <w:rFonts w:ascii="Arial" w:cs="Arial" w:eastAsia="Arial" w:hAnsi="Arial"/>
                <w:sz w:val="13"/>
                <w:szCs w:val="13"/>
                <w:b w:val="1"/>
                <w:bCs w:val="1"/>
                <w:color w:val="FFFFFF"/>
              </w:rPr>
              <w:t>($)</w:t>
            </w:r>
          </w:p>
        </w:tc>
        <w:tc>
          <w:tcPr>
            <w:tcW w:w="1860" w:type="dxa"/>
            <w:vAlign w:val="bottom"/>
            <w:shd w:val="clear" w:color="auto" w:fill="00739D"/>
          </w:tcPr>
          <w:p>
            <w:pPr>
              <w:jc w:val="right"/>
              <w:ind w:right="793"/>
              <w:spacing w:after="0"/>
              <w:rPr>
                <w:sz w:val="20"/>
                <w:szCs w:val="20"/>
                <w:color w:val="auto"/>
              </w:rPr>
            </w:pPr>
            <w:r>
              <w:rPr>
                <w:rFonts w:ascii="Arial" w:cs="Arial" w:eastAsia="Arial" w:hAnsi="Arial"/>
                <w:sz w:val="13"/>
                <w:szCs w:val="13"/>
                <w:b w:val="1"/>
                <w:bCs w:val="1"/>
                <w:color w:val="FFFFFF"/>
              </w:rPr>
              <w:t>($)</w:t>
            </w:r>
          </w:p>
        </w:tc>
        <w:tc>
          <w:tcPr>
            <w:tcW w:w="1980" w:type="dxa"/>
            <w:vAlign w:val="bottom"/>
            <w:shd w:val="clear" w:color="auto" w:fill="00739D"/>
          </w:tcPr>
          <w:p>
            <w:pPr>
              <w:jc w:val="right"/>
              <w:ind w:right="793"/>
              <w:spacing w:after="0"/>
              <w:rPr>
                <w:sz w:val="20"/>
                <w:szCs w:val="20"/>
                <w:color w:val="auto"/>
              </w:rPr>
            </w:pPr>
            <w:r>
              <w:rPr>
                <w:rFonts w:ascii="Arial" w:cs="Arial" w:eastAsia="Arial" w:hAnsi="Arial"/>
                <w:sz w:val="13"/>
                <w:szCs w:val="13"/>
                <w:b w:val="1"/>
                <w:bCs w:val="1"/>
                <w:color w:val="FFFFFF"/>
              </w:rPr>
              <w:t>($)</w:t>
            </w:r>
          </w:p>
        </w:tc>
        <w:tc>
          <w:tcPr>
            <w:tcW w:w="2020" w:type="dxa"/>
            <w:vAlign w:val="bottom"/>
            <w:shd w:val="clear" w:color="auto" w:fill="00739D"/>
          </w:tcPr>
          <w:p>
            <w:pPr>
              <w:jc w:val="right"/>
              <w:ind w:right="833"/>
              <w:spacing w:after="0"/>
              <w:rPr>
                <w:sz w:val="20"/>
                <w:szCs w:val="20"/>
                <w:color w:val="auto"/>
              </w:rPr>
            </w:pPr>
            <w:r>
              <w:rPr>
                <w:rFonts w:ascii="Arial" w:cs="Arial" w:eastAsia="Arial" w:hAnsi="Arial"/>
                <w:sz w:val="13"/>
                <w:szCs w:val="13"/>
                <w:b w:val="1"/>
                <w:bCs w:val="1"/>
                <w:color w:val="FFFFFF"/>
              </w:rPr>
              <w:t>($)</w:t>
            </w:r>
          </w:p>
        </w:tc>
      </w:tr>
      <w:tr>
        <w:trPr>
          <w:trHeight w:val="122"/>
        </w:trPr>
        <w:tc>
          <w:tcPr>
            <w:tcW w:w="3360" w:type="dxa"/>
            <w:vAlign w:val="bottom"/>
            <w:shd w:val="clear" w:color="auto" w:fill="00739D"/>
          </w:tcPr>
          <w:p>
            <w:pPr>
              <w:spacing w:after="0"/>
              <w:rPr>
                <w:sz w:val="10"/>
                <w:szCs w:val="10"/>
                <w:color w:val="auto"/>
              </w:rPr>
            </w:pPr>
          </w:p>
        </w:tc>
        <w:tc>
          <w:tcPr>
            <w:tcW w:w="2020" w:type="dxa"/>
            <w:vAlign w:val="bottom"/>
            <w:shd w:val="clear" w:color="auto" w:fill="00739D"/>
          </w:tcPr>
          <w:p>
            <w:pPr>
              <w:spacing w:after="0"/>
              <w:rPr>
                <w:sz w:val="10"/>
                <w:szCs w:val="10"/>
                <w:color w:val="auto"/>
              </w:rPr>
            </w:pPr>
          </w:p>
        </w:tc>
        <w:tc>
          <w:tcPr>
            <w:tcW w:w="1860" w:type="dxa"/>
            <w:vAlign w:val="bottom"/>
            <w:shd w:val="clear" w:color="auto" w:fill="00739D"/>
          </w:tcPr>
          <w:p>
            <w:pPr>
              <w:spacing w:after="0"/>
              <w:rPr>
                <w:sz w:val="10"/>
                <w:szCs w:val="10"/>
                <w:color w:val="auto"/>
              </w:rPr>
            </w:pPr>
          </w:p>
        </w:tc>
        <w:tc>
          <w:tcPr>
            <w:tcW w:w="1980" w:type="dxa"/>
            <w:vAlign w:val="bottom"/>
            <w:shd w:val="clear" w:color="auto" w:fill="00739D"/>
          </w:tcPr>
          <w:p>
            <w:pPr>
              <w:spacing w:after="0"/>
              <w:rPr>
                <w:sz w:val="10"/>
                <w:szCs w:val="10"/>
                <w:color w:val="auto"/>
              </w:rPr>
            </w:pPr>
          </w:p>
        </w:tc>
        <w:tc>
          <w:tcPr>
            <w:tcW w:w="2020" w:type="dxa"/>
            <w:vAlign w:val="bottom"/>
            <w:shd w:val="clear" w:color="auto" w:fill="00739D"/>
          </w:tcPr>
          <w:p>
            <w:pPr>
              <w:spacing w:after="0"/>
              <w:rPr>
                <w:sz w:val="10"/>
                <w:szCs w:val="10"/>
                <w:color w:val="auto"/>
              </w:rPr>
            </w:pPr>
          </w:p>
        </w:tc>
      </w:tr>
      <w:tr>
        <w:trPr>
          <w:trHeight w:val="189"/>
        </w:trPr>
        <w:tc>
          <w:tcPr>
            <w:tcW w:w="3360" w:type="dxa"/>
            <w:vAlign w:val="bottom"/>
          </w:tcPr>
          <w:p>
            <w:pPr>
              <w:ind w:left="180"/>
              <w:spacing w:after="0"/>
              <w:rPr>
                <w:sz w:val="20"/>
                <w:szCs w:val="20"/>
                <w:color w:val="auto"/>
              </w:rPr>
            </w:pPr>
            <w:r>
              <w:rPr>
                <w:rFonts w:ascii="Arial" w:cs="Arial" w:eastAsia="Arial" w:hAnsi="Arial"/>
                <w:sz w:val="13"/>
                <w:szCs w:val="13"/>
                <w:b w:val="1"/>
                <w:bCs w:val="1"/>
                <w:color w:val="0E191E"/>
              </w:rPr>
              <w:t>ARR*</w:t>
            </w:r>
          </w:p>
        </w:tc>
        <w:tc>
          <w:tcPr>
            <w:tcW w:w="2020" w:type="dxa"/>
            <w:vAlign w:val="bottom"/>
          </w:tcPr>
          <w:p>
            <w:pPr>
              <w:jc w:val="center"/>
              <w:spacing w:after="0"/>
              <w:rPr>
                <w:sz w:val="20"/>
                <w:szCs w:val="20"/>
                <w:color w:val="auto"/>
              </w:rPr>
            </w:pPr>
            <w:r>
              <w:rPr>
                <w:rFonts w:ascii="Arial" w:cs="Arial" w:eastAsia="Arial" w:hAnsi="Arial"/>
                <w:sz w:val="13"/>
                <w:szCs w:val="13"/>
                <w:color w:val="0E191E"/>
              </w:rPr>
              <w:t>540M</w:t>
            </w:r>
          </w:p>
        </w:tc>
        <w:tc>
          <w:tcPr>
            <w:tcW w:w="1860" w:type="dxa"/>
            <w:vAlign w:val="bottom"/>
          </w:tcPr>
          <w:p>
            <w:pPr>
              <w:jc w:val="center"/>
              <w:spacing w:after="0"/>
              <w:rPr>
                <w:sz w:val="20"/>
                <w:szCs w:val="20"/>
                <w:color w:val="auto"/>
              </w:rPr>
            </w:pPr>
            <w:r>
              <w:rPr>
                <w:rFonts w:ascii="Arial" w:cs="Arial" w:eastAsia="Arial" w:hAnsi="Arial"/>
                <w:sz w:val="13"/>
                <w:szCs w:val="13"/>
                <w:color w:val="0E191E"/>
              </w:rPr>
              <w:t>571M</w:t>
            </w:r>
          </w:p>
        </w:tc>
        <w:tc>
          <w:tcPr>
            <w:tcW w:w="1980" w:type="dxa"/>
            <w:vAlign w:val="bottom"/>
          </w:tcPr>
          <w:p>
            <w:pPr>
              <w:jc w:val="center"/>
              <w:ind w:left="53"/>
              <w:spacing w:after="0"/>
              <w:rPr>
                <w:sz w:val="20"/>
                <w:szCs w:val="20"/>
                <w:color w:val="auto"/>
              </w:rPr>
            </w:pPr>
            <w:r>
              <w:rPr>
                <w:rFonts w:ascii="Arial" w:cs="Arial" w:eastAsia="Arial" w:hAnsi="Arial"/>
                <w:sz w:val="13"/>
                <w:szCs w:val="13"/>
                <w:color w:val="0E191E"/>
              </w:rPr>
              <w:t>614M</w:t>
            </w:r>
          </w:p>
        </w:tc>
        <w:tc>
          <w:tcPr>
            <w:tcW w:w="2020" w:type="dxa"/>
            <w:vAlign w:val="bottom"/>
          </w:tcPr>
          <w:p>
            <w:pPr>
              <w:jc w:val="center"/>
              <w:ind w:left="13"/>
              <w:spacing w:after="0"/>
              <w:rPr>
                <w:sz w:val="20"/>
                <w:szCs w:val="20"/>
                <w:color w:val="auto"/>
              </w:rPr>
            </w:pPr>
            <w:r>
              <w:rPr>
                <w:rFonts w:ascii="Arial" w:cs="Arial" w:eastAsia="Arial" w:hAnsi="Arial"/>
                <w:sz w:val="13"/>
                <w:szCs w:val="13"/>
                <w:color w:val="0E191E"/>
              </w:rPr>
              <w:t>575M</w:t>
            </w:r>
          </w:p>
        </w:tc>
      </w:tr>
      <w:tr>
        <w:trPr>
          <w:trHeight w:val="28"/>
        </w:trPr>
        <w:tc>
          <w:tcPr>
            <w:tcW w:w="3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0E191E"/>
        </w:rPr>
        <w:t>*ARR is calculated on a constant currency basis per exchange rates at July 31, 2020.</w:t>
      </w:r>
    </w:p>
    <w:p>
      <w:pPr>
        <w:spacing w:after="0" w:line="242"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42</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1" w:right="339" w:bottom="1440" w:gutter="0" w:footer="0" w:header="0"/>
        </w:sectPr>
      </w:pPr>
    </w:p>
    <w:bookmarkStart w:id="46" w:name="page47"/>
    <w:bookmarkEnd w:id="46"/>
    <w:p>
      <w:pPr>
        <w:ind w:right="20"/>
        <w:spacing w:after="0" w:line="300" w:lineRule="auto"/>
        <w:rPr>
          <w:sz w:val="20"/>
          <w:szCs w:val="20"/>
          <w:color w:val="auto"/>
        </w:rPr>
      </w:pPr>
      <w:r>
        <w:rPr>
          <w:rFonts w:ascii="Arial" w:cs="Arial" w:eastAsia="Arial" w:hAnsi="Arial"/>
          <w:sz w:val="15"/>
          <w:szCs w:val="15"/>
          <w:color w:val="0E191E"/>
        </w:rPr>
        <w:t>50% of the Performance-Vesting RSUs vest based on the satisfaction of both a three-year time condition and a three-year performance condition (the “Second Tranche Performance-Vesting RSUs”). Assuming the applicable performance conditions are met, the Second Tranche Performance-Vesting RSUs will cliff vest at such time, subject to the holder’s continued employment with us. For the Second Tranche Performance-Vesting RSUs, the performance condition (the “FY 23 Performance Condition”) was tied to the achievement of FY 23 ARR, measured on a constant currency basis using July 31, 2020 exchange rates. For the ARR target:</w:t>
      </w:r>
    </w:p>
    <w:p>
      <w:pPr>
        <w:spacing w:after="0" w:line="2" w:lineRule="exact"/>
        <w:rPr>
          <w:sz w:val="20"/>
          <w:szCs w:val="20"/>
          <w:color w:val="auto"/>
        </w:rPr>
      </w:pPr>
    </w:p>
    <w:p>
      <w:pPr>
        <w:ind w:right="140" w:firstLine="8"/>
        <w:spacing w:after="0" w:line="303" w:lineRule="auto"/>
        <w:tabs>
          <w:tab w:leader="none" w:pos="178" w:val="left"/>
        </w:tabs>
        <w:numPr>
          <w:ilvl w:val="0"/>
          <w:numId w:val="27"/>
        </w:numPr>
        <w:rPr>
          <w:rFonts w:ascii="Arial" w:cs="Arial" w:eastAsia="Arial" w:hAnsi="Arial"/>
          <w:sz w:val="15"/>
          <w:szCs w:val="15"/>
          <w:color w:val="0E191E"/>
        </w:rPr>
      </w:pPr>
      <w:r>
        <w:rPr>
          <w:rFonts w:ascii="Arial" w:cs="Arial" w:eastAsia="Arial" w:hAnsi="Arial"/>
          <w:sz w:val="15"/>
          <w:szCs w:val="15"/>
          <w:color w:val="0E191E"/>
        </w:rPr>
        <w:t>at the threshold ARR amount, the number of Second Tranche Performance-Vesting RSUs eligible to vest would equal the target number of Second Tranche Performance-Vesting RSUs (i.e., 50% of the target number of Performance-Vesting RSUs) multiplied by 50%; (ii) at the target ARR amount, the number of Second Tranche Performance-Vesting RSUs eligible to vest would equal the target number of Second Tranche Performance-Vesting RSUs multiplied by 100%; and (iii) at or above the maximum ARR amount, the number of Second Tranche Performance-Vesting RSUs eligible to vest would equal the target number of Second Tranche Performance-Vesting RSUs multiplied by 150%. If the ARR threshold is not attained, then none of the Second Tranche Performance-Vesting RSUs would vest. In addition, if our ARR amount exceeds the applicable maximum ARR amount, then the number of Second Tranche Performance-Vesting RSUs that could vest would still be capped at 150% of target. The applicable goals for the FY 23 Performance Conditions for the Second Tranche Performance-Vesting RSUs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60" w:type="dxa"/>
            <w:vAlign w:val="bottom"/>
            <w:shd w:val="clear" w:color="auto" w:fill="00739D"/>
          </w:tcPr>
          <w:p>
            <w:pPr>
              <w:spacing w:after="0"/>
              <w:rPr>
                <w:sz w:val="14"/>
                <w:szCs w:val="14"/>
                <w:color w:val="auto"/>
              </w:rPr>
            </w:pPr>
          </w:p>
        </w:tc>
        <w:tc>
          <w:tcPr>
            <w:tcW w:w="2020" w:type="dxa"/>
            <w:vAlign w:val="bottom"/>
            <w:shd w:val="clear" w:color="auto" w:fill="00739D"/>
          </w:tcPr>
          <w:p>
            <w:pPr>
              <w:ind w:left="460"/>
              <w:spacing w:after="0"/>
              <w:rPr>
                <w:sz w:val="20"/>
                <w:szCs w:val="20"/>
                <w:color w:val="auto"/>
              </w:rPr>
            </w:pPr>
            <w:r>
              <w:rPr>
                <w:rFonts w:ascii="Arial" w:cs="Arial" w:eastAsia="Arial" w:hAnsi="Arial"/>
                <w:sz w:val="13"/>
                <w:szCs w:val="13"/>
                <w:b w:val="1"/>
                <w:bCs w:val="1"/>
                <w:color w:val="FFFFFF"/>
              </w:rPr>
              <w:t>Threshold (50%)</w:t>
            </w:r>
          </w:p>
        </w:tc>
        <w:tc>
          <w:tcPr>
            <w:tcW w:w="1860" w:type="dxa"/>
            <w:vAlign w:val="bottom"/>
            <w:shd w:val="clear" w:color="auto" w:fill="00739D"/>
          </w:tcPr>
          <w:p>
            <w:pPr>
              <w:ind w:left="480"/>
              <w:spacing w:after="0"/>
              <w:rPr>
                <w:sz w:val="20"/>
                <w:szCs w:val="20"/>
                <w:color w:val="auto"/>
              </w:rPr>
            </w:pPr>
            <w:r>
              <w:rPr>
                <w:rFonts w:ascii="Arial" w:cs="Arial" w:eastAsia="Arial" w:hAnsi="Arial"/>
                <w:sz w:val="13"/>
                <w:szCs w:val="13"/>
                <w:b w:val="1"/>
                <w:bCs w:val="1"/>
                <w:color w:val="FFFFFF"/>
              </w:rPr>
              <w:t>Target (100%)</w:t>
            </w:r>
          </w:p>
        </w:tc>
        <w:tc>
          <w:tcPr>
            <w:tcW w:w="1980" w:type="dxa"/>
            <w:vAlign w:val="bottom"/>
            <w:shd w:val="clear" w:color="auto" w:fill="00739D"/>
          </w:tcPr>
          <w:p>
            <w:pPr>
              <w:ind w:left="500"/>
              <w:spacing w:after="0"/>
              <w:rPr>
                <w:sz w:val="20"/>
                <w:szCs w:val="20"/>
                <w:color w:val="auto"/>
              </w:rPr>
            </w:pPr>
            <w:r>
              <w:rPr>
                <w:rFonts w:ascii="Arial" w:cs="Arial" w:eastAsia="Arial" w:hAnsi="Arial"/>
                <w:sz w:val="13"/>
                <w:szCs w:val="13"/>
                <w:b w:val="1"/>
                <w:bCs w:val="1"/>
                <w:color w:val="FFFFFF"/>
              </w:rPr>
              <w:t>Maximum (150%)</w:t>
            </w:r>
          </w:p>
        </w:tc>
        <w:tc>
          <w:tcPr>
            <w:tcW w:w="2020" w:type="dxa"/>
            <w:vAlign w:val="bottom"/>
            <w:shd w:val="clear" w:color="auto" w:fill="00739D"/>
          </w:tcPr>
          <w:p>
            <w:pPr>
              <w:ind w:left="400"/>
              <w:spacing w:after="0"/>
              <w:rPr>
                <w:sz w:val="20"/>
                <w:szCs w:val="20"/>
                <w:color w:val="auto"/>
              </w:rPr>
            </w:pPr>
            <w:r>
              <w:rPr>
                <w:rFonts w:ascii="Arial" w:cs="Arial" w:eastAsia="Arial" w:hAnsi="Arial"/>
                <w:sz w:val="13"/>
                <w:szCs w:val="13"/>
                <w:b w:val="1"/>
                <w:bCs w:val="1"/>
                <w:color w:val="FFFFFF"/>
              </w:rPr>
              <w:t>Actual Performance</w:t>
            </w:r>
          </w:p>
        </w:tc>
      </w:tr>
      <w:tr>
        <w:trPr>
          <w:trHeight w:val="178"/>
        </w:trPr>
        <w:tc>
          <w:tcPr>
            <w:tcW w:w="3360" w:type="dxa"/>
            <w:vAlign w:val="bottom"/>
            <w:shd w:val="clear" w:color="auto" w:fill="00739D"/>
          </w:tcPr>
          <w:p>
            <w:pPr>
              <w:spacing w:after="0"/>
              <w:rPr>
                <w:sz w:val="15"/>
                <w:szCs w:val="15"/>
                <w:color w:val="auto"/>
              </w:rPr>
            </w:pPr>
          </w:p>
        </w:tc>
        <w:tc>
          <w:tcPr>
            <w:tcW w:w="2020" w:type="dxa"/>
            <w:vAlign w:val="bottom"/>
            <w:shd w:val="clear" w:color="auto" w:fill="00739D"/>
          </w:tcPr>
          <w:p>
            <w:pPr>
              <w:jc w:val="right"/>
              <w:ind w:right="873"/>
              <w:spacing w:after="0"/>
              <w:rPr>
                <w:sz w:val="20"/>
                <w:szCs w:val="20"/>
                <w:color w:val="auto"/>
              </w:rPr>
            </w:pPr>
            <w:r>
              <w:rPr>
                <w:rFonts w:ascii="Arial" w:cs="Arial" w:eastAsia="Arial" w:hAnsi="Arial"/>
                <w:sz w:val="13"/>
                <w:szCs w:val="13"/>
                <w:b w:val="1"/>
                <w:bCs w:val="1"/>
                <w:color w:val="FFFFFF"/>
              </w:rPr>
              <w:t>($)</w:t>
            </w:r>
          </w:p>
        </w:tc>
        <w:tc>
          <w:tcPr>
            <w:tcW w:w="1860" w:type="dxa"/>
            <w:vAlign w:val="bottom"/>
            <w:shd w:val="clear" w:color="auto" w:fill="00739D"/>
          </w:tcPr>
          <w:p>
            <w:pPr>
              <w:jc w:val="right"/>
              <w:ind w:right="793"/>
              <w:spacing w:after="0"/>
              <w:rPr>
                <w:sz w:val="20"/>
                <w:szCs w:val="20"/>
                <w:color w:val="auto"/>
              </w:rPr>
            </w:pPr>
            <w:r>
              <w:rPr>
                <w:rFonts w:ascii="Arial" w:cs="Arial" w:eastAsia="Arial" w:hAnsi="Arial"/>
                <w:sz w:val="13"/>
                <w:szCs w:val="13"/>
                <w:b w:val="1"/>
                <w:bCs w:val="1"/>
                <w:color w:val="FFFFFF"/>
              </w:rPr>
              <w:t>($)</w:t>
            </w:r>
          </w:p>
        </w:tc>
        <w:tc>
          <w:tcPr>
            <w:tcW w:w="1980" w:type="dxa"/>
            <w:vAlign w:val="bottom"/>
            <w:shd w:val="clear" w:color="auto" w:fill="00739D"/>
          </w:tcPr>
          <w:p>
            <w:pPr>
              <w:jc w:val="right"/>
              <w:ind w:right="793"/>
              <w:spacing w:after="0"/>
              <w:rPr>
                <w:sz w:val="20"/>
                <w:szCs w:val="20"/>
                <w:color w:val="auto"/>
              </w:rPr>
            </w:pPr>
            <w:r>
              <w:rPr>
                <w:rFonts w:ascii="Arial" w:cs="Arial" w:eastAsia="Arial" w:hAnsi="Arial"/>
                <w:sz w:val="13"/>
                <w:szCs w:val="13"/>
                <w:b w:val="1"/>
                <w:bCs w:val="1"/>
                <w:color w:val="FFFFFF"/>
              </w:rPr>
              <w:t>($)</w:t>
            </w:r>
          </w:p>
        </w:tc>
        <w:tc>
          <w:tcPr>
            <w:tcW w:w="2020" w:type="dxa"/>
            <w:vAlign w:val="bottom"/>
            <w:shd w:val="clear" w:color="auto" w:fill="00739D"/>
          </w:tcPr>
          <w:p>
            <w:pPr>
              <w:jc w:val="right"/>
              <w:ind w:right="833"/>
              <w:spacing w:after="0"/>
              <w:rPr>
                <w:sz w:val="20"/>
                <w:szCs w:val="20"/>
                <w:color w:val="auto"/>
              </w:rPr>
            </w:pPr>
            <w:r>
              <w:rPr>
                <w:rFonts w:ascii="Arial" w:cs="Arial" w:eastAsia="Arial" w:hAnsi="Arial"/>
                <w:sz w:val="13"/>
                <w:szCs w:val="13"/>
                <w:b w:val="1"/>
                <w:bCs w:val="1"/>
                <w:color w:val="FFFFFF"/>
              </w:rPr>
              <w:t>($)</w:t>
            </w:r>
          </w:p>
        </w:tc>
      </w:tr>
      <w:tr>
        <w:trPr>
          <w:trHeight w:val="122"/>
        </w:trPr>
        <w:tc>
          <w:tcPr>
            <w:tcW w:w="3360" w:type="dxa"/>
            <w:vAlign w:val="bottom"/>
            <w:shd w:val="clear" w:color="auto" w:fill="00739D"/>
          </w:tcPr>
          <w:p>
            <w:pPr>
              <w:spacing w:after="0"/>
              <w:rPr>
                <w:sz w:val="10"/>
                <w:szCs w:val="10"/>
                <w:color w:val="auto"/>
              </w:rPr>
            </w:pPr>
          </w:p>
        </w:tc>
        <w:tc>
          <w:tcPr>
            <w:tcW w:w="2020" w:type="dxa"/>
            <w:vAlign w:val="bottom"/>
            <w:shd w:val="clear" w:color="auto" w:fill="00739D"/>
          </w:tcPr>
          <w:p>
            <w:pPr>
              <w:spacing w:after="0"/>
              <w:rPr>
                <w:sz w:val="10"/>
                <w:szCs w:val="10"/>
                <w:color w:val="auto"/>
              </w:rPr>
            </w:pPr>
          </w:p>
        </w:tc>
        <w:tc>
          <w:tcPr>
            <w:tcW w:w="1860" w:type="dxa"/>
            <w:vAlign w:val="bottom"/>
            <w:shd w:val="clear" w:color="auto" w:fill="00739D"/>
          </w:tcPr>
          <w:p>
            <w:pPr>
              <w:spacing w:after="0"/>
              <w:rPr>
                <w:sz w:val="10"/>
                <w:szCs w:val="10"/>
                <w:color w:val="auto"/>
              </w:rPr>
            </w:pPr>
          </w:p>
        </w:tc>
        <w:tc>
          <w:tcPr>
            <w:tcW w:w="1980" w:type="dxa"/>
            <w:vAlign w:val="bottom"/>
            <w:shd w:val="clear" w:color="auto" w:fill="00739D"/>
          </w:tcPr>
          <w:p>
            <w:pPr>
              <w:spacing w:after="0"/>
              <w:rPr>
                <w:sz w:val="10"/>
                <w:szCs w:val="10"/>
                <w:color w:val="auto"/>
              </w:rPr>
            </w:pPr>
          </w:p>
        </w:tc>
        <w:tc>
          <w:tcPr>
            <w:tcW w:w="2020" w:type="dxa"/>
            <w:vAlign w:val="bottom"/>
            <w:shd w:val="clear" w:color="auto" w:fill="00739D"/>
          </w:tcPr>
          <w:p>
            <w:pPr>
              <w:spacing w:after="0"/>
              <w:rPr>
                <w:sz w:val="10"/>
                <w:szCs w:val="10"/>
                <w:color w:val="auto"/>
              </w:rPr>
            </w:pPr>
          </w:p>
        </w:tc>
      </w:tr>
      <w:tr>
        <w:trPr>
          <w:trHeight w:val="188"/>
        </w:trPr>
        <w:tc>
          <w:tcPr>
            <w:tcW w:w="3360" w:type="dxa"/>
            <w:vAlign w:val="bottom"/>
          </w:tcPr>
          <w:p>
            <w:pPr>
              <w:ind w:left="180"/>
              <w:spacing w:after="0"/>
              <w:rPr>
                <w:sz w:val="20"/>
                <w:szCs w:val="20"/>
                <w:color w:val="auto"/>
              </w:rPr>
            </w:pPr>
            <w:r>
              <w:rPr>
                <w:rFonts w:ascii="Arial" w:cs="Arial" w:eastAsia="Arial" w:hAnsi="Arial"/>
                <w:sz w:val="13"/>
                <w:szCs w:val="13"/>
                <w:b w:val="1"/>
                <w:bCs w:val="1"/>
                <w:color w:val="0E191E"/>
              </w:rPr>
              <w:t>ARR</w:t>
            </w:r>
          </w:p>
        </w:tc>
        <w:tc>
          <w:tcPr>
            <w:tcW w:w="2020" w:type="dxa"/>
            <w:vAlign w:val="bottom"/>
          </w:tcPr>
          <w:p>
            <w:pPr>
              <w:jc w:val="center"/>
              <w:spacing w:after="0"/>
              <w:rPr>
                <w:sz w:val="20"/>
                <w:szCs w:val="20"/>
                <w:color w:val="auto"/>
              </w:rPr>
            </w:pPr>
            <w:r>
              <w:rPr>
                <w:rFonts w:ascii="Arial" w:cs="Arial" w:eastAsia="Arial" w:hAnsi="Arial"/>
                <w:sz w:val="13"/>
                <w:szCs w:val="13"/>
                <w:color w:val="0E191E"/>
              </w:rPr>
              <w:t>650M</w:t>
            </w:r>
          </w:p>
        </w:tc>
        <w:tc>
          <w:tcPr>
            <w:tcW w:w="1860" w:type="dxa"/>
            <w:vAlign w:val="bottom"/>
          </w:tcPr>
          <w:p>
            <w:pPr>
              <w:jc w:val="center"/>
              <w:spacing w:after="0"/>
              <w:rPr>
                <w:sz w:val="20"/>
                <w:szCs w:val="20"/>
                <w:color w:val="auto"/>
              </w:rPr>
            </w:pPr>
            <w:r>
              <w:rPr>
                <w:rFonts w:ascii="Arial" w:cs="Arial" w:eastAsia="Arial" w:hAnsi="Arial"/>
                <w:sz w:val="13"/>
                <w:szCs w:val="13"/>
                <w:color w:val="0E191E"/>
              </w:rPr>
              <w:t>750M</w:t>
            </w:r>
          </w:p>
        </w:tc>
        <w:tc>
          <w:tcPr>
            <w:tcW w:w="1980" w:type="dxa"/>
            <w:vAlign w:val="bottom"/>
          </w:tcPr>
          <w:p>
            <w:pPr>
              <w:jc w:val="center"/>
              <w:ind w:left="53"/>
              <w:spacing w:after="0"/>
              <w:rPr>
                <w:sz w:val="20"/>
                <w:szCs w:val="20"/>
                <w:color w:val="auto"/>
              </w:rPr>
            </w:pPr>
            <w:r>
              <w:rPr>
                <w:rFonts w:ascii="Arial" w:cs="Arial" w:eastAsia="Arial" w:hAnsi="Arial"/>
                <w:sz w:val="13"/>
                <w:szCs w:val="13"/>
                <w:color w:val="0E191E"/>
              </w:rPr>
              <w:t>850M</w:t>
            </w:r>
          </w:p>
        </w:tc>
        <w:tc>
          <w:tcPr>
            <w:tcW w:w="2020" w:type="dxa"/>
            <w:vAlign w:val="bottom"/>
          </w:tcPr>
          <w:p>
            <w:pPr>
              <w:jc w:val="right"/>
              <w:ind w:right="893"/>
              <w:spacing w:after="0"/>
              <w:rPr>
                <w:sz w:val="20"/>
                <w:szCs w:val="20"/>
                <w:color w:val="auto"/>
              </w:rPr>
            </w:pPr>
            <w:r>
              <w:rPr>
                <w:rFonts w:ascii="Arial" w:cs="Arial" w:eastAsia="Arial" w:hAnsi="Arial"/>
                <w:sz w:val="13"/>
                <w:szCs w:val="13"/>
                <w:color w:val="0E191E"/>
              </w:rPr>
              <w:t>*</w:t>
            </w:r>
          </w:p>
        </w:tc>
      </w:tr>
      <w:tr>
        <w:trPr>
          <w:trHeight w:val="28"/>
        </w:trPr>
        <w:tc>
          <w:tcPr>
            <w:tcW w:w="3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0E191E"/>
        </w:rPr>
        <w:t>* TBD, at FYE June 31, 2023, assumes constant currency. The Compensation Committee may in its discretion adjust ARR targets for any inorganic ARR.</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1EB7DF"/>
        </w:rPr>
        <w:t>Fiscal Year 2021 Equity Grants</w:t>
      </w:r>
    </w:p>
    <w:p>
      <w:pPr>
        <w:spacing w:after="0" w:line="47"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0E191E"/>
        </w:rPr>
        <w:t>Typically, the size and form of the initial equity awards for our executive officers have been established through arm’s-length negotiation at the time the individual executive officer was hired. In formulating these awards our Compensation Committee has considered, among other things, the prospective role and responsibility of the executive officer, the amount of equity-based compensation held by the executive officer at his or her former employer, the cash compensation received by the executive officer, the Compensation Committee’s sense of the competitive market for similar positions, and the need to create a meaningful opportunity for reward predicated on the creation of long-term stockholder value.</w:t>
      </w:r>
    </w:p>
    <w:p>
      <w:pPr>
        <w:spacing w:after="0" w:line="150" w:lineRule="exact"/>
        <w:rPr>
          <w:sz w:val="20"/>
          <w:szCs w:val="20"/>
          <w:color w:val="auto"/>
        </w:rPr>
      </w:pPr>
    </w:p>
    <w:p>
      <w:pPr>
        <w:ind w:right="80"/>
        <w:spacing w:after="0" w:line="317" w:lineRule="auto"/>
        <w:rPr>
          <w:sz w:val="20"/>
          <w:szCs w:val="20"/>
          <w:color w:val="auto"/>
        </w:rPr>
      </w:pPr>
      <w:r>
        <w:rPr>
          <w:rFonts w:ascii="Arial" w:cs="Arial" w:eastAsia="Arial" w:hAnsi="Arial"/>
          <w:sz w:val="15"/>
          <w:szCs w:val="15"/>
          <w:color w:val="0E191E"/>
        </w:rPr>
        <w:t>Additionally, the Compensation Committee has reviewed the equity holdings of our executive officers annually and granted equity awards in the form of Performance-Vesting RSUs and/or Time-Vesting RSUs to our executive officers to ensure that their overall equity position was consistent with our compensation objectives.</w:t>
      </w:r>
    </w:p>
    <w:p>
      <w:pPr>
        <w:spacing w:after="0" w:line="138"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0E191E"/>
        </w:rPr>
        <w:t>For fiscal year 2021, the Compensation Committee did not apply a rigid formula in determining the size of the annual equity awards for the Named Executive Officers; however, in making its determination, the Compensation Committee took into account the 50th percentile of our peer group’s annual equity awards to similarly situated executives. In addition, the annual equity awards were split evenly between (i) Performance-Vesting RSUs (50%) and (ii) Time-Vesting RSUs (50%). The Compensation Committee did not strictly benchmark against our peer group, but used its discretion as appropriate, when determining the size of equity awards. In conducting this review and making award determinations in fiscal year 2021, the Compensation Committee also exercised its judgment and discretion and considered several factors, including our overall financial and operational results for the prior fiscal year, the performance of the individual executive officer, the executive officer’s potential to contribute to our long-term strategic goals, his or her role and scope of responsibilities within the Company, his or her individual experience and skills, the Compensation Committee’s sense of competitive market practices for equity compensation, and, as applicable, the recommendations of our CEO. Based on these factors, in September 2020, the Compensation Committee approved the Performance-Vesting RSUs and Time-Vesting RSUs to our Named Executive Officers as shown in the table below.</w:t>
      </w:r>
    </w:p>
    <w:p>
      <w:pPr>
        <w:spacing w:after="0" w:line="152"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0E191E"/>
        </w:rPr>
        <w:t>In determining the equity awards granted to Mr. Rosenbaum for fiscal year 2021 and the size of such grants, the Compensation Committee took into consideration several factors, including (i) Mr. Rosenbaum’s extensive experience at various senior leadership positions in the technology industry and ability to lead and manage a growing business in a dynamic and ever-changing environment, especially in light of our cloud transition, (ii) his performance during fiscal year 2020, (iii) his skill set and the competitive market for superior chief executive officers at other comparable companies based on a review of competitive market data, including data drawn from the companies in our compensation peer group, various aspirational companies and selected compensation surveys, (iv) internal equity considerations, and (v) the advice of Radford. Recognizing that Mr. Rosenbaum’s deep industry experience makes him a valuable chief executive officer, the Compensation Committee developed a market competitive compensation package to ensure and promote an appropriate and ongoing linkage between his incentive compensation and our performance. As a result, Mr. Rosenbaum received the same type of equity awards as our other non-CEO</w:t>
      </w:r>
    </w:p>
    <w:p>
      <w:pPr>
        <w:spacing w:after="0" w:line="365"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43</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1" w:right="339" w:bottom="1440" w:gutter="0" w:footer="0" w:header="0"/>
        </w:sectPr>
      </w:pPr>
    </w:p>
    <w:bookmarkStart w:id="47" w:name="page48"/>
    <w:bookmarkEnd w:id="47"/>
    <w:p>
      <w:pPr>
        <w:ind w:right="40"/>
        <w:spacing w:after="0" w:line="317" w:lineRule="auto"/>
        <w:rPr>
          <w:sz w:val="20"/>
          <w:szCs w:val="20"/>
          <w:color w:val="auto"/>
        </w:rPr>
      </w:pPr>
      <w:r>
        <w:rPr>
          <w:rFonts w:ascii="Arial" w:cs="Arial" w:eastAsia="Arial" w:hAnsi="Arial"/>
          <w:sz w:val="15"/>
          <w:szCs w:val="15"/>
          <w:color w:val="0E191E"/>
        </w:rPr>
        <w:t>Named Executive Officers and the size of such awards was based on the Compensation Committee’s evaluation of competitive market data drawn from companies in our peer group with a particular focus on equity awards granted to chief executive officers.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20" w:type="dxa"/>
            <w:vAlign w:val="bottom"/>
            <w:shd w:val="clear" w:color="auto" w:fill="00739D"/>
          </w:tcPr>
          <w:p>
            <w:pPr>
              <w:spacing w:after="0"/>
              <w:rPr>
                <w:sz w:val="14"/>
                <w:szCs w:val="14"/>
                <w:color w:val="auto"/>
              </w:rPr>
            </w:pPr>
          </w:p>
        </w:tc>
        <w:tc>
          <w:tcPr>
            <w:tcW w:w="2080" w:type="dxa"/>
            <w:vAlign w:val="bottom"/>
            <w:shd w:val="clear" w:color="auto" w:fill="00739D"/>
          </w:tcPr>
          <w:p>
            <w:pPr>
              <w:jc w:val="center"/>
              <w:ind w:right="53"/>
              <w:spacing w:after="0"/>
              <w:rPr>
                <w:sz w:val="20"/>
                <w:szCs w:val="20"/>
                <w:color w:val="auto"/>
              </w:rPr>
            </w:pPr>
            <w:r>
              <w:rPr>
                <w:rFonts w:ascii="Arial" w:cs="Arial" w:eastAsia="Arial" w:hAnsi="Arial"/>
                <w:sz w:val="13"/>
                <w:szCs w:val="13"/>
                <w:b w:val="1"/>
                <w:bCs w:val="1"/>
                <w:color w:val="FFFFFF"/>
              </w:rPr>
              <w:t>Number of</w:t>
            </w:r>
          </w:p>
        </w:tc>
        <w:tc>
          <w:tcPr>
            <w:tcW w:w="26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Target Number of</w:t>
            </w:r>
          </w:p>
        </w:tc>
        <w:tc>
          <w:tcPr>
            <w:tcW w:w="2700" w:type="dxa"/>
            <w:vAlign w:val="bottom"/>
            <w:shd w:val="clear" w:color="auto" w:fill="00739D"/>
          </w:tcPr>
          <w:p>
            <w:pPr>
              <w:spacing w:after="0"/>
              <w:rPr>
                <w:sz w:val="14"/>
                <w:szCs w:val="14"/>
                <w:color w:val="auto"/>
              </w:rPr>
            </w:pPr>
          </w:p>
        </w:tc>
      </w:tr>
      <w:tr>
        <w:trPr>
          <w:trHeight w:val="178"/>
        </w:trPr>
        <w:tc>
          <w:tcPr>
            <w:tcW w:w="382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Named Executive Officer</w:t>
            </w:r>
          </w:p>
        </w:tc>
        <w:tc>
          <w:tcPr>
            <w:tcW w:w="2080" w:type="dxa"/>
            <w:vAlign w:val="bottom"/>
            <w:shd w:val="clear" w:color="auto" w:fill="00739D"/>
          </w:tcPr>
          <w:p>
            <w:pPr>
              <w:jc w:val="center"/>
              <w:ind w:right="13"/>
              <w:spacing w:after="0"/>
              <w:rPr>
                <w:sz w:val="20"/>
                <w:szCs w:val="20"/>
                <w:color w:val="auto"/>
              </w:rPr>
            </w:pPr>
            <w:r>
              <w:rPr>
                <w:rFonts w:ascii="Arial" w:cs="Arial" w:eastAsia="Arial" w:hAnsi="Arial"/>
                <w:sz w:val="13"/>
                <w:szCs w:val="13"/>
                <w:b w:val="1"/>
                <w:bCs w:val="1"/>
                <w:color w:val="FFFFFF"/>
              </w:rPr>
              <w:t>Time-Vesting RSUs</w:t>
            </w:r>
          </w:p>
        </w:tc>
        <w:tc>
          <w:tcPr>
            <w:tcW w:w="26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Performance-Vesting RSUs</w:t>
            </w:r>
          </w:p>
        </w:tc>
        <w:tc>
          <w:tcPr>
            <w:tcW w:w="2700" w:type="dxa"/>
            <w:vAlign w:val="bottom"/>
            <w:shd w:val="clear" w:color="auto" w:fill="00739D"/>
          </w:tcPr>
          <w:p>
            <w:pPr>
              <w:jc w:val="center"/>
              <w:ind w:left="33"/>
              <w:spacing w:after="0"/>
              <w:rPr>
                <w:sz w:val="20"/>
                <w:szCs w:val="20"/>
                <w:color w:val="auto"/>
              </w:rPr>
            </w:pPr>
            <w:r>
              <w:rPr>
                <w:rFonts w:ascii="Arial" w:cs="Arial" w:eastAsia="Arial" w:hAnsi="Arial"/>
                <w:sz w:val="13"/>
                <w:szCs w:val="13"/>
                <w:b w:val="1"/>
                <w:bCs w:val="1"/>
                <w:color w:val="FFFFFF"/>
              </w:rPr>
              <w:t>Grant Date Fair Value of RSUs</w:t>
            </w:r>
          </w:p>
        </w:tc>
      </w:tr>
      <w:tr>
        <w:trPr>
          <w:trHeight w:val="122"/>
        </w:trPr>
        <w:tc>
          <w:tcPr>
            <w:tcW w:w="3820" w:type="dxa"/>
            <w:vAlign w:val="bottom"/>
            <w:shd w:val="clear" w:color="auto" w:fill="00739D"/>
          </w:tcPr>
          <w:p>
            <w:pPr>
              <w:spacing w:after="0"/>
              <w:rPr>
                <w:sz w:val="10"/>
                <w:szCs w:val="10"/>
                <w:color w:val="auto"/>
              </w:rPr>
            </w:pPr>
          </w:p>
        </w:tc>
        <w:tc>
          <w:tcPr>
            <w:tcW w:w="2080" w:type="dxa"/>
            <w:vAlign w:val="bottom"/>
            <w:shd w:val="clear" w:color="auto" w:fill="00739D"/>
          </w:tcPr>
          <w:p>
            <w:pPr>
              <w:spacing w:after="0"/>
              <w:rPr>
                <w:sz w:val="10"/>
                <w:szCs w:val="10"/>
                <w:color w:val="auto"/>
              </w:rPr>
            </w:pPr>
          </w:p>
        </w:tc>
        <w:tc>
          <w:tcPr>
            <w:tcW w:w="2640" w:type="dxa"/>
            <w:vAlign w:val="bottom"/>
            <w:shd w:val="clear" w:color="auto" w:fill="00739D"/>
          </w:tcPr>
          <w:p>
            <w:pPr>
              <w:spacing w:after="0"/>
              <w:rPr>
                <w:sz w:val="10"/>
                <w:szCs w:val="10"/>
                <w:color w:val="auto"/>
              </w:rPr>
            </w:pPr>
          </w:p>
        </w:tc>
        <w:tc>
          <w:tcPr>
            <w:tcW w:w="2700" w:type="dxa"/>
            <w:vAlign w:val="bottom"/>
            <w:shd w:val="clear" w:color="auto" w:fill="00739D"/>
          </w:tcPr>
          <w:p>
            <w:pPr>
              <w:spacing w:after="0"/>
              <w:rPr>
                <w:sz w:val="10"/>
                <w:szCs w:val="10"/>
                <w:color w:val="auto"/>
              </w:rPr>
            </w:pPr>
          </w:p>
        </w:tc>
      </w:tr>
      <w:tr>
        <w:trPr>
          <w:trHeight w:val="188"/>
        </w:trPr>
        <w:tc>
          <w:tcPr>
            <w:tcW w:w="3820" w:type="dxa"/>
            <w:vAlign w:val="bottom"/>
          </w:tcPr>
          <w:p>
            <w:pPr>
              <w:ind w:left="100"/>
              <w:spacing w:after="0"/>
              <w:rPr>
                <w:sz w:val="20"/>
                <w:szCs w:val="20"/>
                <w:color w:val="auto"/>
              </w:rPr>
            </w:pPr>
            <w:r>
              <w:rPr>
                <w:rFonts w:ascii="Arial" w:cs="Arial" w:eastAsia="Arial" w:hAnsi="Arial"/>
                <w:sz w:val="13"/>
                <w:szCs w:val="13"/>
                <w:b w:val="1"/>
                <w:bCs w:val="1"/>
                <w:color w:val="0E191E"/>
              </w:rPr>
              <w:t>Mike Rosenbaum</w:t>
            </w:r>
          </w:p>
        </w:tc>
        <w:tc>
          <w:tcPr>
            <w:tcW w:w="2080" w:type="dxa"/>
            <w:vAlign w:val="bottom"/>
          </w:tcPr>
          <w:p>
            <w:pPr>
              <w:jc w:val="center"/>
              <w:ind w:right="33"/>
              <w:spacing w:after="0"/>
              <w:rPr>
                <w:sz w:val="20"/>
                <w:szCs w:val="20"/>
                <w:color w:val="auto"/>
              </w:rPr>
            </w:pPr>
            <w:r>
              <w:rPr>
                <w:rFonts w:ascii="Arial" w:cs="Arial" w:eastAsia="Arial" w:hAnsi="Arial"/>
                <w:sz w:val="13"/>
                <w:szCs w:val="13"/>
                <w:color w:val="0E191E"/>
              </w:rPr>
              <w:t>30,431</w:t>
            </w:r>
          </w:p>
        </w:tc>
        <w:tc>
          <w:tcPr>
            <w:tcW w:w="2640" w:type="dxa"/>
            <w:vAlign w:val="bottom"/>
          </w:tcPr>
          <w:p>
            <w:pPr>
              <w:jc w:val="center"/>
              <w:spacing w:after="0"/>
              <w:rPr>
                <w:sz w:val="20"/>
                <w:szCs w:val="20"/>
                <w:color w:val="auto"/>
              </w:rPr>
            </w:pPr>
            <w:r>
              <w:rPr>
                <w:rFonts w:ascii="Arial" w:cs="Arial" w:eastAsia="Arial" w:hAnsi="Arial"/>
                <w:sz w:val="13"/>
                <w:szCs w:val="13"/>
                <w:color w:val="0E191E"/>
              </w:rPr>
              <w:t>30,431</w:t>
            </w:r>
          </w:p>
        </w:tc>
        <w:tc>
          <w:tcPr>
            <w:tcW w:w="2700" w:type="dxa"/>
            <w:vAlign w:val="bottom"/>
          </w:tcPr>
          <w:p>
            <w:pPr>
              <w:jc w:val="center"/>
              <w:ind w:left="33"/>
              <w:spacing w:after="0"/>
              <w:rPr>
                <w:sz w:val="20"/>
                <w:szCs w:val="20"/>
                <w:color w:val="auto"/>
              </w:rPr>
            </w:pPr>
            <w:r>
              <w:rPr>
                <w:rFonts w:ascii="Arial" w:cs="Arial" w:eastAsia="Arial" w:hAnsi="Arial"/>
                <w:sz w:val="13"/>
                <w:szCs w:val="13"/>
                <w:color w:val="0E191E"/>
              </w:rPr>
              <w:t>$6,627,872</w:t>
            </w:r>
          </w:p>
        </w:tc>
      </w:tr>
      <w:tr>
        <w:trPr>
          <w:trHeight w:val="28"/>
        </w:trPr>
        <w:tc>
          <w:tcPr>
            <w:tcW w:w="38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196"/>
        </w:trPr>
        <w:tc>
          <w:tcPr>
            <w:tcW w:w="3820" w:type="dxa"/>
            <w:vAlign w:val="bottom"/>
            <w:tcBorders>
              <w:bottom w:val="single" w:sz="8" w:color="E5F1F5"/>
            </w:tcBorders>
            <w:shd w:val="clear" w:color="auto" w:fill="E5F1F5"/>
          </w:tcPr>
          <w:p>
            <w:pPr>
              <w:ind w:left="100"/>
              <w:spacing w:after="0"/>
              <w:rPr>
                <w:sz w:val="20"/>
                <w:szCs w:val="20"/>
                <w:color w:val="auto"/>
              </w:rPr>
            </w:pPr>
            <w:r>
              <w:rPr>
                <w:rFonts w:ascii="Arial" w:cs="Arial" w:eastAsia="Arial" w:hAnsi="Arial"/>
                <w:sz w:val="13"/>
                <w:szCs w:val="13"/>
                <w:b w:val="1"/>
                <w:bCs w:val="1"/>
                <w:color w:val="0E191E"/>
              </w:rPr>
              <w:t>Jeff Cooper*</w:t>
            </w:r>
          </w:p>
        </w:tc>
        <w:tc>
          <w:tcPr>
            <w:tcW w:w="2080" w:type="dxa"/>
            <w:vAlign w:val="bottom"/>
            <w:tcBorders>
              <w:bottom w:val="single" w:sz="8" w:color="E5F1F5"/>
            </w:tcBorders>
            <w:shd w:val="clear" w:color="auto" w:fill="E5F1F5"/>
          </w:tcPr>
          <w:p>
            <w:pPr>
              <w:jc w:val="center"/>
              <w:ind w:right="33"/>
              <w:spacing w:after="0"/>
              <w:rPr>
                <w:sz w:val="20"/>
                <w:szCs w:val="20"/>
                <w:color w:val="auto"/>
              </w:rPr>
            </w:pPr>
            <w:r>
              <w:rPr>
                <w:rFonts w:ascii="Arial" w:cs="Arial" w:eastAsia="Arial" w:hAnsi="Arial"/>
                <w:sz w:val="13"/>
                <w:szCs w:val="13"/>
                <w:color w:val="0E191E"/>
              </w:rPr>
              <w:t>5,000</w:t>
            </w:r>
          </w:p>
        </w:tc>
        <w:tc>
          <w:tcPr>
            <w:tcW w:w="2640" w:type="dxa"/>
            <w:vAlign w:val="bottom"/>
            <w:tcBorders>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rPr>
              <w:t>5,000</w:t>
            </w:r>
          </w:p>
        </w:tc>
        <w:tc>
          <w:tcPr>
            <w:tcW w:w="2700" w:type="dxa"/>
            <w:vAlign w:val="bottom"/>
            <w:tcBorders>
              <w:bottom w:val="single" w:sz="8" w:color="E5F1F5"/>
            </w:tcBorders>
            <w:shd w:val="clear" w:color="auto" w:fill="E5F1F5"/>
          </w:tcPr>
          <w:p>
            <w:pPr>
              <w:jc w:val="center"/>
              <w:ind w:left="33"/>
              <w:spacing w:after="0"/>
              <w:rPr>
                <w:sz w:val="20"/>
                <w:szCs w:val="20"/>
                <w:color w:val="auto"/>
              </w:rPr>
            </w:pPr>
            <w:r>
              <w:rPr>
                <w:rFonts w:ascii="Arial" w:cs="Arial" w:eastAsia="Arial" w:hAnsi="Arial"/>
                <w:sz w:val="13"/>
                <w:szCs w:val="13"/>
                <w:color w:val="0E191E"/>
              </w:rPr>
              <w:t>$1,117,600</w:t>
            </w:r>
          </w:p>
        </w:tc>
      </w:tr>
      <w:tr>
        <w:trPr>
          <w:trHeight w:val="188"/>
        </w:trPr>
        <w:tc>
          <w:tcPr>
            <w:tcW w:w="3820" w:type="dxa"/>
            <w:vAlign w:val="bottom"/>
          </w:tcPr>
          <w:p>
            <w:pPr>
              <w:ind w:left="100"/>
              <w:spacing w:after="0"/>
              <w:rPr>
                <w:sz w:val="20"/>
                <w:szCs w:val="20"/>
                <w:color w:val="auto"/>
              </w:rPr>
            </w:pPr>
            <w:r>
              <w:rPr>
                <w:rFonts w:ascii="Arial" w:cs="Arial" w:eastAsia="Arial" w:hAnsi="Arial"/>
                <w:sz w:val="13"/>
                <w:szCs w:val="13"/>
                <w:b w:val="1"/>
                <w:bCs w:val="1"/>
                <w:color w:val="0E191E"/>
              </w:rPr>
              <w:t>Priscilla Hung</w:t>
            </w:r>
          </w:p>
        </w:tc>
        <w:tc>
          <w:tcPr>
            <w:tcW w:w="2080" w:type="dxa"/>
            <w:vAlign w:val="bottom"/>
          </w:tcPr>
          <w:p>
            <w:pPr>
              <w:jc w:val="center"/>
              <w:ind w:right="33"/>
              <w:spacing w:after="0"/>
              <w:rPr>
                <w:sz w:val="20"/>
                <w:szCs w:val="20"/>
                <w:color w:val="auto"/>
              </w:rPr>
            </w:pPr>
            <w:r>
              <w:rPr>
                <w:rFonts w:ascii="Arial" w:cs="Arial" w:eastAsia="Arial" w:hAnsi="Arial"/>
                <w:sz w:val="13"/>
                <w:szCs w:val="13"/>
                <w:color w:val="0E191E"/>
              </w:rPr>
              <w:t>15,000</w:t>
            </w:r>
          </w:p>
        </w:tc>
        <w:tc>
          <w:tcPr>
            <w:tcW w:w="2640" w:type="dxa"/>
            <w:vAlign w:val="bottom"/>
          </w:tcPr>
          <w:p>
            <w:pPr>
              <w:jc w:val="center"/>
              <w:spacing w:after="0"/>
              <w:rPr>
                <w:sz w:val="20"/>
                <w:szCs w:val="20"/>
                <w:color w:val="auto"/>
              </w:rPr>
            </w:pPr>
            <w:r>
              <w:rPr>
                <w:rFonts w:ascii="Arial" w:cs="Arial" w:eastAsia="Arial" w:hAnsi="Arial"/>
                <w:sz w:val="13"/>
                <w:szCs w:val="13"/>
                <w:color w:val="0E191E"/>
              </w:rPr>
              <w:t>15,000</w:t>
            </w:r>
          </w:p>
        </w:tc>
        <w:tc>
          <w:tcPr>
            <w:tcW w:w="2700" w:type="dxa"/>
            <w:vAlign w:val="bottom"/>
          </w:tcPr>
          <w:p>
            <w:pPr>
              <w:jc w:val="center"/>
              <w:ind w:left="33"/>
              <w:spacing w:after="0"/>
              <w:rPr>
                <w:sz w:val="20"/>
                <w:szCs w:val="20"/>
                <w:color w:val="auto"/>
              </w:rPr>
            </w:pPr>
            <w:r>
              <w:rPr>
                <w:rFonts w:ascii="Arial" w:cs="Arial" w:eastAsia="Arial" w:hAnsi="Arial"/>
                <w:sz w:val="13"/>
                <w:szCs w:val="13"/>
                <w:color w:val="0E191E"/>
              </w:rPr>
              <w:t>$3,352,800</w:t>
            </w:r>
          </w:p>
        </w:tc>
      </w:tr>
      <w:tr>
        <w:trPr>
          <w:trHeight w:val="28"/>
        </w:trPr>
        <w:tc>
          <w:tcPr>
            <w:tcW w:w="38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196"/>
        </w:trPr>
        <w:tc>
          <w:tcPr>
            <w:tcW w:w="3820" w:type="dxa"/>
            <w:vAlign w:val="bottom"/>
            <w:tcBorders>
              <w:bottom w:val="single" w:sz="8" w:color="E5F1F5"/>
            </w:tcBorders>
            <w:shd w:val="clear" w:color="auto" w:fill="E5F1F5"/>
          </w:tcPr>
          <w:p>
            <w:pPr>
              <w:ind w:left="100"/>
              <w:spacing w:after="0"/>
              <w:rPr>
                <w:sz w:val="20"/>
                <w:szCs w:val="20"/>
                <w:color w:val="auto"/>
              </w:rPr>
            </w:pPr>
            <w:r>
              <w:rPr>
                <w:rFonts w:ascii="Arial" w:cs="Arial" w:eastAsia="Arial" w:hAnsi="Arial"/>
                <w:sz w:val="13"/>
                <w:szCs w:val="13"/>
                <w:b w:val="1"/>
                <w:bCs w:val="1"/>
                <w:color w:val="0E191E"/>
              </w:rPr>
              <w:t>Frank O'Dowd</w:t>
            </w:r>
          </w:p>
        </w:tc>
        <w:tc>
          <w:tcPr>
            <w:tcW w:w="2080" w:type="dxa"/>
            <w:vAlign w:val="bottom"/>
            <w:tcBorders>
              <w:bottom w:val="single" w:sz="8" w:color="E5F1F5"/>
            </w:tcBorders>
            <w:shd w:val="clear" w:color="auto" w:fill="E5F1F5"/>
          </w:tcPr>
          <w:p>
            <w:pPr>
              <w:jc w:val="center"/>
              <w:ind w:right="33"/>
              <w:spacing w:after="0"/>
              <w:rPr>
                <w:sz w:val="20"/>
                <w:szCs w:val="20"/>
                <w:color w:val="auto"/>
              </w:rPr>
            </w:pPr>
            <w:r>
              <w:rPr>
                <w:rFonts w:ascii="Arial" w:cs="Arial" w:eastAsia="Arial" w:hAnsi="Arial"/>
                <w:sz w:val="13"/>
                <w:szCs w:val="13"/>
                <w:color w:val="0E191E"/>
              </w:rPr>
              <w:t>11,705</w:t>
            </w:r>
          </w:p>
        </w:tc>
        <w:tc>
          <w:tcPr>
            <w:tcW w:w="2640" w:type="dxa"/>
            <w:vAlign w:val="bottom"/>
            <w:tcBorders>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rPr>
              <w:t>11,705</w:t>
            </w:r>
          </w:p>
        </w:tc>
        <w:tc>
          <w:tcPr>
            <w:tcW w:w="2700" w:type="dxa"/>
            <w:vAlign w:val="bottom"/>
            <w:tcBorders>
              <w:bottom w:val="single" w:sz="8" w:color="E5F1F5"/>
            </w:tcBorders>
            <w:shd w:val="clear" w:color="auto" w:fill="E5F1F5"/>
          </w:tcPr>
          <w:p>
            <w:pPr>
              <w:jc w:val="center"/>
              <w:ind w:left="33"/>
              <w:spacing w:after="0"/>
              <w:rPr>
                <w:sz w:val="20"/>
                <w:szCs w:val="20"/>
                <w:color w:val="auto"/>
              </w:rPr>
            </w:pPr>
            <w:r>
              <w:rPr>
                <w:rFonts w:ascii="Arial" w:cs="Arial" w:eastAsia="Arial" w:hAnsi="Arial"/>
                <w:sz w:val="13"/>
                <w:szCs w:val="13"/>
                <w:color w:val="0E191E"/>
              </w:rPr>
              <w:t>$2,616,302</w:t>
            </w:r>
          </w:p>
        </w:tc>
      </w:tr>
      <w:tr>
        <w:trPr>
          <w:trHeight w:val="188"/>
        </w:trPr>
        <w:tc>
          <w:tcPr>
            <w:tcW w:w="3820" w:type="dxa"/>
            <w:vAlign w:val="bottom"/>
          </w:tcPr>
          <w:p>
            <w:pPr>
              <w:ind w:left="100"/>
              <w:spacing w:after="0"/>
              <w:rPr>
                <w:sz w:val="20"/>
                <w:szCs w:val="20"/>
                <w:color w:val="auto"/>
              </w:rPr>
            </w:pPr>
            <w:r>
              <w:rPr>
                <w:rFonts w:ascii="Arial" w:cs="Arial" w:eastAsia="Arial" w:hAnsi="Arial"/>
                <w:sz w:val="13"/>
                <w:szCs w:val="13"/>
                <w:b w:val="1"/>
                <w:bCs w:val="1"/>
                <w:color w:val="0E191E"/>
              </w:rPr>
              <w:t>Winston King</w:t>
            </w:r>
          </w:p>
        </w:tc>
        <w:tc>
          <w:tcPr>
            <w:tcW w:w="2080" w:type="dxa"/>
            <w:vAlign w:val="bottom"/>
          </w:tcPr>
          <w:p>
            <w:pPr>
              <w:jc w:val="center"/>
              <w:ind w:right="33"/>
              <w:spacing w:after="0"/>
              <w:rPr>
                <w:sz w:val="20"/>
                <w:szCs w:val="20"/>
                <w:color w:val="auto"/>
              </w:rPr>
            </w:pPr>
            <w:r>
              <w:rPr>
                <w:rFonts w:ascii="Arial" w:cs="Arial" w:eastAsia="Arial" w:hAnsi="Arial"/>
                <w:sz w:val="13"/>
                <w:szCs w:val="13"/>
                <w:color w:val="0E191E"/>
              </w:rPr>
              <w:t>9,000</w:t>
            </w:r>
          </w:p>
        </w:tc>
        <w:tc>
          <w:tcPr>
            <w:tcW w:w="2640" w:type="dxa"/>
            <w:vAlign w:val="bottom"/>
          </w:tcPr>
          <w:p>
            <w:pPr>
              <w:jc w:val="center"/>
              <w:spacing w:after="0"/>
              <w:rPr>
                <w:sz w:val="20"/>
                <w:szCs w:val="20"/>
                <w:color w:val="auto"/>
              </w:rPr>
            </w:pPr>
            <w:r>
              <w:rPr>
                <w:rFonts w:ascii="Arial" w:cs="Arial" w:eastAsia="Arial" w:hAnsi="Arial"/>
                <w:sz w:val="13"/>
                <w:szCs w:val="13"/>
                <w:color w:val="0E191E"/>
              </w:rPr>
              <w:t>9,000</w:t>
            </w:r>
          </w:p>
        </w:tc>
        <w:tc>
          <w:tcPr>
            <w:tcW w:w="2700" w:type="dxa"/>
            <w:vAlign w:val="bottom"/>
          </w:tcPr>
          <w:p>
            <w:pPr>
              <w:jc w:val="center"/>
              <w:ind w:left="33"/>
              <w:spacing w:after="0"/>
              <w:rPr>
                <w:sz w:val="20"/>
                <w:szCs w:val="20"/>
                <w:color w:val="auto"/>
              </w:rPr>
            </w:pPr>
            <w:r>
              <w:rPr>
                <w:rFonts w:ascii="Arial" w:cs="Arial" w:eastAsia="Arial" w:hAnsi="Arial"/>
                <w:sz w:val="13"/>
                <w:szCs w:val="13"/>
                <w:color w:val="0E191E"/>
              </w:rPr>
              <w:t>$2,011,680</w:t>
            </w:r>
          </w:p>
        </w:tc>
      </w:tr>
      <w:tr>
        <w:trPr>
          <w:trHeight w:val="28"/>
        </w:trPr>
        <w:tc>
          <w:tcPr>
            <w:tcW w:w="38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bl>
    <w:p>
      <w:pPr>
        <w:spacing w:after="0" w:line="172" w:lineRule="exact"/>
        <w:rPr>
          <w:sz w:val="20"/>
          <w:szCs w:val="20"/>
          <w:color w:val="auto"/>
        </w:rPr>
      </w:pPr>
    </w:p>
    <w:p>
      <w:pPr>
        <w:ind w:left="80" w:right="20" w:hanging="72"/>
        <w:spacing w:after="0" w:line="279" w:lineRule="auto"/>
        <w:tabs>
          <w:tab w:leader="none" w:pos="79" w:val="left"/>
        </w:tabs>
        <w:numPr>
          <w:ilvl w:val="0"/>
          <w:numId w:val="28"/>
        </w:numPr>
        <w:rPr>
          <w:rFonts w:ascii="Arial" w:cs="Arial" w:eastAsia="Arial" w:hAnsi="Arial"/>
          <w:sz w:val="15"/>
          <w:szCs w:val="15"/>
          <w:color w:val="0E191E"/>
        </w:rPr>
      </w:pPr>
      <w:r>
        <w:rPr>
          <w:rFonts w:ascii="Arial" w:cs="Arial" w:eastAsia="Arial" w:hAnsi="Arial"/>
          <w:sz w:val="15"/>
          <w:szCs w:val="15"/>
          <w:color w:val="0E191E"/>
        </w:rPr>
        <w:t>Furthermore, in June 2020, Mr. Cooper received a grant of 28,872 Time-Vesting RSUs in connection with becoming our CFO, as disclosed in our proxy statement for the 2020 annual meeting of stockholders.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1EB7DF"/>
        </w:rPr>
        <w:t>Compensation Mix</w:t>
      </w:r>
    </w:p>
    <w:p>
      <w:pPr>
        <w:spacing w:after="0" w:line="47" w:lineRule="exact"/>
        <w:rPr>
          <w:sz w:val="20"/>
          <w:szCs w:val="20"/>
          <w:color w:val="auto"/>
        </w:rPr>
      </w:pPr>
    </w:p>
    <w:p>
      <w:pPr>
        <w:spacing w:after="0" w:line="306" w:lineRule="auto"/>
        <w:rPr>
          <w:sz w:val="20"/>
          <w:szCs w:val="20"/>
          <w:color w:val="auto"/>
        </w:rPr>
      </w:pPr>
      <w:r>
        <w:rPr>
          <w:rFonts w:ascii="Arial" w:cs="Arial" w:eastAsia="Arial" w:hAnsi="Arial"/>
          <w:sz w:val="15"/>
          <w:szCs w:val="15"/>
          <w:color w:val="0E191E"/>
        </w:rPr>
        <w:t>In determining the amount of base salary, cash bonuses and equity compensation awarded to each Named Executive Officer, the Compensation Committee does not apply any rigorous percentage of any one element in relation to the overall compensation package. Rather, the Compensation Committee looks at the overall compensation package and the relative amount of each element on an individual basis for each Named Executive Officer to determine whether such amounts and mix of components further the basic principles and objectives of our overall compensation program.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1EB7DF"/>
        </w:rPr>
        <w:t>Welfare and Other Benefits</w:t>
      </w:r>
    </w:p>
    <w:p>
      <w:pPr>
        <w:spacing w:after="0" w:line="47"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0E191E"/>
        </w:rPr>
        <w:t>We have established a tax-qualified Section 401(k) retirement plan for all employees, including Named Executive Officers, who satisfy certain eligibility requirements, including requirements relating to age and length of service. Under this plan, employees may elect to defer their current compensation by up to the statutory limit and contribute to the plan. We provide a match for pre-tax contributions equal to fifty cents for every dollar contributed for the first 8% of cash compensation, up to a maximum of $5,000 per participant. We intend for the plan to qualify under Section 401(a) of the Code so that contributions by employees to the plan, and income earned on plan contributions, are not taxable to employees until withdrawn from the plan.</w:t>
      </w:r>
    </w:p>
    <w:p>
      <w:pPr>
        <w:spacing w:after="0" w:line="150"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0E191E"/>
        </w:rPr>
        <w:t>In addition, we provide other employee welfare and benefit programs to our executive officers, including the Named Executive Officers, on the same basis as all of our full-time employees in the country in which they are resident. These benefits include medical, dental, and vision benefits, medical and dependent care flexible spending accounts, short-term and long-term disability insurance, accidental death and dismemberment insurance and basic life insurance coverage.</w:t>
      </w:r>
    </w:p>
    <w:p>
      <w:pPr>
        <w:spacing w:after="0" w:line="146" w:lineRule="exact"/>
        <w:rPr>
          <w:sz w:val="20"/>
          <w:szCs w:val="20"/>
          <w:color w:val="auto"/>
        </w:rPr>
      </w:pPr>
    </w:p>
    <w:p>
      <w:pPr>
        <w:ind w:right="420"/>
        <w:spacing w:after="0" w:line="308" w:lineRule="auto"/>
        <w:rPr>
          <w:sz w:val="20"/>
          <w:szCs w:val="20"/>
          <w:color w:val="auto"/>
        </w:rPr>
      </w:pPr>
      <w:r>
        <w:rPr>
          <w:rFonts w:ascii="Arial" w:cs="Arial" w:eastAsia="Arial" w:hAnsi="Arial"/>
          <w:sz w:val="15"/>
          <w:szCs w:val="15"/>
          <w:color w:val="0E191E"/>
        </w:rPr>
        <w:t>We design our employee welfare and benefit programs to be affordable and competitive in relation to the market, as well as compliant with applicable laws and practices. We adjust our employee welfare and benefit programs as needed based upon regular monitoring of applicable laws and practices and the competitive market.</w:t>
      </w:r>
    </w:p>
    <w:p>
      <w:pPr>
        <w:spacing w:after="0" w:line="146" w:lineRule="exact"/>
        <w:rPr>
          <w:sz w:val="20"/>
          <w:szCs w:val="20"/>
          <w:color w:val="auto"/>
        </w:rPr>
      </w:pPr>
    </w:p>
    <w:p>
      <w:pPr>
        <w:ind w:right="160"/>
        <w:spacing w:after="0" w:line="331" w:lineRule="auto"/>
        <w:rPr>
          <w:sz w:val="20"/>
          <w:szCs w:val="20"/>
          <w:color w:val="auto"/>
        </w:rPr>
      </w:pPr>
      <w:r>
        <w:rPr>
          <w:rFonts w:ascii="Arial" w:cs="Arial" w:eastAsia="Arial" w:hAnsi="Arial"/>
          <w:sz w:val="15"/>
          <w:szCs w:val="15"/>
          <w:color w:val="0E191E"/>
        </w:rPr>
        <w:t>We do not provide perquisites to our executive officers, except in limited situations where we believe it is appropriate to assist an individual in the performance of his or her duties, to make our executive officers more efficient and effective, and for recruitment and retention purposes. We do not provide any tax gross-ups for perquisites.</w:t>
      </w:r>
    </w:p>
    <w:p>
      <w:pPr>
        <w:spacing w:after="0" w:line="334" w:lineRule="exact"/>
        <w:rPr>
          <w:sz w:val="20"/>
          <w:szCs w:val="20"/>
          <w:color w:val="auto"/>
        </w:rPr>
      </w:pPr>
    </w:p>
    <w:p>
      <w:pPr>
        <w:ind w:right="160"/>
        <w:spacing w:after="0" w:line="308" w:lineRule="auto"/>
        <w:rPr>
          <w:sz w:val="20"/>
          <w:szCs w:val="20"/>
          <w:color w:val="auto"/>
        </w:rPr>
      </w:pPr>
      <w:r>
        <w:rPr>
          <w:rFonts w:ascii="Arial" w:cs="Arial" w:eastAsia="Arial" w:hAnsi="Arial"/>
          <w:sz w:val="15"/>
          <w:szCs w:val="15"/>
          <w:color w:val="0E191E"/>
        </w:rPr>
        <w:t>In the future, we may provide perquisites or other personal benefits in limited circumstances, such as where we believe it is appropriate to assist an individual executive officer in the performance of his or her duties, to make our executive officers more efficient and effective, and for recruitment, motivation, or retention purposes. All future practices with respect to perquisites or other personal benefits will be approved and subject to periodic review by the Compensation Committee.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1EB7DF"/>
        </w:rPr>
        <w:t>Pension Benefits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0E191E"/>
        </w:rPr>
        <w:t>We do not offer any defined benefit pension plans for our employees.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1EB7DF"/>
        </w:rPr>
        <w:t>Nonqualified Deferred Compensation</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0E191E"/>
        </w:rPr>
        <w:t>We do not offer any nonqualified deferred compensation arrangements for our employees.</w:t>
      </w:r>
    </w:p>
    <w:p>
      <w:pPr>
        <w:spacing w:after="0" w:line="200" w:lineRule="exact"/>
        <w:rPr>
          <w:sz w:val="20"/>
          <w:szCs w:val="20"/>
          <w:color w:val="auto"/>
        </w:rPr>
      </w:pPr>
    </w:p>
    <w:p>
      <w:pPr>
        <w:spacing w:after="0" w:line="217"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44</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00739D"/>
        </w:rPr>
        <w:t>Executive Agreements and Termination of Employment Arrangements</w:t>
      </w:r>
    </w:p>
    <w:p>
      <w:pPr>
        <w:spacing w:after="0" w:line="136" w:lineRule="exact"/>
        <w:rPr>
          <w:sz w:val="20"/>
          <w:szCs w:val="20"/>
          <w:color w:val="auto"/>
        </w:rPr>
      </w:pPr>
    </w:p>
    <w:p>
      <w:pPr>
        <w:ind w:right="140"/>
        <w:spacing w:after="0" w:line="306" w:lineRule="auto"/>
        <w:rPr>
          <w:sz w:val="20"/>
          <w:szCs w:val="20"/>
          <w:color w:val="auto"/>
        </w:rPr>
      </w:pPr>
      <w:r>
        <w:rPr>
          <w:rFonts w:ascii="Arial" w:cs="Arial" w:eastAsia="Arial" w:hAnsi="Arial"/>
          <w:sz w:val="15"/>
          <w:szCs w:val="15"/>
          <w:color w:val="0E191E"/>
        </w:rPr>
        <w:t>We entered into an amended and restated executive agreement with each of the Named Executive Officers in January 2020 and an agreement with Mr. Rosenbaum in August 2019 which was amended in November 2020 (collectively, the "Executive Agreements"). The terms of the Executive Agreements are substantially similar. These Executive Agreements provide for at-will employment. In addition, each agreement sets forth the terms and conditions of employment of each of the Named Executive Officers, including initial position, initial base salary, initial target annual bonus/commission opportunity and standard employee benefit plan participation.</w:t>
      </w:r>
    </w:p>
    <w:p>
      <w:pPr>
        <w:spacing w:after="0" w:line="146" w:lineRule="exact"/>
        <w:rPr>
          <w:sz w:val="20"/>
          <w:szCs w:val="20"/>
          <w:color w:val="auto"/>
        </w:rPr>
      </w:pPr>
    </w:p>
    <w:p>
      <w:pPr>
        <w:ind w:right="620"/>
        <w:spacing w:after="0" w:line="317" w:lineRule="auto"/>
        <w:rPr>
          <w:sz w:val="20"/>
          <w:szCs w:val="20"/>
          <w:color w:val="auto"/>
        </w:rPr>
      </w:pPr>
      <w:r>
        <w:rPr>
          <w:rFonts w:ascii="Arial" w:cs="Arial" w:eastAsia="Arial" w:hAnsi="Arial"/>
          <w:sz w:val="15"/>
          <w:szCs w:val="15"/>
          <w:color w:val="0E191E"/>
        </w:rPr>
        <w:t>These Executive Agreements also contain provisions that provide for certain payments and benefits in the event of a termination of employment, including an involuntary termination of employment within two months before or 12 months following a change in control of the Company.</w:t>
      </w:r>
    </w:p>
    <w:p>
      <w:pPr>
        <w:spacing w:after="0" w:line="138" w:lineRule="exact"/>
        <w:rPr>
          <w:sz w:val="20"/>
          <w:szCs w:val="20"/>
          <w:color w:val="auto"/>
        </w:rPr>
      </w:pPr>
    </w:p>
    <w:p>
      <w:pPr>
        <w:ind w:right="220"/>
        <w:spacing w:after="0" w:line="317" w:lineRule="auto"/>
        <w:rPr>
          <w:sz w:val="20"/>
          <w:szCs w:val="20"/>
          <w:color w:val="auto"/>
        </w:rPr>
      </w:pPr>
      <w:r>
        <w:rPr>
          <w:rFonts w:ascii="Arial" w:cs="Arial" w:eastAsia="Arial" w:hAnsi="Arial"/>
          <w:sz w:val="15"/>
          <w:szCs w:val="15"/>
          <w:color w:val="0E191E"/>
        </w:rPr>
        <w:t>For a summary of the material terms and conditions of the post-employment compensation terms applicable to our Named Executive Officers, see the section titled “Post-Employment Compensation” below.</w:t>
      </w:r>
    </w:p>
    <w:p>
      <w:pPr>
        <w:spacing w:after="0" w:line="138"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0E191E"/>
        </w:rPr>
        <w:t>Our philosophy is that outside of a change in control context, severance protections are only appropriate in the event an executive officer is involuntarily terminated by us without cause, and such protections are only provided upon the executive officer's execution of an effective release of claims. In addition, we believe that the occurrence or potential occurrence of a change in control transaction will create uncertainty regarding the continued employment of our executive officers. This uncertainty arises from the fact that many change in control transactions result in significant organizational changes, particularly at the senior executive level. In order to encourage executive officers to remain employed with us during an important time when their prospects for continued employment following the transaction are often uncertain, we provide our executive officers with additional severance protections during a change in control protection period, as mentioned above. We also provide severance protections in connection with a change in control, subject to each executive officer's execution of an effective release of claims against us, to help ensure that executive officers can objectively evaluate change in control transactions that may be in the best interest of our stockholders, despite the potential negative consequences such transactions may have on them personally. Further, we provide severance protections if an executive officer voluntarily terminates employment with us for good reason in connection with a change in control, subject to the executive officer's execution of an effective release of claims against us, because we believe that a voluntary termination for good reason is essentially equivalent to an involuntary termination by us without cause in those circumstances. We believe that the severance benefits provided to our executive officers under their Executive Agreements are appropriate in light of the severance protections available to similarly-situated executive officers at companies in our peer group and are an important component of each executive officer’s overall compensation as they help us to attract and retain our key executives who could have other job alternatives that may appear to them to be more attractive absent these protections.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Other Compensation Policies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1EB7DF"/>
        </w:rPr>
        <w:t>Stock Ownership Guidelines</w:t>
      </w:r>
    </w:p>
    <w:p>
      <w:pPr>
        <w:spacing w:after="0" w:line="47" w:lineRule="exact"/>
        <w:rPr>
          <w:sz w:val="20"/>
          <w:szCs w:val="20"/>
          <w:color w:val="auto"/>
        </w:rPr>
      </w:pPr>
    </w:p>
    <w:p>
      <w:pPr>
        <w:spacing w:after="0" w:line="302" w:lineRule="auto"/>
        <w:rPr>
          <w:sz w:val="20"/>
          <w:szCs w:val="20"/>
          <w:color w:val="auto"/>
        </w:rPr>
      </w:pPr>
      <w:r>
        <w:rPr>
          <w:rFonts w:ascii="Arial" w:cs="Arial" w:eastAsia="Arial" w:hAnsi="Arial"/>
          <w:sz w:val="15"/>
          <w:szCs w:val="15"/>
          <w:color w:val="0E191E"/>
        </w:rPr>
        <w:t>We have adopted stock ownership guidelines that are applicable to senior executives, including our Named Executive Officers. Prior to March 2021, the stock ownership guidelines required the CEO to own shares of our common stock equal to at least three times his annual base salary and all other executives who are required to report under Section 16 of the Exchange Act, including our Named Executive Officers, to own shares of our common stock equal to at least one times his or her annual base salary, in each case, by the first July 31st that occurred following the three-year anniversary of his or her date of hire or promotion (the "Prior Senior Executive Requirement"). To increase the alignment between the interests of our executive officers and our stockholders and to enhance our commitment to sound corporate governance, effective as of March 2021, we amended our stock ownership guidelines to require the CEO and each non-CEO executive officer to own shares of our common stock equal to at least four times and 1.5 times, respectively, his or her annual cash retainer, by the first July 31st that occurs following the three-year anniversary of his or her date of hire or promotion or, if later, by July 31, 2023. Officers subject to the policy who were serving as of March 9, 2021 will continue to be subject to the Prior Senior Executive Requirement until July 31, 2023. As of July 31, 2021, all of our Named Executive Officers who have been employed for three or more years have satisfied the ownership requirements.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1EB7DF"/>
        </w:rPr>
        <w:t>Compensation Recovery Policy</w:t>
      </w:r>
    </w:p>
    <w:p>
      <w:pPr>
        <w:spacing w:after="0" w:line="47" w:lineRule="exact"/>
        <w:rPr>
          <w:sz w:val="20"/>
          <w:szCs w:val="20"/>
          <w:color w:val="auto"/>
        </w:rPr>
      </w:pPr>
    </w:p>
    <w:p>
      <w:pPr>
        <w:ind w:right="60"/>
        <w:spacing w:after="0" w:line="306" w:lineRule="auto"/>
        <w:rPr>
          <w:sz w:val="20"/>
          <w:szCs w:val="20"/>
          <w:color w:val="auto"/>
        </w:rPr>
      </w:pPr>
      <w:r>
        <w:rPr>
          <w:rFonts w:ascii="Arial" w:cs="Arial" w:eastAsia="Arial" w:hAnsi="Arial"/>
          <w:sz w:val="15"/>
          <w:szCs w:val="15"/>
          <w:color w:val="0E191E"/>
        </w:rPr>
        <w:t>In September 2019, we adopted a clawback policy, which was subsequently amended in December 2019. The clawback policy, as amended (the “Clawback Policy”), provides that if our financial statements are materially restated, whether in part or in their entirety, due to misconduct by one or more covered individuals (i.e., (i) any Section 16 officers and (ii) certain of our C-level employees, SVPs and sales leadership as designated by the Clawback Policy or agreed upon by our Chief Executive Officer, Chief Financial Officer and General Counsel), then our board of directors or Compensation Committee shall have the discretion</w:t>
      </w:r>
    </w:p>
    <w:p>
      <w:pPr>
        <w:spacing w:after="0" w:line="358"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45</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9" w:name="page50"/>
    <w:bookmarkEnd w:id="49"/>
    <w:p>
      <w:pPr>
        <w:spacing w:after="0" w:line="302" w:lineRule="auto"/>
        <w:rPr>
          <w:sz w:val="20"/>
          <w:szCs w:val="20"/>
          <w:color w:val="auto"/>
        </w:rPr>
      </w:pPr>
      <w:r>
        <w:rPr>
          <w:rFonts w:ascii="Arial" w:cs="Arial" w:eastAsia="Arial" w:hAnsi="Arial"/>
          <w:sz w:val="15"/>
          <w:szCs w:val="15"/>
          <w:color w:val="0E191E"/>
        </w:rPr>
        <w:t>to recoup a portion of any performance-based compensation that has been paid or distributed to a covered individual during the clawback period (i.e., the three-year period preceding the publication of the restated financials), to the extent such compensation paid or distributed was in excess of what would have been paid under the restated financials. Our board of directors or the Compensation Committee, in its sole discretion, may also reduce the amount of future compensation, including, without limitation, any bonus or severance, or the future grant or vesting of any equity award, payable to any covered individual by an amount equal to such excess proceeds from performance-based compensation received by the covered individual during the clawback period. Additionally, for any covered individual who is terminated for “cause” (as defined in the Clawback Policy), if our board of directors determines based on relevant facts and circumstances that the conduct resulting in such for cause termination has caused material, demonstrable reputational harm to the Company, then the Company may require the covered individual to repay a portion of any performance-based compensation that has been paid or distributed to a covered individual during the “for cause clawback period" (i.e., the period from when the first act by the covered individual underlying for cause termination occurred, until such time the covered individual was terminated for cause by the Company). The policy is applicable to all cash and equity-based compensation predicated on the achievement of financial performance goals or financial metrics (excluding any such compensation based on TSR or similar stock price-based metrics).</w:t>
      </w:r>
    </w:p>
    <w:p>
      <w:pPr>
        <w:spacing w:after="0" w:line="151" w:lineRule="exact"/>
        <w:rPr>
          <w:sz w:val="20"/>
          <w:szCs w:val="20"/>
          <w:color w:val="auto"/>
        </w:rPr>
      </w:pPr>
    </w:p>
    <w:p>
      <w:pPr>
        <w:ind w:right="80"/>
        <w:spacing w:after="0" w:line="304" w:lineRule="auto"/>
        <w:rPr>
          <w:sz w:val="20"/>
          <w:szCs w:val="20"/>
          <w:color w:val="auto"/>
        </w:rPr>
      </w:pPr>
      <w:r>
        <w:rPr>
          <w:rFonts w:ascii="Arial" w:cs="Arial" w:eastAsia="Arial" w:hAnsi="Arial"/>
          <w:sz w:val="15"/>
          <w:szCs w:val="15"/>
          <w:color w:val="0E191E"/>
        </w:rPr>
        <w:t>In addition, our 2011 Stock Plan provides that if we are required to prepare an accounting restatement due to our material noncompliance, as a result of misconduct, with any financial reporting requirement under the securities laws, then any equity award holder who is an individual subject to automatic forfeiture under Section 304 of the Sarbanes-Oxley Act of 2002 must reimburse us for the amount of any equity award received by such individual under such plans during the 12-month period following the first public issuance or filing with the SEC, as the case may be, of the financial document embodying such financial reporting requirement. Furthermore, our 2020 Stock Plan provides that all awards thereunder will be subject to the Company’s clawback policy in effect, from time to time.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1EB7DF"/>
        </w:rPr>
        <w:t>Derivatives Trading and Hedging Policy</w:t>
      </w:r>
    </w:p>
    <w:p>
      <w:pPr>
        <w:spacing w:after="0" w:line="47"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0E191E"/>
        </w:rPr>
        <w:t>Our Named Executive Officers, employees, and directors are subject to our insider trading policy. Under this policy all of our executive officers, employees and directors are prohibited from engaging in transactions in publicly-traded options and other derivative securities with respect to our securities, including any hedging or similar transactions.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1EB7DF"/>
        </w:rPr>
        <w:t>Anti-Pledging Policy</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0E191E"/>
        </w:rPr>
        <w:t>Under our insider trading policy, all of our executive officers, employees, and directors are prohibited from pledging securities of the Company as collateral for loans.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1EB7DF"/>
        </w:rPr>
        <w:t>Equity Award Grant Policy</w:t>
      </w:r>
    </w:p>
    <w:p>
      <w:pPr>
        <w:spacing w:after="0" w:line="47" w:lineRule="exact"/>
        <w:rPr>
          <w:sz w:val="20"/>
          <w:szCs w:val="20"/>
          <w:color w:val="auto"/>
        </w:rPr>
      </w:pPr>
    </w:p>
    <w:p>
      <w:pPr>
        <w:spacing w:after="0" w:line="303" w:lineRule="auto"/>
        <w:rPr>
          <w:sz w:val="20"/>
          <w:szCs w:val="20"/>
          <w:color w:val="auto"/>
        </w:rPr>
      </w:pPr>
      <w:r>
        <w:rPr>
          <w:rFonts w:ascii="Arial" w:cs="Arial" w:eastAsia="Arial" w:hAnsi="Arial"/>
          <w:sz w:val="15"/>
          <w:szCs w:val="15"/>
          <w:color w:val="0E191E"/>
        </w:rPr>
        <w:t>In March 2021, we adopted an Equity Award Grant Policy that sets forth the process and timing for us to follow when we grant equity awards for shares of our common stock to our employees, including our executive officers, pursuant to any of our equity compensation plans. Pursuant to the policy, all grants of equity awards must be approved in advance by our Board of Directors, the Compensation Committee or, subject to the delegation requirements in the policy, a committee consisting of at least two of our executive officers, or the Equity Grant Committee. The Equity Grant Committee is currently comprised of our Chief Executive Officer, Chief Financial Officer, and General Counsel . The equity award granting authority delegated to the Equity Grant Committee applies to non-executive employees and covers awards of RSUs within specific ranges set forth in the policy, which will be updated annually by the Compensation Committee.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0E191E"/>
        </w:rPr>
        <w:t>The Equity Award Grant Policy sets forth that equity awards are generally granted on the following regularly scheduled basis:</w:t>
      </w:r>
    </w:p>
    <w:p>
      <w:pPr>
        <w:spacing w:after="0" w:line="125" w:lineRule="exact"/>
        <w:rPr>
          <w:sz w:val="20"/>
          <w:szCs w:val="20"/>
          <w:color w:val="auto"/>
        </w:rPr>
      </w:pPr>
    </w:p>
    <w:p>
      <w:pPr>
        <w:ind w:left="660" w:right="40" w:hanging="328"/>
        <w:spacing w:after="0" w:line="260" w:lineRule="auto"/>
        <w:tabs>
          <w:tab w:leader="none" w:pos="659" w:val="left"/>
        </w:tabs>
        <w:numPr>
          <w:ilvl w:val="0"/>
          <w:numId w:val="29"/>
        </w:numPr>
        <w:rPr>
          <w:rFonts w:ascii="Arial" w:cs="Arial" w:eastAsia="Arial" w:hAnsi="Arial"/>
          <w:sz w:val="15"/>
          <w:szCs w:val="15"/>
          <w:color w:val="0E191E"/>
        </w:rPr>
      </w:pPr>
      <w:r>
        <w:rPr>
          <w:rFonts w:ascii="Arial" w:cs="Arial" w:eastAsia="Arial" w:hAnsi="Arial"/>
          <w:sz w:val="15"/>
          <w:szCs w:val="15"/>
          <w:color w:val="0E191E"/>
        </w:rPr>
        <w:t>Equity awards granted in connection with the hiring of a new employee or the promotion of an existing employee will be on a quarterly basis and be effective on the date on which such award is approved by the Board, the Compensation Committee or the Equity Grant Committee.</w:t>
      </w:r>
    </w:p>
    <w:p>
      <w:pPr>
        <w:spacing w:after="0" w:line="58" w:lineRule="exact"/>
        <w:rPr>
          <w:rFonts w:ascii="Arial" w:cs="Arial" w:eastAsia="Arial" w:hAnsi="Arial"/>
          <w:sz w:val="15"/>
          <w:szCs w:val="15"/>
          <w:color w:val="0E191E"/>
        </w:rPr>
      </w:pPr>
    </w:p>
    <w:p>
      <w:pPr>
        <w:ind w:left="660" w:right="200" w:hanging="328"/>
        <w:spacing w:after="0" w:line="317" w:lineRule="auto"/>
        <w:tabs>
          <w:tab w:leader="none" w:pos="659" w:val="left"/>
        </w:tabs>
        <w:numPr>
          <w:ilvl w:val="0"/>
          <w:numId w:val="29"/>
        </w:numPr>
        <w:rPr>
          <w:rFonts w:ascii="Arial" w:cs="Arial" w:eastAsia="Arial" w:hAnsi="Arial"/>
          <w:sz w:val="15"/>
          <w:szCs w:val="15"/>
          <w:color w:val="0E191E"/>
        </w:rPr>
      </w:pPr>
      <w:r>
        <w:rPr>
          <w:rFonts w:ascii="Arial" w:cs="Arial" w:eastAsia="Arial" w:hAnsi="Arial"/>
          <w:sz w:val="15"/>
          <w:szCs w:val="15"/>
          <w:color w:val="0E191E"/>
        </w:rPr>
        <w:t>Equity awards granted to existing employees (other than in connection with a promotion) will generally be granted, if at all, on an annual basis effective on the date on which such award is approved by the Board of Directors, the Compensation Committee or the Equity Grant Committee.</w:t>
      </w:r>
    </w:p>
    <w:p>
      <w:pPr>
        <w:spacing w:after="0" w:line="138" w:lineRule="exact"/>
        <w:rPr>
          <w:sz w:val="20"/>
          <w:szCs w:val="20"/>
          <w:color w:val="auto"/>
        </w:rPr>
      </w:pPr>
    </w:p>
    <w:p>
      <w:pPr>
        <w:ind w:right="840"/>
        <w:spacing w:after="0" w:line="317" w:lineRule="auto"/>
        <w:rPr>
          <w:sz w:val="20"/>
          <w:szCs w:val="20"/>
          <w:color w:val="auto"/>
        </w:rPr>
      </w:pPr>
      <w:r>
        <w:rPr>
          <w:rFonts w:ascii="Arial" w:cs="Arial" w:eastAsia="Arial" w:hAnsi="Arial"/>
          <w:sz w:val="15"/>
          <w:szCs w:val="15"/>
          <w:color w:val="0E191E"/>
        </w:rPr>
        <w:t>Our Board of Directors and the Compensation Committee retain the discretion to grant equity awards at other times to the extent appropriate in light of the circumstances of such awards.</w:t>
      </w:r>
    </w:p>
    <w:p>
      <w:pPr>
        <w:spacing w:after="0" w:line="138" w:lineRule="exact"/>
        <w:rPr>
          <w:sz w:val="20"/>
          <w:szCs w:val="20"/>
          <w:color w:val="auto"/>
        </w:rPr>
      </w:pPr>
    </w:p>
    <w:p>
      <w:pPr>
        <w:jc w:val="both"/>
        <w:ind w:right="60"/>
        <w:spacing w:after="0" w:line="306" w:lineRule="auto"/>
        <w:rPr>
          <w:sz w:val="20"/>
          <w:szCs w:val="20"/>
          <w:color w:val="auto"/>
        </w:rPr>
      </w:pPr>
      <w:r>
        <w:rPr>
          <w:rFonts w:ascii="Arial" w:cs="Arial" w:eastAsia="Arial" w:hAnsi="Arial"/>
          <w:sz w:val="15"/>
          <w:szCs w:val="15"/>
          <w:color w:val="0E191E"/>
        </w:rPr>
        <w:t>In addition, the policy sets forth the manner in which our equity awards will be priced. If an award of restricted stock or restricted stock units is denominated in dollars, the number of shares subject to the award will be determined by dividing the dollar value by the average closing market price on the NYSE of a share of our common stock over the fiscal quarter immediately preceding the effective date of grant, with such total number of shares rounded up to the nearest whole share. The exercise price of all stock options will be at equal to the closing market price on the NYSE of a share of our common stock on the effective date of grant. If</w:t>
      </w:r>
    </w:p>
    <w:p>
      <w:pPr>
        <w:spacing w:after="0" w:line="358"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46</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1" w:right="339" w:bottom="1440" w:gutter="0" w:footer="0" w:header="0"/>
        </w:sectPr>
      </w:pPr>
    </w:p>
    <w:bookmarkStart w:id="50" w:name="page51"/>
    <w:bookmarkEnd w:id="50"/>
    <w:p>
      <w:pPr>
        <w:ind w:right="20"/>
        <w:spacing w:after="0" w:line="306" w:lineRule="auto"/>
        <w:rPr>
          <w:sz w:val="20"/>
          <w:szCs w:val="20"/>
          <w:color w:val="auto"/>
        </w:rPr>
      </w:pPr>
      <w:r>
        <w:rPr>
          <w:rFonts w:ascii="Arial" w:cs="Arial" w:eastAsia="Arial" w:hAnsi="Arial"/>
          <w:sz w:val="15"/>
          <w:szCs w:val="15"/>
          <w:color w:val="0E191E"/>
        </w:rPr>
        <w:t>the amount of a stock option award is to be determined by reference to a fair value calculated under Financial Accounting Standards Board Accounting Standard Codification Topic 718, Stock Compensation, or FASB ASC Topic 718, then the number of shares to be subject to such stock option will be determined based on such fair value, and the exercise price determined in accordance with the preceding sentence and the approved valuation assumptions, subject to any other limits on the number of shares that may be subject to such stock option.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Tax and Accounting Considerations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1EB7DF"/>
        </w:rPr>
        <w:t>Deductibility of Executive Compensation</w:t>
      </w:r>
    </w:p>
    <w:p>
      <w:pPr>
        <w:spacing w:after="0" w:line="47"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0E191E"/>
        </w:rPr>
        <w:t>Section 162(m) of the Code generally disallows public companies a tax deduction for federal income tax purposes of remuneration in excess of $1 million paid to certain specified executive officers, including a public corporation’s chief executive officer, chief financial officer and each of the three other most highly compensated executive officers whose compensation is required to be disclosed to stockholders under the Exchange Act.</w:t>
      </w:r>
    </w:p>
    <w:p>
      <w:pPr>
        <w:spacing w:after="0" w:line="146"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0E191E"/>
        </w:rPr>
        <w:t>Pursuant to the Tax Cuts and Jobs Act of 2017, which was signed into law on December 22, 2017 (the “Tax Act”), for years beginning after December 31, 2017, all remuneration in excess of $1 million paid to a specified executive is not deductible. In addition, under the Tax Act, once an executive becomes a "covered employee" under Section 162(m) of the Code, the individual will continue to be a “covered employee” as long as he or she remains employed by the company.</w:t>
      </w:r>
    </w:p>
    <w:p>
      <w:pPr>
        <w:spacing w:after="0" w:line="146" w:lineRule="exact"/>
        <w:rPr>
          <w:sz w:val="20"/>
          <w:szCs w:val="20"/>
          <w:color w:val="auto"/>
        </w:rPr>
      </w:pPr>
    </w:p>
    <w:p>
      <w:pPr>
        <w:ind w:right="120"/>
        <w:spacing w:after="0" w:line="303" w:lineRule="auto"/>
        <w:rPr>
          <w:sz w:val="20"/>
          <w:szCs w:val="20"/>
          <w:color w:val="auto"/>
        </w:rPr>
      </w:pPr>
      <w:r>
        <w:rPr>
          <w:rFonts w:ascii="Arial" w:cs="Arial" w:eastAsia="Arial" w:hAnsi="Arial"/>
          <w:sz w:val="15"/>
          <w:szCs w:val="15"/>
          <w:color w:val="0E191E"/>
        </w:rPr>
        <w:t>In approving the amount and form of compensation for our executive officers, the Compensation Committee is mindful of the benefit of receiving full deductibility of compensation; however, our Compensation Committee believes that we should not be constrained by the requirements of Section 162(m) of the Code, where such requirements would impair our flexibility in compensating our executive officers in a manner that can best promote our corporate objectives and attract and retain executive talent. Our Compensation Committee monitors the application of Section 162(m) of the Code, as well as developments under Section 162(m) of the Code, and balances the benefits of potentially paying compensation that is deductible under Section 162(m) with our need to have the flexibility to maintain compensation plans that are designed to promote our objectives.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1EB7DF"/>
        </w:rPr>
        <w:t>Taxation of “Parachute” Payments</w:t>
      </w:r>
    </w:p>
    <w:p>
      <w:pPr>
        <w:spacing w:after="0" w:line="47" w:lineRule="exact"/>
        <w:rPr>
          <w:sz w:val="20"/>
          <w:szCs w:val="20"/>
          <w:color w:val="auto"/>
        </w:rPr>
      </w:pPr>
    </w:p>
    <w:p>
      <w:pPr>
        <w:spacing w:after="0" w:line="304" w:lineRule="auto"/>
        <w:rPr>
          <w:sz w:val="20"/>
          <w:szCs w:val="20"/>
          <w:color w:val="auto"/>
        </w:rPr>
      </w:pPr>
      <w:r>
        <w:rPr>
          <w:rFonts w:ascii="Arial" w:cs="Arial" w:eastAsia="Arial" w:hAnsi="Arial"/>
          <w:sz w:val="15"/>
          <w:szCs w:val="15"/>
          <w:color w:val="0E191E"/>
        </w:rPr>
        <w:t>Sections 280G and 4999 of the Code provide that executive officers and directors who hold significant equity interests and certain other service providers may be subject to significant additional taxes if they receive payments or benefits in connection with a change in control of the company that exceeds certain prescribed limits, and that the company (or a successor) may forfeit a deduction on the amounts subject to this additional tax. We have not agreed to provide any executive officer, including any Named Executive Officer, with a “gross-up” or other reimbursement payment for any tax liability that the executive officer might owe as a result of the application of Sections 280G or 4999 of the Code.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1EB7DF"/>
        </w:rPr>
        <w:t>Accounting for Stock-Based Compensation</w:t>
      </w:r>
    </w:p>
    <w:p>
      <w:pPr>
        <w:spacing w:after="0" w:line="47" w:lineRule="exact"/>
        <w:rPr>
          <w:sz w:val="20"/>
          <w:szCs w:val="20"/>
          <w:color w:val="auto"/>
        </w:rPr>
      </w:pPr>
    </w:p>
    <w:p>
      <w:pPr>
        <w:ind w:right="120"/>
        <w:spacing w:after="0" w:line="304" w:lineRule="auto"/>
        <w:rPr>
          <w:sz w:val="20"/>
          <w:szCs w:val="20"/>
          <w:color w:val="auto"/>
        </w:rPr>
      </w:pPr>
      <w:r>
        <w:rPr>
          <w:rFonts w:ascii="Arial" w:cs="Arial" w:eastAsia="Arial" w:hAnsi="Arial"/>
          <w:sz w:val="15"/>
          <w:szCs w:val="15"/>
          <w:color w:val="0E191E"/>
        </w:rPr>
        <w:t>We follow FASB ASC Topic 718 for our stock-based compensation awards. FASB ASC Topic 718 requires companies to measure the compensation expense for all share-based payment awards made to employees and directors, based on the grant date “fair value” of these awards. This calculation is performed for accounting purposes and reported in the compensation tables below, even though our executive officers may never realize any value from their awards. FASB ASC Topic 718 also requires companies to recognize the compensation cost of their stock-based compensation awards in their income statements over the period that an executive officer is required to render service in exchange for the option or other stock-based award.</w:t>
      </w:r>
    </w:p>
    <w:p>
      <w:pPr>
        <w:spacing w:after="0" w:line="361"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47</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811"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00739D"/>
        </w:rPr>
        <w:t>Summary Compensation Table</w:t>
      </w:r>
    </w:p>
    <w:p>
      <w:pPr>
        <w:spacing w:after="0" w:line="136" w:lineRule="exact"/>
        <w:rPr>
          <w:sz w:val="20"/>
          <w:szCs w:val="20"/>
          <w:color w:val="auto"/>
        </w:rPr>
      </w:pPr>
    </w:p>
    <w:p>
      <w:pPr>
        <w:ind w:right="140"/>
        <w:spacing w:after="0" w:line="317" w:lineRule="auto"/>
        <w:rPr>
          <w:sz w:val="20"/>
          <w:szCs w:val="20"/>
          <w:color w:val="auto"/>
        </w:rPr>
      </w:pPr>
      <w:r>
        <w:rPr>
          <w:rFonts w:ascii="Arial" w:cs="Arial" w:eastAsia="Arial" w:hAnsi="Arial"/>
          <w:sz w:val="15"/>
          <w:szCs w:val="15"/>
          <w:color w:val="0E191E"/>
        </w:rPr>
        <w:t>The following table summarizes the compensation that we paid to, or that was earned by or granted to, each of the Named Executive Officers during our fiscal years 2021, 2020, and 2019.</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 w:type="dxa"/>
            <w:vAlign w:val="bottom"/>
            <w:shd w:val="clear" w:color="auto" w:fill="00739D"/>
          </w:tcPr>
          <w:p>
            <w:pPr>
              <w:spacing w:after="0"/>
              <w:rPr>
                <w:sz w:val="14"/>
                <w:szCs w:val="14"/>
                <w:color w:val="auto"/>
              </w:rPr>
            </w:pPr>
          </w:p>
        </w:tc>
        <w:tc>
          <w:tcPr>
            <w:tcW w:w="760" w:type="dxa"/>
            <w:vAlign w:val="bottom"/>
            <w:shd w:val="clear" w:color="auto" w:fill="00739D"/>
          </w:tcPr>
          <w:p>
            <w:pPr>
              <w:spacing w:after="0"/>
              <w:rPr>
                <w:sz w:val="14"/>
                <w:szCs w:val="14"/>
                <w:color w:val="auto"/>
              </w:rPr>
            </w:pPr>
          </w:p>
        </w:tc>
        <w:tc>
          <w:tcPr>
            <w:tcW w:w="100" w:type="dxa"/>
            <w:vAlign w:val="bottom"/>
            <w:shd w:val="clear" w:color="auto" w:fill="00739D"/>
          </w:tcPr>
          <w:p>
            <w:pPr>
              <w:spacing w:after="0"/>
              <w:rPr>
                <w:sz w:val="14"/>
                <w:szCs w:val="14"/>
                <w:color w:val="auto"/>
              </w:rPr>
            </w:pPr>
          </w:p>
        </w:tc>
        <w:tc>
          <w:tcPr>
            <w:tcW w:w="60" w:type="dxa"/>
            <w:vAlign w:val="bottom"/>
            <w:shd w:val="clear" w:color="auto" w:fill="00739D"/>
          </w:tcPr>
          <w:p>
            <w:pPr>
              <w:spacing w:after="0"/>
              <w:rPr>
                <w:sz w:val="14"/>
                <w:szCs w:val="14"/>
                <w:color w:val="auto"/>
              </w:rPr>
            </w:pPr>
          </w:p>
        </w:tc>
        <w:tc>
          <w:tcPr>
            <w:tcW w:w="140" w:type="dxa"/>
            <w:vAlign w:val="bottom"/>
            <w:shd w:val="clear" w:color="auto" w:fill="00739D"/>
          </w:tcPr>
          <w:p>
            <w:pPr>
              <w:spacing w:after="0"/>
              <w:rPr>
                <w:sz w:val="14"/>
                <w:szCs w:val="14"/>
                <w:color w:val="auto"/>
              </w:rPr>
            </w:pPr>
          </w:p>
        </w:tc>
        <w:tc>
          <w:tcPr>
            <w:tcW w:w="2120" w:type="dxa"/>
            <w:vAlign w:val="bottom"/>
            <w:shd w:val="clear" w:color="auto" w:fill="00739D"/>
          </w:tcPr>
          <w:p>
            <w:pPr>
              <w:spacing w:after="0"/>
              <w:rPr>
                <w:sz w:val="14"/>
                <w:szCs w:val="14"/>
                <w:color w:val="auto"/>
              </w:rPr>
            </w:pPr>
          </w:p>
        </w:tc>
        <w:tc>
          <w:tcPr>
            <w:tcW w:w="920" w:type="dxa"/>
            <w:vAlign w:val="bottom"/>
            <w:shd w:val="clear" w:color="auto" w:fill="00739D"/>
          </w:tcPr>
          <w:p>
            <w:pPr>
              <w:spacing w:after="0"/>
              <w:rPr>
                <w:sz w:val="14"/>
                <w:szCs w:val="14"/>
                <w:color w:val="auto"/>
              </w:rPr>
            </w:pPr>
          </w:p>
        </w:tc>
        <w:tc>
          <w:tcPr>
            <w:tcW w:w="1360" w:type="dxa"/>
            <w:vAlign w:val="bottom"/>
            <w:shd w:val="clear" w:color="auto" w:fill="00739D"/>
          </w:tcPr>
          <w:p>
            <w:pPr>
              <w:spacing w:after="0"/>
              <w:rPr>
                <w:sz w:val="14"/>
                <w:szCs w:val="14"/>
                <w:color w:val="auto"/>
              </w:rPr>
            </w:pPr>
          </w:p>
        </w:tc>
        <w:tc>
          <w:tcPr>
            <w:tcW w:w="1380" w:type="dxa"/>
            <w:vAlign w:val="bottom"/>
            <w:shd w:val="clear" w:color="auto" w:fill="00739D"/>
          </w:tcPr>
          <w:p>
            <w:pPr>
              <w:spacing w:after="0"/>
              <w:rPr>
                <w:sz w:val="14"/>
                <w:szCs w:val="14"/>
                <w:color w:val="auto"/>
              </w:rPr>
            </w:pPr>
          </w:p>
        </w:tc>
        <w:tc>
          <w:tcPr>
            <w:tcW w:w="1660" w:type="dxa"/>
            <w:vAlign w:val="bottom"/>
            <w:shd w:val="clear" w:color="auto" w:fill="00739D"/>
          </w:tcPr>
          <w:p>
            <w:pPr>
              <w:jc w:val="right"/>
              <w:ind w:right="293"/>
              <w:spacing w:after="0"/>
              <w:rPr>
                <w:sz w:val="20"/>
                <w:szCs w:val="20"/>
                <w:color w:val="auto"/>
              </w:rPr>
            </w:pPr>
            <w:r>
              <w:rPr>
                <w:rFonts w:ascii="Arial" w:cs="Arial" w:eastAsia="Arial" w:hAnsi="Arial"/>
                <w:sz w:val="13"/>
                <w:szCs w:val="13"/>
                <w:b w:val="1"/>
                <w:bCs w:val="1"/>
                <w:color w:val="FFFFFF"/>
              </w:rPr>
              <w:t>Non-Equity</w:t>
            </w:r>
          </w:p>
        </w:tc>
        <w:tc>
          <w:tcPr>
            <w:tcW w:w="1500" w:type="dxa"/>
            <w:vAlign w:val="bottom"/>
            <w:shd w:val="clear" w:color="auto" w:fill="00739D"/>
          </w:tcPr>
          <w:p>
            <w:pPr>
              <w:spacing w:after="0"/>
              <w:rPr>
                <w:sz w:val="14"/>
                <w:szCs w:val="14"/>
                <w:color w:val="auto"/>
              </w:rPr>
            </w:pPr>
          </w:p>
        </w:tc>
        <w:tc>
          <w:tcPr>
            <w:tcW w:w="1000" w:type="dxa"/>
            <w:vAlign w:val="bottom"/>
            <w:shd w:val="clear" w:color="auto" w:fill="00739D"/>
          </w:tcPr>
          <w:p>
            <w:pPr>
              <w:spacing w:after="0"/>
              <w:rPr>
                <w:sz w:val="14"/>
                <w:szCs w:val="14"/>
                <w:color w:val="auto"/>
              </w:rPr>
            </w:pPr>
          </w:p>
        </w:tc>
        <w:tc>
          <w:tcPr>
            <w:tcW w:w="140" w:type="dxa"/>
            <w:vAlign w:val="bottom"/>
            <w:shd w:val="clear" w:color="auto" w:fill="00739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739D"/>
          </w:tcPr>
          <w:p>
            <w:pPr>
              <w:spacing w:after="0"/>
              <w:rPr>
                <w:sz w:val="14"/>
                <w:szCs w:val="14"/>
                <w:color w:val="auto"/>
              </w:rPr>
            </w:pPr>
          </w:p>
        </w:tc>
        <w:tc>
          <w:tcPr>
            <w:tcW w:w="760" w:type="dxa"/>
            <w:vAlign w:val="bottom"/>
            <w:shd w:val="clear" w:color="auto" w:fill="00739D"/>
          </w:tcPr>
          <w:p>
            <w:pPr>
              <w:spacing w:after="0"/>
              <w:rPr>
                <w:sz w:val="14"/>
                <w:szCs w:val="14"/>
                <w:color w:val="auto"/>
              </w:rPr>
            </w:pPr>
          </w:p>
        </w:tc>
        <w:tc>
          <w:tcPr>
            <w:tcW w:w="100" w:type="dxa"/>
            <w:vAlign w:val="bottom"/>
            <w:shd w:val="clear" w:color="auto" w:fill="00739D"/>
          </w:tcPr>
          <w:p>
            <w:pPr>
              <w:spacing w:after="0"/>
              <w:rPr>
                <w:sz w:val="14"/>
                <w:szCs w:val="14"/>
                <w:color w:val="auto"/>
              </w:rPr>
            </w:pPr>
          </w:p>
        </w:tc>
        <w:tc>
          <w:tcPr>
            <w:tcW w:w="60" w:type="dxa"/>
            <w:vAlign w:val="bottom"/>
            <w:shd w:val="clear" w:color="auto" w:fill="00739D"/>
          </w:tcPr>
          <w:p>
            <w:pPr>
              <w:spacing w:after="0"/>
              <w:rPr>
                <w:sz w:val="14"/>
                <w:szCs w:val="14"/>
                <w:color w:val="auto"/>
              </w:rPr>
            </w:pPr>
          </w:p>
        </w:tc>
        <w:tc>
          <w:tcPr>
            <w:tcW w:w="140" w:type="dxa"/>
            <w:vAlign w:val="bottom"/>
            <w:shd w:val="clear" w:color="auto" w:fill="00739D"/>
          </w:tcPr>
          <w:p>
            <w:pPr>
              <w:spacing w:after="0"/>
              <w:rPr>
                <w:sz w:val="14"/>
                <w:szCs w:val="14"/>
                <w:color w:val="auto"/>
              </w:rPr>
            </w:pPr>
          </w:p>
        </w:tc>
        <w:tc>
          <w:tcPr>
            <w:tcW w:w="2120" w:type="dxa"/>
            <w:vAlign w:val="bottom"/>
            <w:shd w:val="clear" w:color="auto" w:fill="00739D"/>
          </w:tcPr>
          <w:p>
            <w:pPr>
              <w:spacing w:after="0"/>
              <w:rPr>
                <w:sz w:val="14"/>
                <w:szCs w:val="14"/>
                <w:color w:val="auto"/>
              </w:rPr>
            </w:pPr>
          </w:p>
        </w:tc>
        <w:tc>
          <w:tcPr>
            <w:tcW w:w="920" w:type="dxa"/>
            <w:vAlign w:val="bottom"/>
            <w:shd w:val="clear" w:color="auto" w:fill="00739D"/>
          </w:tcPr>
          <w:p>
            <w:pPr>
              <w:spacing w:after="0"/>
              <w:rPr>
                <w:sz w:val="14"/>
                <w:szCs w:val="14"/>
                <w:color w:val="auto"/>
              </w:rPr>
            </w:pPr>
          </w:p>
        </w:tc>
        <w:tc>
          <w:tcPr>
            <w:tcW w:w="1360" w:type="dxa"/>
            <w:vAlign w:val="bottom"/>
            <w:shd w:val="clear" w:color="auto" w:fill="00739D"/>
          </w:tcPr>
          <w:p>
            <w:pPr>
              <w:jc w:val="right"/>
              <w:ind w:right="233"/>
              <w:spacing w:after="0"/>
              <w:rPr>
                <w:sz w:val="20"/>
                <w:szCs w:val="20"/>
                <w:color w:val="auto"/>
              </w:rPr>
            </w:pPr>
            <w:r>
              <w:rPr>
                <w:rFonts w:ascii="Arial" w:cs="Arial" w:eastAsia="Arial" w:hAnsi="Arial"/>
                <w:sz w:val="13"/>
                <w:szCs w:val="13"/>
                <w:b w:val="1"/>
                <w:bCs w:val="1"/>
                <w:color w:val="FFFFFF"/>
              </w:rPr>
              <w:t>Base</w:t>
            </w:r>
          </w:p>
        </w:tc>
        <w:tc>
          <w:tcPr>
            <w:tcW w:w="1380" w:type="dxa"/>
            <w:vAlign w:val="bottom"/>
            <w:shd w:val="clear" w:color="auto" w:fill="00739D"/>
          </w:tcPr>
          <w:p>
            <w:pPr>
              <w:jc w:val="right"/>
              <w:ind w:right="374"/>
              <w:spacing w:after="0"/>
              <w:rPr>
                <w:sz w:val="20"/>
                <w:szCs w:val="20"/>
                <w:color w:val="auto"/>
              </w:rPr>
            </w:pPr>
            <w:r>
              <w:rPr>
                <w:rFonts w:ascii="Arial" w:cs="Arial" w:eastAsia="Arial" w:hAnsi="Arial"/>
                <w:sz w:val="13"/>
                <w:szCs w:val="13"/>
                <w:b w:val="1"/>
                <w:bCs w:val="1"/>
                <w:color w:val="FFFFFF"/>
              </w:rPr>
              <w:t>Stock</w:t>
            </w:r>
          </w:p>
        </w:tc>
        <w:tc>
          <w:tcPr>
            <w:tcW w:w="1660" w:type="dxa"/>
            <w:vAlign w:val="bottom"/>
            <w:shd w:val="clear" w:color="auto" w:fill="00739D"/>
          </w:tcPr>
          <w:p>
            <w:pPr>
              <w:jc w:val="right"/>
              <w:ind w:right="253"/>
              <w:spacing w:after="0"/>
              <w:rPr>
                <w:sz w:val="20"/>
                <w:szCs w:val="20"/>
                <w:color w:val="auto"/>
              </w:rPr>
            </w:pPr>
            <w:r>
              <w:rPr>
                <w:rFonts w:ascii="Arial" w:cs="Arial" w:eastAsia="Arial" w:hAnsi="Arial"/>
                <w:sz w:val="13"/>
                <w:szCs w:val="13"/>
                <w:b w:val="1"/>
                <w:bCs w:val="1"/>
                <w:color w:val="FFFFFF"/>
              </w:rPr>
              <w:t>Incentive Plan</w:t>
            </w:r>
          </w:p>
        </w:tc>
        <w:tc>
          <w:tcPr>
            <w:tcW w:w="1500" w:type="dxa"/>
            <w:vAlign w:val="bottom"/>
            <w:shd w:val="clear" w:color="auto" w:fill="00739D"/>
          </w:tcPr>
          <w:p>
            <w:pPr>
              <w:jc w:val="right"/>
              <w:ind w:right="174"/>
              <w:spacing w:after="0"/>
              <w:rPr>
                <w:sz w:val="20"/>
                <w:szCs w:val="20"/>
                <w:color w:val="auto"/>
              </w:rPr>
            </w:pPr>
            <w:r>
              <w:rPr>
                <w:rFonts w:ascii="Arial" w:cs="Arial" w:eastAsia="Arial" w:hAnsi="Arial"/>
                <w:sz w:val="13"/>
                <w:szCs w:val="13"/>
                <w:b w:val="1"/>
                <w:bCs w:val="1"/>
                <w:color w:val="FFFFFF"/>
              </w:rPr>
              <w:t>All Other</w:t>
            </w:r>
          </w:p>
        </w:tc>
        <w:tc>
          <w:tcPr>
            <w:tcW w:w="1000" w:type="dxa"/>
            <w:vAlign w:val="bottom"/>
            <w:shd w:val="clear" w:color="auto" w:fill="00739D"/>
          </w:tcPr>
          <w:p>
            <w:pPr>
              <w:spacing w:after="0"/>
              <w:rPr>
                <w:sz w:val="14"/>
                <w:szCs w:val="14"/>
                <w:color w:val="auto"/>
              </w:rPr>
            </w:pPr>
          </w:p>
        </w:tc>
        <w:tc>
          <w:tcPr>
            <w:tcW w:w="140" w:type="dxa"/>
            <w:vAlign w:val="bottom"/>
            <w:shd w:val="clear" w:color="auto" w:fill="00739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739D"/>
          </w:tcPr>
          <w:p>
            <w:pPr>
              <w:spacing w:after="0"/>
              <w:rPr>
                <w:sz w:val="14"/>
                <w:szCs w:val="14"/>
                <w:color w:val="auto"/>
              </w:rPr>
            </w:pPr>
          </w:p>
        </w:tc>
        <w:tc>
          <w:tcPr>
            <w:tcW w:w="3180" w:type="dxa"/>
            <w:vAlign w:val="bottom"/>
            <w:gridSpan w:val="5"/>
            <w:shd w:val="clear" w:color="auto" w:fill="00739D"/>
          </w:tcPr>
          <w:p>
            <w:pPr>
              <w:spacing w:after="0"/>
              <w:rPr>
                <w:sz w:val="20"/>
                <w:szCs w:val="20"/>
                <w:color w:val="auto"/>
              </w:rPr>
            </w:pPr>
            <w:r>
              <w:rPr>
                <w:rFonts w:ascii="Arial" w:cs="Arial" w:eastAsia="Arial" w:hAnsi="Arial"/>
                <w:sz w:val="13"/>
                <w:szCs w:val="13"/>
                <w:b w:val="1"/>
                <w:bCs w:val="1"/>
                <w:color w:val="FFFFFF"/>
              </w:rPr>
              <w:t>Name and</w:t>
            </w:r>
          </w:p>
        </w:tc>
        <w:tc>
          <w:tcPr>
            <w:tcW w:w="920" w:type="dxa"/>
            <w:vAlign w:val="bottom"/>
            <w:shd w:val="clear" w:color="auto" w:fill="00739D"/>
          </w:tcPr>
          <w:p>
            <w:pPr>
              <w:spacing w:after="0"/>
              <w:rPr>
                <w:sz w:val="14"/>
                <w:szCs w:val="14"/>
                <w:color w:val="auto"/>
              </w:rPr>
            </w:pPr>
          </w:p>
        </w:tc>
        <w:tc>
          <w:tcPr>
            <w:tcW w:w="1360" w:type="dxa"/>
            <w:vAlign w:val="bottom"/>
            <w:shd w:val="clear" w:color="auto" w:fill="00739D"/>
          </w:tcPr>
          <w:p>
            <w:pPr>
              <w:jc w:val="right"/>
              <w:ind w:right="193"/>
              <w:spacing w:after="0"/>
              <w:rPr>
                <w:sz w:val="20"/>
                <w:szCs w:val="20"/>
                <w:color w:val="auto"/>
              </w:rPr>
            </w:pPr>
            <w:r>
              <w:rPr>
                <w:rFonts w:ascii="Arial" w:cs="Arial" w:eastAsia="Arial" w:hAnsi="Arial"/>
                <w:sz w:val="13"/>
                <w:szCs w:val="13"/>
                <w:b w:val="1"/>
                <w:bCs w:val="1"/>
                <w:color w:val="FFFFFF"/>
              </w:rPr>
              <w:t>Salary</w:t>
            </w:r>
          </w:p>
        </w:tc>
        <w:tc>
          <w:tcPr>
            <w:tcW w:w="1380" w:type="dxa"/>
            <w:vAlign w:val="bottom"/>
            <w:shd w:val="clear" w:color="auto" w:fill="00739D"/>
          </w:tcPr>
          <w:p>
            <w:pPr>
              <w:jc w:val="right"/>
              <w:ind w:right="334"/>
              <w:spacing w:after="0"/>
              <w:rPr>
                <w:sz w:val="20"/>
                <w:szCs w:val="20"/>
                <w:color w:val="auto"/>
              </w:rPr>
            </w:pPr>
            <w:r>
              <w:rPr>
                <w:rFonts w:ascii="Arial" w:cs="Arial" w:eastAsia="Arial" w:hAnsi="Arial"/>
                <w:sz w:val="13"/>
                <w:szCs w:val="13"/>
                <w:b w:val="1"/>
                <w:bCs w:val="1"/>
                <w:color w:val="FFFFFF"/>
              </w:rPr>
              <w:t>Awards</w:t>
            </w:r>
          </w:p>
        </w:tc>
        <w:tc>
          <w:tcPr>
            <w:tcW w:w="1660" w:type="dxa"/>
            <w:vAlign w:val="bottom"/>
            <w:shd w:val="clear" w:color="auto" w:fill="00739D"/>
          </w:tcPr>
          <w:p>
            <w:pPr>
              <w:jc w:val="right"/>
              <w:ind w:right="253"/>
              <w:spacing w:after="0"/>
              <w:rPr>
                <w:sz w:val="20"/>
                <w:szCs w:val="20"/>
                <w:color w:val="auto"/>
              </w:rPr>
            </w:pPr>
            <w:r>
              <w:rPr>
                <w:rFonts w:ascii="Arial" w:cs="Arial" w:eastAsia="Arial" w:hAnsi="Arial"/>
                <w:sz w:val="13"/>
                <w:szCs w:val="13"/>
                <w:b w:val="1"/>
                <w:bCs w:val="1"/>
                <w:color w:val="FFFFFF"/>
              </w:rPr>
              <w:t>Compensation</w:t>
            </w:r>
          </w:p>
        </w:tc>
        <w:tc>
          <w:tcPr>
            <w:tcW w:w="1500" w:type="dxa"/>
            <w:vAlign w:val="bottom"/>
            <w:shd w:val="clear" w:color="auto" w:fill="00739D"/>
          </w:tcPr>
          <w:p>
            <w:pPr>
              <w:jc w:val="right"/>
              <w:ind w:right="174"/>
              <w:spacing w:after="0"/>
              <w:rPr>
                <w:sz w:val="20"/>
                <w:szCs w:val="20"/>
                <w:color w:val="auto"/>
              </w:rPr>
            </w:pPr>
            <w:r>
              <w:rPr>
                <w:rFonts w:ascii="Arial" w:cs="Arial" w:eastAsia="Arial" w:hAnsi="Arial"/>
                <w:sz w:val="13"/>
                <w:szCs w:val="13"/>
                <w:b w:val="1"/>
                <w:bCs w:val="1"/>
                <w:color w:val="FFFFFF"/>
              </w:rPr>
              <w:t>Compensation</w:t>
            </w:r>
          </w:p>
        </w:tc>
        <w:tc>
          <w:tcPr>
            <w:tcW w:w="1140" w:type="dxa"/>
            <w:vAlign w:val="bottom"/>
            <w:gridSpan w:val="2"/>
            <w:shd w:val="clear" w:color="auto" w:fill="00739D"/>
          </w:tcPr>
          <w:p>
            <w:pPr>
              <w:jc w:val="right"/>
              <w:ind w:right="200"/>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206"/>
        </w:trPr>
        <w:tc>
          <w:tcPr>
            <w:tcW w:w="100" w:type="dxa"/>
            <w:vAlign w:val="bottom"/>
            <w:shd w:val="clear" w:color="auto" w:fill="00739D"/>
          </w:tcPr>
          <w:p>
            <w:pPr>
              <w:spacing w:after="0"/>
              <w:rPr>
                <w:sz w:val="17"/>
                <w:szCs w:val="17"/>
                <w:color w:val="auto"/>
              </w:rPr>
            </w:pPr>
          </w:p>
        </w:tc>
        <w:tc>
          <w:tcPr>
            <w:tcW w:w="3180" w:type="dxa"/>
            <w:vAlign w:val="bottom"/>
            <w:gridSpan w:val="5"/>
            <w:shd w:val="clear" w:color="auto" w:fill="00739D"/>
          </w:tcPr>
          <w:p>
            <w:pPr>
              <w:spacing w:after="0"/>
              <w:rPr>
                <w:sz w:val="20"/>
                <w:szCs w:val="20"/>
                <w:color w:val="auto"/>
              </w:rPr>
            </w:pPr>
            <w:r>
              <w:rPr>
                <w:rFonts w:ascii="Arial" w:cs="Arial" w:eastAsia="Arial" w:hAnsi="Arial"/>
                <w:sz w:val="13"/>
                <w:szCs w:val="13"/>
                <w:b w:val="1"/>
                <w:bCs w:val="1"/>
                <w:color w:val="FFFFFF"/>
              </w:rPr>
              <w:t>Principal Position</w:t>
            </w:r>
          </w:p>
        </w:tc>
        <w:tc>
          <w:tcPr>
            <w:tcW w:w="920" w:type="dxa"/>
            <w:vAlign w:val="bottom"/>
            <w:shd w:val="clear" w:color="auto" w:fill="00739D"/>
          </w:tcPr>
          <w:p>
            <w:pPr>
              <w:ind w:left="320"/>
              <w:spacing w:after="0"/>
              <w:rPr>
                <w:sz w:val="20"/>
                <w:szCs w:val="20"/>
                <w:color w:val="auto"/>
              </w:rPr>
            </w:pPr>
            <w:r>
              <w:rPr>
                <w:rFonts w:ascii="Arial" w:cs="Arial" w:eastAsia="Arial" w:hAnsi="Arial"/>
                <w:sz w:val="13"/>
                <w:szCs w:val="13"/>
                <w:b w:val="1"/>
                <w:bCs w:val="1"/>
                <w:color w:val="FFFFFF"/>
              </w:rPr>
              <w:t>Year</w:t>
            </w:r>
          </w:p>
        </w:tc>
        <w:tc>
          <w:tcPr>
            <w:tcW w:w="1360" w:type="dxa"/>
            <w:vAlign w:val="bottom"/>
            <w:shd w:val="clear" w:color="auto" w:fill="00739D"/>
          </w:tcPr>
          <w:p>
            <w:pPr>
              <w:jc w:val="right"/>
              <w:ind w:right="193"/>
              <w:spacing w:after="0"/>
              <w:rPr>
                <w:sz w:val="20"/>
                <w:szCs w:val="20"/>
                <w:color w:val="auto"/>
              </w:rPr>
            </w:pPr>
            <w:r>
              <w:rPr>
                <w:rFonts w:ascii="Arial" w:cs="Arial" w:eastAsia="Arial" w:hAnsi="Arial"/>
                <w:sz w:val="13"/>
                <w:szCs w:val="13"/>
                <w:b w:val="1"/>
                <w:bCs w:val="1"/>
                <w:color w:val="FFFFFF"/>
              </w:rPr>
              <w:t>($)</w:t>
            </w:r>
          </w:p>
        </w:tc>
        <w:tc>
          <w:tcPr>
            <w:tcW w:w="1380" w:type="dxa"/>
            <w:vAlign w:val="bottom"/>
            <w:shd w:val="clear" w:color="auto" w:fill="00739D"/>
          </w:tcPr>
          <w:p>
            <w:pPr>
              <w:jc w:val="right"/>
              <w:ind w:right="334"/>
              <w:spacing w:after="0" w:line="205"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8"/>
                <w:szCs w:val="8"/>
                <w:b w:val="1"/>
                <w:bCs w:val="1"/>
                <w:color w:val="FFFFFF"/>
              </w:rPr>
              <w:t>(1)</w:t>
            </w:r>
          </w:p>
        </w:tc>
        <w:tc>
          <w:tcPr>
            <w:tcW w:w="1660" w:type="dxa"/>
            <w:vAlign w:val="bottom"/>
            <w:shd w:val="clear" w:color="auto" w:fill="00739D"/>
          </w:tcPr>
          <w:p>
            <w:pPr>
              <w:jc w:val="right"/>
              <w:ind w:right="253"/>
              <w:spacing w:after="0"/>
              <w:rPr>
                <w:sz w:val="20"/>
                <w:szCs w:val="20"/>
                <w:color w:val="auto"/>
              </w:rPr>
            </w:pPr>
            <w:r>
              <w:rPr>
                <w:rFonts w:ascii="Arial" w:cs="Arial" w:eastAsia="Arial" w:hAnsi="Arial"/>
                <w:sz w:val="13"/>
                <w:szCs w:val="13"/>
                <w:b w:val="1"/>
                <w:bCs w:val="1"/>
                <w:color w:val="FFFFFF"/>
              </w:rPr>
              <w:t>($)</w:t>
            </w:r>
          </w:p>
        </w:tc>
        <w:tc>
          <w:tcPr>
            <w:tcW w:w="1500" w:type="dxa"/>
            <w:vAlign w:val="bottom"/>
            <w:shd w:val="clear" w:color="auto" w:fill="00739D"/>
          </w:tcPr>
          <w:p>
            <w:pPr>
              <w:jc w:val="right"/>
              <w:ind w:right="174"/>
              <w:spacing w:after="0" w:line="205"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8"/>
                <w:szCs w:val="8"/>
                <w:b w:val="1"/>
                <w:bCs w:val="1"/>
                <w:color w:val="FFFFFF"/>
              </w:rPr>
              <w:t>(2)</w:t>
            </w:r>
          </w:p>
        </w:tc>
        <w:tc>
          <w:tcPr>
            <w:tcW w:w="1000" w:type="dxa"/>
            <w:vAlign w:val="bottom"/>
            <w:shd w:val="clear" w:color="auto" w:fill="00739D"/>
          </w:tcPr>
          <w:p>
            <w:pPr>
              <w:jc w:val="right"/>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00739D"/>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100" w:type="dxa"/>
            <w:vAlign w:val="bottom"/>
            <w:shd w:val="clear" w:color="auto" w:fill="00739D"/>
          </w:tcPr>
          <w:p>
            <w:pPr>
              <w:spacing w:after="0"/>
              <w:rPr>
                <w:sz w:val="8"/>
                <w:szCs w:val="8"/>
                <w:color w:val="auto"/>
              </w:rPr>
            </w:pPr>
          </w:p>
        </w:tc>
        <w:tc>
          <w:tcPr>
            <w:tcW w:w="760" w:type="dxa"/>
            <w:vAlign w:val="bottom"/>
            <w:shd w:val="clear" w:color="auto" w:fill="00739D"/>
          </w:tcPr>
          <w:p>
            <w:pPr>
              <w:spacing w:after="0"/>
              <w:rPr>
                <w:sz w:val="8"/>
                <w:szCs w:val="8"/>
                <w:color w:val="auto"/>
              </w:rPr>
            </w:pPr>
          </w:p>
        </w:tc>
        <w:tc>
          <w:tcPr>
            <w:tcW w:w="100" w:type="dxa"/>
            <w:vAlign w:val="bottom"/>
            <w:shd w:val="clear" w:color="auto" w:fill="00739D"/>
          </w:tcPr>
          <w:p>
            <w:pPr>
              <w:spacing w:after="0"/>
              <w:rPr>
                <w:sz w:val="8"/>
                <w:szCs w:val="8"/>
                <w:color w:val="auto"/>
              </w:rPr>
            </w:pPr>
          </w:p>
        </w:tc>
        <w:tc>
          <w:tcPr>
            <w:tcW w:w="60" w:type="dxa"/>
            <w:vAlign w:val="bottom"/>
            <w:shd w:val="clear" w:color="auto" w:fill="00739D"/>
          </w:tcPr>
          <w:p>
            <w:pPr>
              <w:spacing w:after="0"/>
              <w:rPr>
                <w:sz w:val="8"/>
                <w:szCs w:val="8"/>
                <w:color w:val="auto"/>
              </w:rPr>
            </w:pPr>
          </w:p>
        </w:tc>
        <w:tc>
          <w:tcPr>
            <w:tcW w:w="140" w:type="dxa"/>
            <w:vAlign w:val="bottom"/>
            <w:shd w:val="clear" w:color="auto" w:fill="00739D"/>
          </w:tcPr>
          <w:p>
            <w:pPr>
              <w:spacing w:after="0"/>
              <w:rPr>
                <w:sz w:val="8"/>
                <w:szCs w:val="8"/>
                <w:color w:val="auto"/>
              </w:rPr>
            </w:pPr>
          </w:p>
        </w:tc>
        <w:tc>
          <w:tcPr>
            <w:tcW w:w="2120" w:type="dxa"/>
            <w:vAlign w:val="bottom"/>
            <w:shd w:val="clear" w:color="auto" w:fill="00739D"/>
          </w:tcPr>
          <w:p>
            <w:pPr>
              <w:spacing w:after="0"/>
              <w:rPr>
                <w:sz w:val="8"/>
                <w:szCs w:val="8"/>
                <w:color w:val="auto"/>
              </w:rPr>
            </w:pPr>
          </w:p>
        </w:tc>
        <w:tc>
          <w:tcPr>
            <w:tcW w:w="920" w:type="dxa"/>
            <w:vAlign w:val="bottom"/>
            <w:shd w:val="clear" w:color="auto" w:fill="00739D"/>
          </w:tcPr>
          <w:p>
            <w:pPr>
              <w:spacing w:after="0"/>
              <w:rPr>
                <w:sz w:val="8"/>
                <w:szCs w:val="8"/>
                <w:color w:val="auto"/>
              </w:rPr>
            </w:pPr>
          </w:p>
        </w:tc>
        <w:tc>
          <w:tcPr>
            <w:tcW w:w="1360" w:type="dxa"/>
            <w:vAlign w:val="bottom"/>
            <w:shd w:val="clear" w:color="auto" w:fill="00739D"/>
          </w:tcPr>
          <w:p>
            <w:pPr>
              <w:spacing w:after="0"/>
              <w:rPr>
                <w:sz w:val="8"/>
                <w:szCs w:val="8"/>
                <w:color w:val="auto"/>
              </w:rPr>
            </w:pPr>
          </w:p>
        </w:tc>
        <w:tc>
          <w:tcPr>
            <w:tcW w:w="1380" w:type="dxa"/>
            <w:vAlign w:val="bottom"/>
            <w:shd w:val="clear" w:color="auto" w:fill="00739D"/>
          </w:tcPr>
          <w:p>
            <w:pPr>
              <w:spacing w:after="0"/>
              <w:rPr>
                <w:sz w:val="8"/>
                <w:szCs w:val="8"/>
                <w:color w:val="auto"/>
              </w:rPr>
            </w:pPr>
          </w:p>
        </w:tc>
        <w:tc>
          <w:tcPr>
            <w:tcW w:w="1660" w:type="dxa"/>
            <w:vAlign w:val="bottom"/>
            <w:shd w:val="clear" w:color="auto" w:fill="00739D"/>
          </w:tcPr>
          <w:p>
            <w:pPr>
              <w:spacing w:after="0"/>
              <w:rPr>
                <w:sz w:val="8"/>
                <w:szCs w:val="8"/>
                <w:color w:val="auto"/>
              </w:rPr>
            </w:pPr>
          </w:p>
        </w:tc>
        <w:tc>
          <w:tcPr>
            <w:tcW w:w="1500" w:type="dxa"/>
            <w:vAlign w:val="bottom"/>
            <w:shd w:val="clear" w:color="auto" w:fill="00739D"/>
          </w:tcPr>
          <w:p>
            <w:pPr>
              <w:spacing w:after="0"/>
              <w:rPr>
                <w:sz w:val="8"/>
                <w:szCs w:val="8"/>
                <w:color w:val="auto"/>
              </w:rPr>
            </w:pPr>
          </w:p>
        </w:tc>
        <w:tc>
          <w:tcPr>
            <w:tcW w:w="1000" w:type="dxa"/>
            <w:vAlign w:val="bottom"/>
            <w:shd w:val="clear" w:color="auto" w:fill="00739D"/>
          </w:tcPr>
          <w:p>
            <w:pPr>
              <w:spacing w:after="0"/>
              <w:rPr>
                <w:sz w:val="8"/>
                <w:szCs w:val="8"/>
                <w:color w:val="auto"/>
              </w:rPr>
            </w:pPr>
          </w:p>
        </w:tc>
        <w:tc>
          <w:tcPr>
            <w:tcW w:w="140" w:type="dxa"/>
            <w:vAlign w:val="bottom"/>
            <w:tcBorders>
              <w:bottom w:val="single" w:sz="8" w:color="0E191E"/>
            </w:tcBorders>
            <w:shd w:val="clear" w:color="auto" w:fill="00739D"/>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3180" w:type="dxa"/>
            <w:vAlign w:val="bottom"/>
            <w:gridSpan w:val="5"/>
            <w:vMerge w:val="restart"/>
          </w:tcPr>
          <w:p>
            <w:pPr>
              <w:spacing w:after="0"/>
              <w:rPr>
                <w:sz w:val="20"/>
                <w:szCs w:val="20"/>
                <w:color w:val="auto"/>
              </w:rPr>
            </w:pPr>
            <w:r>
              <w:rPr>
                <w:rFonts w:ascii="Arial" w:cs="Arial" w:eastAsia="Arial" w:hAnsi="Arial"/>
                <w:sz w:val="13"/>
                <w:szCs w:val="13"/>
                <w:b w:val="1"/>
                <w:bCs w:val="1"/>
                <w:color w:val="0E191E"/>
              </w:rPr>
              <w:t>Mike Rosenbaum</w:t>
            </w:r>
            <w:r>
              <w:rPr>
                <w:rFonts w:ascii="Arial" w:cs="Arial" w:eastAsia="Arial" w:hAnsi="Arial"/>
                <w:sz w:val="17"/>
                <w:szCs w:val="17"/>
                <w:b w:val="1"/>
                <w:bCs w:val="1"/>
                <w:color w:val="0E191E"/>
                <w:vertAlign w:val="superscript"/>
              </w:rPr>
              <w:t>(3)</w:t>
            </w:r>
          </w:p>
        </w:tc>
        <w:tc>
          <w:tcPr>
            <w:tcW w:w="920" w:type="dxa"/>
            <w:vAlign w:val="bottom"/>
          </w:tcPr>
          <w:p>
            <w:pPr>
              <w:ind w:left="300"/>
              <w:spacing w:after="0"/>
              <w:rPr>
                <w:sz w:val="20"/>
                <w:szCs w:val="20"/>
                <w:color w:val="auto"/>
              </w:rPr>
            </w:pPr>
            <w:r>
              <w:rPr>
                <w:rFonts w:ascii="Arial" w:cs="Arial" w:eastAsia="Arial" w:hAnsi="Arial"/>
                <w:sz w:val="13"/>
                <w:szCs w:val="13"/>
                <w:color w:val="0E191E"/>
              </w:rPr>
              <w:t>2021</w:t>
            </w:r>
          </w:p>
        </w:tc>
        <w:tc>
          <w:tcPr>
            <w:tcW w:w="1360" w:type="dxa"/>
            <w:vAlign w:val="bottom"/>
          </w:tcPr>
          <w:p>
            <w:pPr>
              <w:jc w:val="right"/>
              <w:ind w:right="253"/>
              <w:spacing w:after="0"/>
              <w:rPr>
                <w:sz w:val="20"/>
                <w:szCs w:val="20"/>
                <w:color w:val="auto"/>
              </w:rPr>
            </w:pPr>
            <w:r>
              <w:rPr>
                <w:rFonts w:ascii="Arial" w:cs="Arial" w:eastAsia="Arial" w:hAnsi="Arial"/>
                <w:sz w:val="13"/>
                <w:szCs w:val="13"/>
                <w:color w:val="0E191E"/>
              </w:rPr>
              <w:t>750,000</w:t>
            </w:r>
          </w:p>
        </w:tc>
        <w:tc>
          <w:tcPr>
            <w:tcW w:w="1380" w:type="dxa"/>
            <w:vAlign w:val="bottom"/>
          </w:tcPr>
          <w:p>
            <w:pPr>
              <w:jc w:val="right"/>
              <w:ind w:right="374"/>
              <w:spacing w:after="0"/>
              <w:rPr>
                <w:sz w:val="20"/>
                <w:szCs w:val="20"/>
                <w:color w:val="auto"/>
              </w:rPr>
            </w:pPr>
            <w:r>
              <w:rPr>
                <w:rFonts w:ascii="Arial" w:cs="Arial" w:eastAsia="Arial" w:hAnsi="Arial"/>
                <w:sz w:val="13"/>
                <w:szCs w:val="13"/>
                <w:color w:val="0E191E"/>
              </w:rPr>
              <w:t>6,627,872</w:t>
            </w:r>
          </w:p>
        </w:tc>
        <w:tc>
          <w:tcPr>
            <w:tcW w:w="1660" w:type="dxa"/>
            <w:vAlign w:val="bottom"/>
          </w:tcPr>
          <w:p>
            <w:pPr>
              <w:jc w:val="right"/>
              <w:ind w:right="293"/>
              <w:spacing w:after="0"/>
              <w:rPr>
                <w:sz w:val="20"/>
                <w:szCs w:val="20"/>
                <w:color w:val="auto"/>
              </w:rPr>
            </w:pPr>
            <w:r>
              <w:rPr>
                <w:rFonts w:ascii="Arial" w:cs="Arial" w:eastAsia="Arial" w:hAnsi="Arial"/>
                <w:sz w:val="13"/>
                <w:szCs w:val="13"/>
                <w:color w:val="0E191E"/>
              </w:rPr>
              <w:t>851,250</w:t>
            </w:r>
          </w:p>
        </w:tc>
        <w:tc>
          <w:tcPr>
            <w:tcW w:w="1500" w:type="dxa"/>
            <w:vAlign w:val="bottom"/>
          </w:tcPr>
          <w:p>
            <w:pPr>
              <w:jc w:val="right"/>
              <w:ind w:right="214"/>
              <w:spacing w:after="0"/>
              <w:rPr>
                <w:sz w:val="20"/>
                <w:szCs w:val="20"/>
                <w:color w:val="auto"/>
              </w:rPr>
            </w:pPr>
            <w:r>
              <w:rPr>
                <w:rFonts w:ascii="Arial" w:cs="Arial" w:eastAsia="Arial" w:hAnsi="Arial"/>
                <w:sz w:val="13"/>
                <w:szCs w:val="13"/>
                <w:color w:val="0E191E"/>
              </w:rPr>
              <w:t>5,712</w:t>
            </w:r>
          </w:p>
        </w:tc>
        <w:tc>
          <w:tcPr>
            <w:tcW w:w="1000" w:type="dxa"/>
            <w:vAlign w:val="bottom"/>
          </w:tcPr>
          <w:p>
            <w:pPr>
              <w:jc w:val="right"/>
              <w:ind w:right="13"/>
              <w:spacing w:after="0"/>
              <w:rPr>
                <w:sz w:val="20"/>
                <w:szCs w:val="20"/>
                <w:color w:val="auto"/>
              </w:rPr>
            </w:pPr>
            <w:r>
              <w:rPr>
                <w:rFonts w:ascii="Arial" w:cs="Arial" w:eastAsia="Arial" w:hAnsi="Arial"/>
                <w:sz w:val="13"/>
                <w:szCs w:val="13"/>
                <w:color w:val="0E191E"/>
              </w:rPr>
              <w:t>8,234,834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3180" w:type="dxa"/>
            <w:vAlign w:val="bottom"/>
            <w:gridSpan w:val="5"/>
            <w:vMerge w:val="continue"/>
          </w:tcPr>
          <w:p>
            <w:pPr>
              <w:spacing w:after="0"/>
              <w:rPr>
                <w:sz w:val="8"/>
                <w:szCs w:val="8"/>
                <w:color w:val="auto"/>
              </w:rPr>
            </w:pPr>
          </w:p>
        </w:tc>
        <w:tc>
          <w:tcPr>
            <w:tcW w:w="920" w:type="dxa"/>
            <w:vAlign w:val="bottom"/>
            <w:tcBorders>
              <w:bottom w:val="single" w:sz="8" w:color="0E191E"/>
            </w:tcBorders>
          </w:tcPr>
          <w:p>
            <w:pPr>
              <w:spacing w:after="0"/>
              <w:rPr>
                <w:sz w:val="8"/>
                <w:szCs w:val="8"/>
                <w:color w:val="auto"/>
              </w:rPr>
            </w:pPr>
          </w:p>
        </w:tc>
        <w:tc>
          <w:tcPr>
            <w:tcW w:w="1360" w:type="dxa"/>
            <w:vAlign w:val="bottom"/>
            <w:tcBorders>
              <w:bottom w:val="single" w:sz="8" w:color="0E191E"/>
            </w:tcBorders>
          </w:tcPr>
          <w:p>
            <w:pPr>
              <w:spacing w:after="0"/>
              <w:rPr>
                <w:sz w:val="8"/>
                <w:szCs w:val="8"/>
                <w:color w:val="auto"/>
              </w:rPr>
            </w:pPr>
          </w:p>
        </w:tc>
        <w:tc>
          <w:tcPr>
            <w:tcW w:w="1380" w:type="dxa"/>
            <w:vAlign w:val="bottom"/>
            <w:tcBorders>
              <w:bottom w:val="single" w:sz="8" w:color="0E191E"/>
            </w:tcBorders>
          </w:tcPr>
          <w:p>
            <w:pPr>
              <w:spacing w:after="0"/>
              <w:rPr>
                <w:sz w:val="8"/>
                <w:szCs w:val="8"/>
                <w:color w:val="auto"/>
              </w:rPr>
            </w:pPr>
          </w:p>
        </w:tc>
        <w:tc>
          <w:tcPr>
            <w:tcW w:w="1660" w:type="dxa"/>
            <w:vAlign w:val="bottom"/>
            <w:tcBorders>
              <w:bottom w:val="single" w:sz="8" w:color="0E191E"/>
            </w:tcBorders>
          </w:tcPr>
          <w:p>
            <w:pPr>
              <w:spacing w:after="0"/>
              <w:rPr>
                <w:sz w:val="8"/>
                <w:szCs w:val="8"/>
                <w:color w:val="auto"/>
              </w:rPr>
            </w:pPr>
          </w:p>
        </w:tc>
        <w:tc>
          <w:tcPr>
            <w:tcW w:w="1500" w:type="dxa"/>
            <w:vAlign w:val="bottom"/>
            <w:tcBorders>
              <w:bottom w:val="single" w:sz="8" w:color="0E191E"/>
            </w:tcBorders>
          </w:tcPr>
          <w:p>
            <w:pPr>
              <w:spacing w:after="0"/>
              <w:rPr>
                <w:sz w:val="8"/>
                <w:szCs w:val="8"/>
                <w:color w:val="auto"/>
              </w:rPr>
            </w:pPr>
          </w:p>
        </w:tc>
        <w:tc>
          <w:tcPr>
            <w:tcW w:w="1000" w:type="dxa"/>
            <w:vAlign w:val="bottom"/>
            <w:tcBorders>
              <w:bottom w:val="single" w:sz="8" w:color="0E191E"/>
            </w:tcBorders>
          </w:tcPr>
          <w:p>
            <w:pPr>
              <w:spacing w:after="0"/>
              <w:rPr>
                <w:sz w:val="8"/>
                <w:szCs w:val="8"/>
                <w:color w:val="auto"/>
              </w:rPr>
            </w:pPr>
          </w:p>
        </w:tc>
        <w:tc>
          <w:tcPr>
            <w:tcW w:w="140" w:type="dxa"/>
            <w:vAlign w:val="bottom"/>
            <w:tcBorders>
              <w:bottom w:val="single" w:sz="8" w:color="0E191E"/>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00" w:type="dxa"/>
            <w:vAlign w:val="bottom"/>
          </w:tcPr>
          <w:p>
            <w:pPr>
              <w:spacing w:after="0"/>
              <w:rPr>
                <w:sz w:val="11"/>
                <w:szCs w:val="11"/>
                <w:color w:val="auto"/>
              </w:rPr>
            </w:pPr>
          </w:p>
        </w:tc>
        <w:tc>
          <w:tcPr>
            <w:tcW w:w="3180" w:type="dxa"/>
            <w:vAlign w:val="bottom"/>
            <w:gridSpan w:val="5"/>
          </w:tcPr>
          <w:p>
            <w:pPr>
              <w:spacing w:after="0" w:line="132" w:lineRule="exact"/>
              <w:rPr>
                <w:sz w:val="20"/>
                <w:szCs w:val="20"/>
                <w:color w:val="auto"/>
              </w:rPr>
            </w:pPr>
            <w:r>
              <w:rPr>
                <w:rFonts w:ascii="Arial" w:cs="Arial" w:eastAsia="Arial" w:hAnsi="Arial"/>
                <w:sz w:val="13"/>
                <w:szCs w:val="13"/>
                <w:color w:val="0E191E"/>
              </w:rPr>
              <w:t>Chief Executive Officer</w:t>
            </w:r>
          </w:p>
        </w:tc>
        <w:tc>
          <w:tcPr>
            <w:tcW w:w="920" w:type="dxa"/>
            <w:vAlign w:val="bottom"/>
            <w:vMerge w:val="restart"/>
          </w:tcPr>
          <w:p>
            <w:pPr>
              <w:ind w:left="300"/>
              <w:spacing w:after="0"/>
              <w:rPr>
                <w:sz w:val="20"/>
                <w:szCs w:val="20"/>
                <w:color w:val="auto"/>
              </w:rPr>
            </w:pPr>
            <w:r>
              <w:rPr>
                <w:rFonts w:ascii="Arial" w:cs="Arial" w:eastAsia="Arial" w:hAnsi="Arial"/>
                <w:sz w:val="13"/>
                <w:szCs w:val="13"/>
                <w:color w:val="0E191E"/>
              </w:rPr>
              <w:t>2020</w:t>
            </w:r>
          </w:p>
        </w:tc>
        <w:tc>
          <w:tcPr>
            <w:tcW w:w="1360" w:type="dxa"/>
            <w:vAlign w:val="bottom"/>
            <w:vMerge w:val="restart"/>
          </w:tcPr>
          <w:p>
            <w:pPr>
              <w:jc w:val="right"/>
              <w:ind w:right="253"/>
              <w:spacing w:after="0"/>
              <w:rPr>
                <w:sz w:val="20"/>
                <w:szCs w:val="20"/>
                <w:color w:val="auto"/>
              </w:rPr>
            </w:pPr>
            <w:r>
              <w:rPr>
                <w:rFonts w:ascii="Arial" w:cs="Arial" w:eastAsia="Arial" w:hAnsi="Arial"/>
                <w:sz w:val="13"/>
                <w:szCs w:val="13"/>
                <w:color w:val="0E191E"/>
              </w:rPr>
              <w:t>744,712</w:t>
            </w:r>
          </w:p>
        </w:tc>
        <w:tc>
          <w:tcPr>
            <w:tcW w:w="1380" w:type="dxa"/>
            <w:vAlign w:val="bottom"/>
            <w:vMerge w:val="restart"/>
          </w:tcPr>
          <w:p>
            <w:pPr>
              <w:jc w:val="right"/>
              <w:ind w:right="374"/>
              <w:spacing w:after="0"/>
              <w:rPr>
                <w:sz w:val="20"/>
                <w:szCs w:val="20"/>
                <w:color w:val="auto"/>
              </w:rPr>
            </w:pPr>
            <w:r>
              <w:rPr>
                <w:rFonts w:ascii="Arial" w:cs="Arial" w:eastAsia="Arial" w:hAnsi="Arial"/>
                <w:sz w:val="13"/>
                <w:szCs w:val="13"/>
                <w:color w:val="0E191E"/>
              </w:rPr>
              <w:t>18,451,891</w:t>
            </w:r>
          </w:p>
        </w:tc>
        <w:tc>
          <w:tcPr>
            <w:tcW w:w="1660" w:type="dxa"/>
            <w:vAlign w:val="bottom"/>
            <w:vMerge w:val="restart"/>
          </w:tcPr>
          <w:p>
            <w:pPr>
              <w:jc w:val="right"/>
              <w:ind w:right="293"/>
              <w:spacing w:after="0"/>
              <w:rPr>
                <w:sz w:val="20"/>
                <w:szCs w:val="20"/>
                <w:color w:val="auto"/>
              </w:rPr>
            </w:pPr>
            <w:r>
              <w:rPr>
                <w:rFonts w:ascii="Arial" w:cs="Arial" w:eastAsia="Arial" w:hAnsi="Arial"/>
                <w:sz w:val="13"/>
                <w:szCs w:val="13"/>
                <w:color w:val="0E191E"/>
              </w:rPr>
              <w:t>438,750</w:t>
            </w:r>
          </w:p>
        </w:tc>
        <w:tc>
          <w:tcPr>
            <w:tcW w:w="1500" w:type="dxa"/>
            <w:vAlign w:val="bottom"/>
            <w:vMerge w:val="restart"/>
          </w:tcPr>
          <w:p>
            <w:pPr>
              <w:jc w:val="right"/>
              <w:ind w:right="214"/>
              <w:spacing w:after="0"/>
              <w:rPr>
                <w:sz w:val="20"/>
                <w:szCs w:val="20"/>
                <w:color w:val="auto"/>
              </w:rPr>
            </w:pPr>
            <w:r>
              <w:rPr>
                <w:rFonts w:ascii="Arial" w:cs="Arial" w:eastAsia="Arial" w:hAnsi="Arial"/>
                <w:sz w:val="13"/>
                <w:szCs w:val="13"/>
                <w:color w:val="0E191E"/>
              </w:rPr>
              <w:t>5,359</w:t>
            </w:r>
          </w:p>
        </w:tc>
        <w:tc>
          <w:tcPr>
            <w:tcW w:w="1000" w:type="dxa"/>
            <w:vAlign w:val="bottom"/>
            <w:vMerge w:val="restart"/>
          </w:tcPr>
          <w:p>
            <w:pPr>
              <w:jc w:val="right"/>
              <w:ind w:right="13"/>
              <w:spacing w:after="0"/>
              <w:rPr>
                <w:sz w:val="20"/>
                <w:szCs w:val="20"/>
                <w:color w:val="auto"/>
              </w:rPr>
            </w:pPr>
            <w:r>
              <w:rPr>
                <w:rFonts w:ascii="Arial" w:cs="Arial" w:eastAsia="Arial" w:hAnsi="Arial"/>
                <w:sz w:val="13"/>
                <w:szCs w:val="13"/>
                <w:color w:val="0E191E"/>
              </w:rPr>
              <w:t>19,640,712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100" w:type="dxa"/>
            <w:vAlign w:val="bottom"/>
            <w:shd w:val="clear" w:color="auto" w:fill="E5F1F5"/>
          </w:tcPr>
          <w:p>
            <w:pPr>
              <w:spacing w:after="0"/>
              <w:rPr>
                <w:sz w:val="22"/>
                <w:szCs w:val="22"/>
                <w:color w:val="auto"/>
              </w:rPr>
            </w:pPr>
          </w:p>
        </w:tc>
        <w:tc>
          <w:tcPr>
            <w:tcW w:w="760" w:type="dxa"/>
            <w:vAlign w:val="bottom"/>
            <w:vMerge w:val="restart"/>
            <w:shd w:val="clear" w:color="auto" w:fill="E5F1F5"/>
          </w:tcPr>
          <w:p>
            <w:pPr>
              <w:spacing w:after="0"/>
              <w:rPr>
                <w:sz w:val="20"/>
                <w:szCs w:val="20"/>
                <w:color w:val="auto"/>
              </w:rPr>
            </w:pPr>
            <w:r>
              <w:rPr>
                <w:rFonts w:ascii="Arial" w:cs="Arial" w:eastAsia="Arial" w:hAnsi="Arial"/>
                <w:sz w:val="13"/>
                <w:szCs w:val="13"/>
                <w:b w:val="1"/>
                <w:bCs w:val="1"/>
                <w:color w:val="0E191E"/>
                <w:shd w:val="clear" w:color="auto" w:fill="E5F1F5"/>
              </w:rPr>
              <w:t>Jeff Cooper</w:t>
            </w:r>
          </w:p>
        </w:tc>
        <w:tc>
          <w:tcPr>
            <w:tcW w:w="100" w:type="dxa"/>
            <w:vAlign w:val="bottom"/>
            <w:vMerge w:val="restart"/>
            <w:shd w:val="clear" w:color="auto" w:fill="E5F1F5"/>
          </w:tcPr>
          <w:p>
            <w:pPr>
              <w:jc w:val="right"/>
              <w:spacing w:after="0"/>
              <w:rPr>
                <w:sz w:val="20"/>
                <w:szCs w:val="20"/>
                <w:color w:val="auto"/>
              </w:rPr>
            </w:pPr>
            <w:r>
              <w:rPr>
                <w:rFonts w:ascii="Arial" w:cs="Arial" w:eastAsia="Arial" w:hAnsi="Arial"/>
                <w:sz w:val="9"/>
                <w:szCs w:val="9"/>
                <w:b w:val="1"/>
                <w:bCs w:val="1"/>
                <w:color w:val="0E191E"/>
                <w:w w:val="72"/>
                <w:shd w:val="clear" w:color="auto" w:fill="E5F1F5"/>
              </w:rPr>
              <w:t>(4)</w:t>
            </w:r>
          </w:p>
        </w:tc>
        <w:tc>
          <w:tcPr>
            <w:tcW w:w="60" w:type="dxa"/>
            <w:vAlign w:val="bottom"/>
            <w:shd w:val="clear" w:color="auto" w:fill="E5F1F5"/>
          </w:tcPr>
          <w:p>
            <w:pPr>
              <w:spacing w:after="0"/>
              <w:rPr>
                <w:sz w:val="22"/>
                <w:szCs w:val="22"/>
                <w:color w:val="auto"/>
              </w:rPr>
            </w:pPr>
          </w:p>
        </w:tc>
        <w:tc>
          <w:tcPr>
            <w:tcW w:w="140" w:type="dxa"/>
            <w:vAlign w:val="bottom"/>
            <w:shd w:val="clear" w:color="auto" w:fill="E5F1F5"/>
          </w:tcPr>
          <w:p>
            <w:pPr>
              <w:spacing w:after="0"/>
              <w:rPr>
                <w:sz w:val="22"/>
                <w:szCs w:val="22"/>
                <w:color w:val="auto"/>
              </w:rPr>
            </w:pPr>
          </w:p>
        </w:tc>
        <w:tc>
          <w:tcPr>
            <w:tcW w:w="2120" w:type="dxa"/>
            <w:vAlign w:val="bottom"/>
            <w:shd w:val="clear" w:color="auto" w:fill="E5F1F5"/>
          </w:tcPr>
          <w:p>
            <w:pPr>
              <w:spacing w:after="0"/>
              <w:rPr>
                <w:sz w:val="22"/>
                <w:szCs w:val="22"/>
                <w:color w:val="auto"/>
              </w:rPr>
            </w:pPr>
          </w:p>
        </w:tc>
        <w:tc>
          <w:tcPr>
            <w:tcW w:w="920" w:type="dxa"/>
            <w:vAlign w:val="bottom"/>
            <w:shd w:val="clear" w:color="auto" w:fill="E5F1F5"/>
          </w:tcPr>
          <w:p>
            <w:pPr>
              <w:ind w:left="300"/>
              <w:spacing w:after="0"/>
              <w:rPr>
                <w:sz w:val="20"/>
                <w:szCs w:val="20"/>
                <w:color w:val="auto"/>
              </w:rPr>
            </w:pPr>
            <w:r>
              <w:rPr>
                <w:rFonts w:ascii="Arial" w:cs="Arial" w:eastAsia="Arial" w:hAnsi="Arial"/>
                <w:sz w:val="13"/>
                <w:szCs w:val="13"/>
                <w:color w:val="0E191E"/>
              </w:rPr>
              <w:t>2021</w:t>
            </w:r>
          </w:p>
        </w:tc>
        <w:tc>
          <w:tcPr>
            <w:tcW w:w="1360" w:type="dxa"/>
            <w:vAlign w:val="bottom"/>
            <w:shd w:val="clear" w:color="auto" w:fill="E5F1F5"/>
          </w:tcPr>
          <w:p>
            <w:pPr>
              <w:jc w:val="right"/>
              <w:ind w:right="253"/>
              <w:spacing w:after="0"/>
              <w:rPr>
                <w:sz w:val="20"/>
                <w:szCs w:val="20"/>
                <w:color w:val="auto"/>
              </w:rPr>
            </w:pPr>
            <w:r>
              <w:rPr>
                <w:rFonts w:ascii="Arial" w:cs="Arial" w:eastAsia="Arial" w:hAnsi="Arial"/>
                <w:sz w:val="13"/>
                <w:szCs w:val="13"/>
                <w:color w:val="0E191E"/>
              </w:rPr>
              <w:t>387,000</w:t>
            </w:r>
          </w:p>
        </w:tc>
        <w:tc>
          <w:tcPr>
            <w:tcW w:w="1380" w:type="dxa"/>
            <w:vAlign w:val="bottom"/>
            <w:shd w:val="clear" w:color="auto" w:fill="E5F1F5"/>
          </w:tcPr>
          <w:p>
            <w:pPr>
              <w:jc w:val="right"/>
              <w:ind w:right="374"/>
              <w:spacing w:after="0"/>
              <w:rPr>
                <w:sz w:val="20"/>
                <w:szCs w:val="20"/>
                <w:color w:val="auto"/>
              </w:rPr>
            </w:pPr>
            <w:r>
              <w:rPr>
                <w:rFonts w:ascii="Arial" w:cs="Arial" w:eastAsia="Arial" w:hAnsi="Arial"/>
                <w:sz w:val="13"/>
                <w:szCs w:val="13"/>
                <w:color w:val="0E191E"/>
              </w:rPr>
              <w:t>1,117,600</w:t>
            </w:r>
          </w:p>
        </w:tc>
        <w:tc>
          <w:tcPr>
            <w:tcW w:w="1660" w:type="dxa"/>
            <w:vAlign w:val="bottom"/>
            <w:shd w:val="clear" w:color="auto" w:fill="E5F1F5"/>
          </w:tcPr>
          <w:p>
            <w:pPr>
              <w:jc w:val="right"/>
              <w:ind w:right="293"/>
              <w:spacing w:after="0"/>
              <w:rPr>
                <w:sz w:val="20"/>
                <w:szCs w:val="20"/>
                <w:color w:val="auto"/>
              </w:rPr>
            </w:pPr>
            <w:r>
              <w:rPr>
                <w:rFonts w:ascii="Arial" w:cs="Arial" w:eastAsia="Arial" w:hAnsi="Arial"/>
                <w:sz w:val="13"/>
                <w:szCs w:val="13"/>
                <w:color w:val="0E191E"/>
              </w:rPr>
              <w:t>263,547</w:t>
            </w:r>
          </w:p>
        </w:tc>
        <w:tc>
          <w:tcPr>
            <w:tcW w:w="1500" w:type="dxa"/>
            <w:vAlign w:val="bottom"/>
            <w:shd w:val="clear" w:color="auto" w:fill="E5F1F5"/>
          </w:tcPr>
          <w:p>
            <w:pPr>
              <w:jc w:val="right"/>
              <w:ind w:right="214"/>
              <w:spacing w:after="0"/>
              <w:rPr>
                <w:sz w:val="20"/>
                <w:szCs w:val="20"/>
                <w:color w:val="auto"/>
              </w:rPr>
            </w:pPr>
            <w:r>
              <w:rPr>
                <w:rFonts w:ascii="Arial" w:cs="Arial" w:eastAsia="Arial" w:hAnsi="Arial"/>
                <w:sz w:val="13"/>
                <w:szCs w:val="13"/>
                <w:color w:val="0E191E"/>
              </w:rPr>
              <w:t>5,592</w:t>
            </w:r>
          </w:p>
        </w:tc>
        <w:tc>
          <w:tcPr>
            <w:tcW w:w="1000" w:type="dxa"/>
            <w:vAlign w:val="bottom"/>
            <w:shd w:val="clear" w:color="auto" w:fill="E5F1F5"/>
          </w:tcPr>
          <w:p>
            <w:pPr>
              <w:jc w:val="right"/>
              <w:ind w:right="13"/>
              <w:spacing w:after="0"/>
              <w:rPr>
                <w:sz w:val="20"/>
                <w:szCs w:val="20"/>
                <w:color w:val="auto"/>
              </w:rPr>
            </w:pPr>
            <w:r>
              <w:rPr>
                <w:rFonts w:ascii="Arial" w:cs="Arial" w:eastAsia="Arial" w:hAnsi="Arial"/>
                <w:sz w:val="13"/>
                <w:szCs w:val="13"/>
                <w:color w:val="0E191E"/>
              </w:rPr>
              <w:t>1,773,739</w:t>
            </w:r>
          </w:p>
        </w:tc>
        <w:tc>
          <w:tcPr>
            <w:tcW w:w="140" w:type="dxa"/>
            <w:vAlign w:val="bottom"/>
            <w:shd w:val="clear" w:color="auto" w:fill="E5F1F5"/>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00" w:type="dxa"/>
            <w:vAlign w:val="bottom"/>
            <w:tcBorders>
              <w:bottom w:val="single" w:sz="8" w:color="E5F1F5"/>
            </w:tcBorders>
            <w:shd w:val="clear" w:color="auto" w:fill="E5F1F5"/>
          </w:tcPr>
          <w:p>
            <w:pPr>
              <w:spacing w:after="0"/>
              <w:rPr>
                <w:sz w:val="8"/>
                <w:szCs w:val="8"/>
                <w:color w:val="auto"/>
              </w:rPr>
            </w:pPr>
          </w:p>
        </w:tc>
        <w:tc>
          <w:tcPr>
            <w:tcW w:w="760" w:type="dxa"/>
            <w:vAlign w:val="bottom"/>
            <w:tcBorders>
              <w:bottom w:val="single" w:sz="8" w:color="E5F1F5"/>
            </w:tcBorders>
            <w:vMerge w:val="continue"/>
            <w:shd w:val="clear" w:color="auto" w:fill="E5F1F5"/>
          </w:tcPr>
          <w:p>
            <w:pPr>
              <w:spacing w:after="0"/>
              <w:rPr>
                <w:sz w:val="8"/>
                <w:szCs w:val="8"/>
                <w:color w:val="auto"/>
              </w:rPr>
            </w:pPr>
          </w:p>
        </w:tc>
        <w:tc>
          <w:tcPr>
            <w:tcW w:w="100" w:type="dxa"/>
            <w:vAlign w:val="bottom"/>
            <w:tcBorders>
              <w:bottom w:val="single" w:sz="8" w:color="E5F1F5"/>
            </w:tcBorders>
            <w:vMerge w:val="continue"/>
            <w:shd w:val="clear" w:color="auto" w:fill="E5F1F5"/>
          </w:tcPr>
          <w:p>
            <w:pPr>
              <w:spacing w:after="0"/>
              <w:rPr>
                <w:sz w:val="8"/>
                <w:szCs w:val="8"/>
                <w:color w:val="auto"/>
              </w:rPr>
            </w:pPr>
          </w:p>
        </w:tc>
        <w:tc>
          <w:tcPr>
            <w:tcW w:w="60" w:type="dxa"/>
            <w:vAlign w:val="bottom"/>
            <w:tcBorders>
              <w:bottom w:val="single" w:sz="8" w:color="E5F1F5"/>
            </w:tcBorders>
            <w:shd w:val="clear" w:color="auto" w:fill="E5F1F5"/>
          </w:tcPr>
          <w:p>
            <w:pPr>
              <w:spacing w:after="0"/>
              <w:rPr>
                <w:sz w:val="8"/>
                <w:szCs w:val="8"/>
                <w:color w:val="auto"/>
              </w:rPr>
            </w:pPr>
          </w:p>
        </w:tc>
        <w:tc>
          <w:tcPr>
            <w:tcW w:w="140" w:type="dxa"/>
            <w:vAlign w:val="bottom"/>
            <w:tcBorders>
              <w:bottom w:val="single" w:sz="8" w:color="E5F1F5"/>
            </w:tcBorders>
            <w:shd w:val="clear" w:color="auto" w:fill="E5F1F5"/>
          </w:tcPr>
          <w:p>
            <w:pPr>
              <w:spacing w:after="0"/>
              <w:rPr>
                <w:sz w:val="8"/>
                <w:szCs w:val="8"/>
                <w:color w:val="auto"/>
              </w:rPr>
            </w:pPr>
          </w:p>
        </w:tc>
        <w:tc>
          <w:tcPr>
            <w:tcW w:w="2120" w:type="dxa"/>
            <w:vAlign w:val="bottom"/>
            <w:tcBorders>
              <w:bottom w:val="single" w:sz="8" w:color="E5F1F5"/>
            </w:tcBorders>
            <w:shd w:val="clear" w:color="auto" w:fill="E5F1F5"/>
          </w:tcPr>
          <w:p>
            <w:pPr>
              <w:spacing w:after="0"/>
              <w:rPr>
                <w:sz w:val="8"/>
                <w:szCs w:val="8"/>
                <w:color w:val="auto"/>
              </w:rPr>
            </w:pPr>
          </w:p>
        </w:tc>
        <w:tc>
          <w:tcPr>
            <w:tcW w:w="920" w:type="dxa"/>
            <w:vAlign w:val="bottom"/>
            <w:tcBorders>
              <w:bottom w:val="single" w:sz="8" w:color="E5F1F5"/>
            </w:tcBorders>
            <w:shd w:val="clear" w:color="auto" w:fill="E5F1F5"/>
          </w:tcPr>
          <w:p>
            <w:pPr>
              <w:spacing w:after="0"/>
              <w:rPr>
                <w:sz w:val="8"/>
                <w:szCs w:val="8"/>
                <w:color w:val="auto"/>
              </w:rPr>
            </w:pPr>
          </w:p>
        </w:tc>
        <w:tc>
          <w:tcPr>
            <w:tcW w:w="1360" w:type="dxa"/>
            <w:vAlign w:val="bottom"/>
            <w:tcBorders>
              <w:bottom w:val="single" w:sz="8" w:color="E5F1F5"/>
            </w:tcBorders>
            <w:shd w:val="clear" w:color="auto" w:fill="E5F1F5"/>
          </w:tcPr>
          <w:p>
            <w:pPr>
              <w:spacing w:after="0"/>
              <w:rPr>
                <w:sz w:val="8"/>
                <w:szCs w:val="8"/>
                <w:color w:val="auto"/>
              </w:rPr>
            </w:pPr>
          </w:p>
        </w:tc>
        <w:tc>
          <w:tcPr>
            <w:tcW w:w="1380" w:type="dxa"/>
            <w:vAlign w:val="bottom"/>
            <w:tcBorders>
              <w:bottom w:val="single" w:sz="8" w:color="E5F1F5"/>
            </w:tcBorders>
            <w:shd w:val="clear" w:color="auto" w:fill="E5F1F5"/>
          </w:tcPr>
          <w:p>
            <w:pPr>
              <w:spacing w:after="0"/>
              <w:rPr>
                <w:sz w:val="8"/>
                <w:szCs w:val="8"/>
                <w:color w:val="auto"/>
              </w:rPr>
            </w:pPr>
          </w:p>
        </w:tc>
        <w:tc>
          <w:tcPr>
            <w:tcW w:w="1660" w:type="dxa"/>
            <w:vAlign w:val="bottom"/>
            <w:tcBorders>
              <w:bottom w:val="single" w:sz="8" w:color="E5F1F5"/>
            </w:tcBorders>
            <w:shd w:val="clear" w:color="auto" w:fill="E5F1F5"/>
          </w:tcPr>
          <w:p>
            <w:pPr>
              <w:spacing w:after="0"/>
              <w:rPr>
                <w:sz w:val="8"/>
                <w:szCs w:val="8"/>
                <w:color w:val="auto"/>
              </w:rPr>
            </w:pPr>
          </w:p>
        </w:tc>
        <w:tc>
          <w:tcPr>
            <w:tcW w:w="1500" w:type="dxa"/>
            <w:vAlign w:val="bottom"/>
            <w:tcBorders>
              <w:bottom w:val="single" w:sz="8" w:color="E5F1F5"/>
            </w:tcBorders>
            <w:shd w:val="clear" w:color="auto" w:fill="E5F1F5"/>
          </w:tcPr>
          <w:p>
            <w:pPr>
              <w:spacing w:after="0"/>
              <w:rPr>
                <w:sz w:val="8"/>
                <w:szCs w:val="8"/>
                <w:color w:val="auto"/>
              </w:rPr>
            </w:pPr>
          </w:p>
        </w:tc>
        <w:tc>
          <w:tcPr>
            <w:tcW w:w="1000" w:type="dxa"/>
            <w:vAlign w:val="bottom"/>
            <w:tcBorders>
              <w:bottom w:val="single" w:sz="8" w:color="E5F1F5"/>
            </w:tcBorders>
            <w:shd w:val="clear" w:color="auto" w:fill="E5F1F5"/>
          </w:tcPr>
          <w:p>
            <w:pPr>
              <w:spacing w:after="0"/>
              <w:rPr>
                <w:sz w:val="8"/>
                <w:szCs w:val="8"/>
                <w:color w:val="auto"/>
              </w:rPr>
            </w:pPr>
          </w:p>
        </w:tc>
        <w:tc>
          <w:tcPr>
            <w:tcW w:w="140" w:type="dxa"/>
            <w:vAlign w:val="bottom"/>
            <w:tcBorders>
              <w:bottom w:val="single" w:sz="8" w:color="E5F1F5"/>
            </w:tcBorders>
            <w:shd w:val="clear" w:color="auto" w:fill="E5F1F5"/>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0" w:type="dxa"/>
            <w:vAlign w:val="bottom"/>
            <w:tcBorders>
              <w:top w:val="single" w:sz="8" w:color="E5F1F5"/>
            </w:tcBorders>
            <w:shd w:val="clear" w:color="auto" w:fill="E5F1F5"/>
          </w:tcPr>
          <w:p>
            <w:pPr>
              <w:spacing w:after="0"/>
              <w:rPr>
                <w:sz w:val="10"/>
                <w:szCs w:val="10"/>
                <w:color w:val="auto"/>
              </w:rPr>
            </w:pPr>
          </w:p>
        </w:tc>
        <w:tc>
          <w:tcPr>
            <w:tcW w:w="3180" w:type="dxa"/>
            <w:vAlign w:val="bottom"/>
            <w:tcBorders>
              <w:top w:val="single" w:sz="8" w:color="E5F1F5"/>
            </w:tcBorders>
            <w:gridSpan w:val="5"/>
            <w:shd w:val="clear" w:color="auto" w:fill="E5F1F5"/>
          </w:tcPr>
          <w:p>
            <w:pPr>
              <w:spacing w:after="0" w:line="122" w:lineRule="exact"/>
              <w:rPr>
                <w:sz w:val="20"/>
                <w:szCs w:val="20"/>
                <w:color w:val="auto"/>
              </w:rPr>
            </w:pPr>
            <w:r>
              <w:rPr>
                <w:rFonts w:ascii="Arial" w:cs="Arial" w:eastAsia="Arial" w:hAnsi="Arial"/>
                <w:sz w:val="13"/>
                <w:szCs w:val="13"/>
                <w:color w:val="0E191E"/>
                <w:shd w:val="clear" w:color="auto" w:fill="E5F1F5"/>
              </w:rPr>
              <w:t>Chief Financial Officer</w:t>
            </w:r>
          </w:p>
        </w:tc>
        <w:tc>
          <w:tcPr>
            <w:tcW w:w="920" w:type="dxa"/>
            <w:vAlign w:val="bottom"/>
            <w:tcBorders>
              <w:top w:val="single" w:sz="8" w:color="0E191E"/>
            </w:tcBorders>
            <w:vMerge w:val="restart"/>
            <w:shd w:val="clear" w:color="auto" w:fill="E5F1F5"/>
          </w:tcPr>
          <w:p>
            <w:pPr>
              <w:ind w:left="300"/>
              <w:spacing w:after="0"/>
              <w:rPr>
                <w:sz w:val="20"/>
                <w:szCs w:val="20"/>
                <w:color w:val="auto"/>
              </w:rPr>
            </w:pPr>
            <w:r>
              <w:rPr>
                <w:rFonts w:ascii="Arial" w:cs="Arial" w:eastAsia="Arial" w:hAnsi="Arial"/>
                <w:sz w:val="13"/>
                <w:szCs w:val="13"/>
                <w:color w:val="0E191E"/>
              </w:rPr>
              <w:t>2020</w:t>
            </w:r>
          </w:p>
        </w:tc>
        <w:tc>
          <w:tcPr>
            <w:tcW w:w="1360" w:type="dxa"/>
            <w:vAlign w:val="bottom"/>
            <w:tcBorders>
              <w:top w:val="single" w:sz="8" w:color="0E191E"/>
            </w:tcBorders>
            <w:vMerge w:val="restart"/>
            <w:shd w:val="clear" w:color="auto" w:fill="E5F1F5"/>
          </w:tcPr>
          <w:p>
            <w:pPr>
              <w:jc w:val="right"/>
              <w:ind w:right="253"/>
              <w:spacing w:after="0"/>
              <w:rPr>
                <w:sz w:val="20"/>
                <w:szCs w:val="20"/>
                <w:color w:val="auto"/>
              </w:rPr>
            </w:pPr>
            <w:r>
              <w:rPr>
                <w:rFonts w:ascii="Arial" w:cs="Arial" w:eastAsia="Arial" w:hAnsi="Arial"/>
                <w:sz w:val="13"/>
                <w:szCs w:val="13"/>
                <w:color w:val="0E191E"/>
              </w:rPr>
              <w:t>314,128</w:t>
            </w:r>
          </w:p>
        </w:tc>
        <w:tc>
          <w:tcPr>
            <w:tcW w:w="1380" w:type="dxa"/>
            <w:vAlign w:val="bottom"/>
            <w:tcBorders>
              <w:top w:val="single" w:sz="8" w:color="0E191E"/>
            </w:tcBorders>
            <w:vMerge w:val="restart"/>
            <w:shd w:val="clear" w:color="auto" w:fill="E5F1F5"/>
          </w:tcPr>
          <w:p>
            <w:pPr>
              <w:jc w:val="right"/>
              <w:ind w:right="374"/>
              <w:spacing w:after="0"/>
              <w:rPr>
                <w:sz w:val="20"/>
                <w:szCs w:val="20"/>
                <w:color w:val="auto"/>
              </w:rPr>
            </w:pPr>
            <w:r>
              <w:rPr>
                <w:rFonts w:ascii="Arial" w:cs="Arial" w:eastAsia="Arial" w:hAnsi="Arial"/>
                <w:sz w:val="13"/>
                <w:szCs w:val="13"/>
                <w:color w:val="0E191E"/>
              </w:rPr>
              <w:t>3,497,459</w:t>
            </w:r>
          </w:p>
        </w:tc>
        <w:tc>
          <w:tcPr>
            <w:tcW w:w="1660" w:type="dxa"/>
            <w:vAlign w:val="bottom"/>
            <w:tcBorders>
              <w:top w:val="single" w:sz="8" w:color="0E191E"/>
            </w:tcBorders>
            <w:vMerge w:val="restart"/>
            <w:shd w:val="clear" w:color="auto" w:fill="E5F1F5"/>
          </w:tcPr>
          <w:p>
            <w:pPr>
              <w:jc w:val="right"/>
              <w:ind w:right="293"/>
              <w:spacing w:after="0"/>
              <w:rPr>
                <w:sz w:val="20"/>
                <w:szCs w:val="20"/>
                <w:color w:val="auto"/>
              </w:rPr>
            </w:pPr>
            <w:r>
              <w:rPr>
                <w:rFonts w:ascii="Arial" w:cs="Arial" w:eastAsia="Arial" w:hAnsi="Arial"/>
                <w:sz w:val="13"/>
                <w:szCs w:val="13"/>
                <w:color w:val="0E191E"/>
              </w:rPr>
              <w:t>100,261</w:t>
            </w:r>
          </w:p>
        </w:tc>
        <w:tc>
          <w:tcPr>
            <w:tcW w:w="1500" w:type="dxa"/>
            <w:vAlign w:val="bottom"/>
            <w:tcBorders>
              <w:top w:val="single" w:sz="8" w:color="0E191E"/>
            </w:tcBorders>
            <w:vMerge w:val="restart"/>
            <w:shd w:val="clear" w:color="auto" w:fill="E5F1F5"/>
          </w:tcPr>
          <w:p>
            <w:pPr>
              <w:jc w:val="right"/>
              <w:ind w:right="214"/>
              <w:spacing w:after="0"/>
              <w:rPr>
                <w:sz w:val="20"/>
                <w:szCs w:val="20"/>
                <w:color w:val="auto"/>
              </w:rPr>
            </w:pPr>
            <w:r>
              <w:rPr>
                <w:rFonts w:ascii="Arial" w:cs="Arial" w:eastAsia="Arial" w:hAnsi="Arial"/>
                <w:sz w:val="13"/>
                <w:szCs w:val="13"/>
                <w:color w:val="0E191E"/>
              </w:rPr>
              <w:t>5,359</w:t>
            </w:r>
          </w:p>
        </w:tc>
        <w:tc>
          <w:tcPr>
            <w:tcW w:w="1000" w:type="dxa"/>
            <w:vAlign w:val="bottom"/>
            <w:tcBorders>
              <w:top w:val="single" w:sz="8" w:color="0E191E"/>
            </w:tcBorders>
            <w:vMerge w:val="restart"/>
            <w:shd w:val="clear" w:color="auto" w:fill="E5F1F5"/>
          </w:tcPr>
          <w:p>
            <w:pPr>
              <w:jc w:val="right"/>
              <w:ind w:right="13"/>
              <w:spacing w:after="0"/>
              <w:rPr>
                <w:sz w:val="20"/>
                <w:szCs w:val="20"/>
                <w:color w:val="auto"/>
              </w:rPr>
            </w:pPr>
            <w:r>
              <w:rPr>
                <w:rFonts w:ascii="Arial" w:cs="Arial" w:eastAsia="Arial" w:hAnsi="Arial"/>
                <w:sz w:val="13"/>
                <w:szCs w:val="13"/>
                <w:color w:val="0E191E"/>
              </w:rPr>
              <w:t>3,917,207</w:t>
            </w:r>
          </w:p>
        </w:tc>
        <w:tc>
          <w:tcPr>
            <w:tcW w:w="140" w:type="dxa"/>
            <w:vAlign w:val="bottom"/>
            <w:tcBorders>
              <w:top w:val="single" w:sz="8" w:color="0E191E"/>
            </w:tcBorders>
            <w:shd w:val="clear" w:color="auto" w:fill="E5F1F5"/>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E5F1F5"/>
          </w:tcPr>
          <w:p>
            <w:pPr>
              <w:spacing w:after="0"/>
              <w:rPr>
                <w:sz w:val="11"/>
                <w:szCs w:val="11"/>
                <w:color w:val="auto"/>
              </w:rPr>
            </w:pPr>
          </w:p>
        </w:tc>
        <w:tc>
          <w:tcPr>
            <w:tcW w:w="760" w:type="dxa"/>
            <w:vAlign w:val="bottom"/>
            <w:shd w:val="clear" w:color="auto" w:fill="E5F1F5"/>
          </w:tcPr>
          <w:p>
            <w:pPr>
              <w:spacing w:after="0"/>
              <w:rPr>
                <w:sz w:val="11"/>
                <w:szCs w:val="11"/>
                <w:color w:val="auto"/>
              </w:rPr>
            </w:pPr>
          </w:p>
        </w:tc>
        <w:tc>
          <w:tcPr>
            <w:tcW w:w="100" w:type="dxa"/>
            <w:vAlign w:val="bottom"/>
            <w:shd w:val="clear" w:color="auto" w:fill="E5F1F5"/>
          </w:tcPr>
          <w:p>
            <w:pPr>
              <w:spacing w:after="0"/>
              <w:rPr>
                <w:sz w:val="11"/>
                <w:szCs w:val="11"/>
                <w:color w:val="auto"/>
              </w:rPr>
            </w:pPr>
          </w:p>
        </w:tc>
        <w:tc>
          <w:tcPr>
            <w:tcW w:w="60" w:type="dxa"/>
            <w:vAlign w:val="bottom"/>
            <w:shd w:val="clear" w:color="auto" w:fill="E5F1F5"/>
          </w:tcPr>
          <w:p>
            <w:pPr>
              <w:spacing w:after="0"/>
              <w:rPr>
                <w:sz w:val="11"/>
                <w:szCs w:val="11"/>
                <w:color w:val="auto"/>
              </w:rPr>
            </w:pPr>
          </w:p>
        </w:tc>
        <w:tc>
          <w:tcPr>
            <w:tcW w:w="140" w:type="dxa"/>
            <w:vAlign w:val="bottom"/>
            <w:shd w:val="clear" w:color="auto" w:fill="E5F1F5"/>
          </w:tcPr>
          <w:p>
            <w:pPr>
              <w:spacing w:after="0"/>
              <w:rPr>
                <w:sz w:val="11"/>
                <w:szCs w:val="11"/>
                <w:color w:val="auto"/>
              </w:rPr>
            </w:pPr>
          </w:p>
        </w:tc>
        <w:tc>
          <w:tcPr>
            <w:tcW w:w="2120" w:type="dxa"/>
            <w:vAlign w:val="bottom"/>
            <w:shd w:val="clear" w:color="auto" w:fill="E5F1F5"/>
          </w:tcPr>
          <w:p>
            <w:pPr>
              <w:spacing w:after="0"/>
              <w:rPr>
                <w:sz w:val="11"/>
                <w:szCs w:val="11"/>
                <w:color w:val="auto"/>
              </w:rPr>
            </w:pPr>
          </w:p>
        </w:tc>
        <w:tc>
          <w:tcPr>
            <w:tcW w:w="920" w:type="dxa"/>
            <w:vAlign w:val="bottom"/>
            <w:vMerge w:val="continue"/>
            <w:shd w:val="clear" w:color="auto" w:fill="E5F1F5"/>
          </w:tcPr>
          <w:p>
            <w:pPr>
              <w:spacing w:after="0"/>
              <w:rPr>
                <w:sz w:val="11"/>
                <w:szCs w:val="11"/>
                <w:color w:val="auto"/>
              </w:rPr>
            </w:pPr>
          </w:p>
        </w:tc>
        <w:tc>
          <w:tcPr>
            <w:tcW w:w="1360" w:type="dxa"/>
            <w:vAlign w:val="bottom"/>
            <w:vMerge w:val="continue"/>
            <w:shd w:val="clear" w:color="auto" w:fill="E5F1F5"/>
          </w:tcPr>
          <w:p>
            <w:pPr>
              <w:spacing w:after="0"/>
              <w:rPr>
                <w:sz w:val="11"/>
                <w:szCs w:val="11"/>
                <w:color w:val="auto"/>
              </w:rPr>
            </w:pPr>
          </w:p>
        </w:tc>
        <w:tc>
          <w:tcPr>
            <w:tcW w:w="1380" w:type="dxa"/>
            <w:vAlign w:val="bottom"/>
            <w:vMerge w:val="continue"/>
            <w:shd w:val="clear" w:color="auto" w:fill="E5F1F5"/>
          </w:tcPr>
          <w:p>
            <w:pPr>
              <w:spacing w:after="0"/>
              <w:rPr>
                <w:sz w:val="11"/>
                <w:szCs w:val="11"/>
                <w:color w:val="auto"/>
              </w:rPr>
            </w:pPr>
          </w:p>
        </w:tc>
        <w:tc>
          <w:tcPr>
            <w:tcW w:w="1660" w:type="dxa"/>
            <w:vAlign w:val="bottom"/>
            <w:vMerge w:val="continue"/>
            <w:shd w:val="clear" w:color="auto" w:fill="E5F1F5"/>
          </w:tcPr>
          <w:p>
            <w:pPr>
              <w:spacing w:after="0"/>
              <w:rPr>
                <w:sz w:val="11"/>
                <w:szCs w:val="11"/>
                <w:color w:val="auto"/>
              </w:rPr>
            </w:pPr>
          </w:p>
        </w:tc>
        <w:tc>
          <w:tcPr>
            <w:tcW w:w="1500" w:type="dxa"/>
            <w:vAlign w:val="bottom"/>
            <w:vMerge w:val="continue"/>
            <w:shd w:val="clear" w:color="auto" w:fill="E5F1F5"/>
          </w:tcPr>
          <w:p>
            <w:pPr>
              <w:spacing w:after="0"/>
              <w:rPr>
                <w:sz w:val="11"/>
                <w:szCs w:val="11"/>
                <w:color w:val="auto"/>
              </w:rPr>
            </w:pPr>
          </w:p>
        </w:tc>
        <w:tc>
          <w:tcPr>
            <w:tcW w:w="1000" w:type="dxa"/>
            <w:vAlign w:val="bottom"/>
            <w:vMerge w:val="continue"/>
            <w:shd w:val="clear" w:color="auto" w:fill="E5F1F5"/>
          </w:tcPr>
          <w:p>
            <w:pPr>
              <w:spacing w:after="0"/>
              <w:rPr>
                <w:sz w:val="11"/>
                <w:szCs w:val="11"/>
                <w:color w:val="auto"/>
              </w:rPr>
            </w:pPr>
          </w:p>
        </w:tc>
        <w:tc>
          <w:tcPr>
            <w:tcW w:w="140" w:type="dxa"/>
            <w:vAlign w:val="bottom"/>
            <w:shd w:val="clear" w:color="auto" w:fill="E5F1F5"/>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00" w:type="dxa"/>
            <w:vAlign w:val="bottom"/>
            <w:shd w:val="clear" w:color="auto" w:fill="E5F1F5"/>
          </w:tcPr>
          <w:p>
            <w:pPr>
              <w:spacing w:after="0"/>
              <w:rPr>
                <w:sz w:val="8"/>
                <w:szCs w:val="8"/>
                <w:color w:val="auto"/>
              </w:rPr>
            </w:pPr>
          </w:p>
        </w:tc>
        <w:tc>
          <w:tcPr>
            <w:tcW w:w="760" w:type="dxa"/>
            <w:vAlign w:val="bottom"/>
            <w:shd w:val="clear" w:color="auto" w:fill="E5F1F5"/>
          </w:tcPr>
          <w:p>
            <w:pPr>
              <w:spacing w:after="0"/>
              <w:rPr>
                <w:sz w:val="8"/>
                <w:szCs w:val="8"/>
                <w:color w:val="auto"/>
              </w:rPr>
            </w:pPr>
          </w:p>
        </w:tc>
        <w:tc>
          <w:tcPr>
            <w:tcW w:w="100" w:type="dxa"/>
            <w:vAlign w:val="bottom"/>
            <w:shd w:val="clear" w:color="auto" w:fill="E5F1F5"/>
          </w:tcPr>
          <w:p>
            <w:pPr>
              <w:spacing w:after="0"/>
              <w:rPr>
                <w:sz w:val="8"/>
                <w:szCs w:val="8"/>
                <w:color w:val="auto"/>
              </w:rPr>
            </w:pPr>
          </w:p>
        </w:tc>
        <w:tc>
          <w:tcPr>
            <w:tcW w:w="60" w:type="dxa"/>
            <w:vAlign w:val="bottom"/>
            <w:shd w:val="clear" w:color="auto" w:fill="E5F1F5"/>
          </w:tcPr>
          <w:p>
            <w:pPr>
              <w:spacing w:after="0"/>
              <w:rPr>
                <w:sz w:val="8"/>
                <w:szCs w:val="8"/>
                <w:color w:val="auto"/>
              </w:rPr>
            </w:pPr>
          </w:p>
        </w:tc>
        <w:tc>
          <w:tcPr>
            <w:tcW w:w="140" w:type="dxa"/>
            <w:vAlign w:val="bottom"/>
            <w:shd w:val="clear" w:color="auto" w:fill="E5F1F5"/>
          </w:tcPr>
          <w:p>
            <w:pPr>
              <w:spacing w:after="0"/>
              <w:rPr>
                <w:sz w:val="8"/>
                <w:szCs w:val="8"/>
                <w:color w:val="auto"/>
              </w:rPr>
            </w:pPr>
          </w:p>
        </w:tc>
        <w:tc>
          <w:tcPr>
            <w:tcW w:w="2120" w:type="dxa"/>
            <w:vAlign w:val="bottom"/>
            <w:shd w:val="clear" w:color="auto" w:fill="E5F1F5"/>
          </w:tcPr>
          <w:p>
            <w:pPr>
              <w:spacing w:after="0"/>
              <w:rPr>
                <w:sz w:val="8"/>
                <w:szCs w:val="8"/>
                <w:color w:val="auto"/>
              </w:rPr>
            </w:pPr>
          </w:p>
        </w:tc>
        <w:tc>
          <w:tcPr>
            <w:tcW w:w="920" w:type="dxa"/>
            <w:vAlign w:val="bottom"/>
            <w:shd w:val="clear" w:color="auto" w:fill="E5F1F5"/>
          </w:tcPr>
          <w:p>
            <w:pPr>
              <w:spacing w:after="0"/>
              <w:rPr>
                <w:sz w:val="8"/>
                <w:szCs w:val="8"/>
                <w:color w:val="auto"/>
              </w:rPr>
            </w:pPr>
          </w:p>
        </w:tc>
        <w:tc>
          <w:tcPr>
            <w:tcW w:w="1360" w:type="dxa"/>
            <w:vAlign w:val="bottom"/>
            <w:shd w:val="clear" w:color="auto" w:fill="E5F1F5"/>
          </w:tcPr>
          <w:p>
            <w:pPr>
              <w:spacing w:after="0"/>
              <w:rPr>
                <w:sz w:val="8"/>
                <w:szCs w:val="8"/>
                <w:color w:val="auto"/>
              </w:rPr>
            </w:pPr>
          </w:p>
        </w:tc>
        <w:tc>
          <w:tcPr>
            <w:tcW w:w="1380" w:type="dxa"/>
            <w:vAlign w:val="bottom"/>
            <w:shd w:val="clear" w:color="auto" w:fill="E5F1F5"/>
          </w:tcPr>
          <w:p>
            <w:pPr>
              <w:spacing w:after="0"/>
              <w:rPr>
                <w:sz w:val="8"/>
                <w:szCs w:val="8"/>
                <w:color w:val="auto"/>
              </w:rPr>
            </w:pPr>
          </w:p>
        </w:tc>
        <w:tc>
          <w:tcPr>
            <w:tcW w:w="1660" w:type="dxa"/>
            <w:vAlign w:val="bottom"/>
            <w:shd w:val="clear" w:color="auto" w:fill="E5F1F5"/>
          </w:tcPr>
          <w:p>
            <w:pPr>
              <w:spacing w:after="0"/>
              <w:rPr>
                <w:sz w:val="8"/>
                <w:szCs w:val="8"/>
                <w:color w:val="auto"/>
              </w:rPr>
            </w:pPr>
          </w:p>
        </w:tc>
        <w:tc>
          <w:tcPr>
            <w:tcW w:w="1500" w:type="dxa"/>
            <w:vAlign w:val="bottom"/>
            <w:shd w:val="clear" w:color="auto" w:fill="E5F1F5"/>
          </w:tcPr>
          <w:p>
            <w:pPr>
              <w:spacing w:after="0"/>
              <w:rPr>
                <w:sz w:val="8"/>
                <w:szCs w:val="8"/>
                <w:color w:val="auto"/>
              </w:rPr>
            </w:pPr>
          </w:p>
        </w:tc>
        <w:tc>
          <w:tcPr>
            <w:tcW w:w="1000" w:type="dxa"/>
            <w:vAlign w:val="bottom"/>
            <w:shd w:val="clear" w:color="auto" w:fill="E5F1F5"/>
          </w:tcPr>
          <w:p>
            <w:pPr>
              <w:spacing w:after="0"/>
              <w:rPr>
                <w:sz w:val="8"/>
                <w:szCs w:val="8"/>
                <w:color w:val="auto"/>
              </w:rPr>
            </w:pPr>
          </w:p>
        </w:tc>
        <w:tc>
          <w:tcPr>
            <w:tcW w:w="140" w:type="dxa"/>
            <w:vAlign w:val="bottom"/>
            <w:shd w:val="clear" w:color="auto" w:fill="E5F1F5"/>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20" w:type="dxa"/>
            <w:vAlign w:val="bottom"/>
          </w:tcPr>
          <w:p>
            <w:pPr>
              <w:ind w:left="300"/>
              <w:spacing w:after="0"/>
              <w:rPr>
                <w:sz w:val="20"/>
                <w:szCs w:val="20"/>
                <w:color w:val="auto"/>
              </w:rPr>
            </w:pPr>
            <w:r>
              <w:rPr>
                <w:rFonts w:ascii="Arial" w:cs="Arial" w:eastAsia="Arial" w:hAnsi="Arial"/>
                <w:sz w:val="13"/>
                <w:szCs w:val="13"/>
                <w:color w:val="0E191E"/>
              </w:rPr>
              <w:t>2021</w:t>
            </w:r>
          </w:p>
        </w:tc>
        <w:tc>
          <w:tcPr>
            <w:tcW w:w="1360" w:type="dxa"/>
            <w:vAlign w:val="bottom"/>
          </w:tcPr>
          <w:p>
            <w:pPr>
              <w:jc w:val="right"/>
              <w:ind w:right="253"/>
              <w:spacing w:after="0"/>
              <w:rPr>
                <w:sz w:val="20"/>
                <w:szCs w:val="20"/>
                <w:color w:val="auto"/>
              </w:rPr>
            </w:pPr>
            <w:r>
              <w:rPr>
                <w:rFonts w:ascii="Arial" w:cs="Arial" w:eastAsia="Arial" w:hAnsi="Arial"/>
                <w:sz w:val="13"/>
                <w:szCs w:val="13"/>
                <w:color w:val="0E191E"/>
              </w:rPr>
              <w:t>405,000</w:t>
            </w:r>
          </w:p>
        </w:tc>
        <w:tc>
          <w:tcPr>
            <w:tcW w:w="1380" w:type="dxa"/>
            <w:vAlign w:val="bottom"/>
          </w:tcPr>
          <w:p>
            <w:pPr>
              <w:jc w:val="right"/>
              <w:ind w:right="374"/>
              <w:spacing w:after="0"/>
              <w:rPr>
                <w:sz w:val="20"/>
                <w:szCs w:val="20"/>
                <w:color w:val="auto"/>
              </w:rPr>
            </w:pPr>
            <w:r>
              <w:rPr>
                <w:rFonts w:ascii="Arial" w:cs="Arial" w:eastAsia="Arial" w:hAnsi="Arial"/>
                <w:sz w:val="13"/>
                <w:szCs w:val="13"/>
                <w:color w:val="0E191E"/>
              </w:rPr>
              <w:t>3,352,800</w:t>
            </w:r>
          </w:p>
        </w:tc>
        <w:tc>
          <w:tcPr>
            <w:tcW w:w="1660" w:type="dxa"/>
            <w:vAlign w:val="bottom"/>
          </w:tcPr>
          <w:p>
            <w:pPr>
              <w:jc w:val="right"/>
              <w:ind w:right="293"/>
              <w:spacing w:after="0"/>
              <w:rPr>
                <w:sz w:val="20"/>
                <w:szCs w:val="20"/>
                <w:color w:val="auto"/>
              </w:rPr>
            </w:pPr>
            <w:r>
              <w:rPr>
                <w:rFonts w:ascii="Arial" w:cs="Arial" w:eastAsia="Arial" w:hAnsi="Arial"/>
                <w:sz w:val="13"/>
                <w:szCs w:val="13"/>
                <w:color w:val="0E191E"/>
              </w:rPr>
              <w:t>344,756</w:t>
            </w:r>
          </w:p>
        </w:tc>
        <w:tc>
          <w:tcPr>
            <w:tcW w:w="1500" w:type="dxa"/>
            <w:vAlign w:val="bottom"/>
          </w:tcPr>
          <w:p>
            <w:pPr>
              <w:jc w:val="right"/>
              <w:ind w:right="214"/>
              <w:spacing w:after="0"/>
              <w:rPr>
                <w:sz w:val="20"/>
                <w:szCs w:val="20"/>
                <w:color w:val="auto"/>
              </w:rPr>
            </w:pPr>
            <w:r>
              <w:rPr>
                <w:rFonts w:ascii="Arial" w:cs="Arial" w:eastAsia="Arial" w:hAnsi="Arial"/>
                <w:sz w:val="13"/>
                <w:szCs w:val="13"/>
                <w:color w:val="0E191E"/>
              </w:rPr>
              <w:t>5,611</w:t>
            </w:r>
          </w:p>
        </w:tc>
        <w:tc>
          <w:tcPr>
            <w:tcW w:w="1000" w:type="dxa"/>
            <w:vAlign w:val="bottom"/>
          </w:tcPr>
          <w:p>
            <w:pPr>
              <w:jc w:val="right"/>
              <w:ind w:right="13"/>
              <w:spacing w:after="0"/>
              <w:rPr>
                <w:sz w:val="20"/>
                <w:szCs w:val="20"/>
                <w:color w:val="auto"/>
              </w:rPr>
            </w:pPr>
            <w:r>
              <w:rPr>
                <w:rFonts w:ascii="Arial" w:cs="Arial" w:eastAsia="Arial" w:hAnsi="Arial"/>
                <w:sz w:val="13"/>
                <w:szCs w:val="13"/>
                <w:color w:val="0E191E"/>
              </w:rPr>
              <w:t>4,108,167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3180" w:type="dxa"/>
            <w:vAlign w:val="bottom"/>
            <w:gridSpan w:val="5"/>
            <w:vMerge w:val="restart"/>
          </w:tcPr>
          <w:p>
            <w:pPr>
              <w:spacing w:after="0"/>
              <w:rPr>
                <w:sz w:val="20"/>
                <w:szCs w:val="20"/>
                <w:color w:val="auto"/>
              </w:rPr>
            </w:pPr>
            <w:r>
              <w:rPr>
                <w:rFonts w:ascii="Arial" w:cs="Arial" w:eastAsia="Arial" w:hAnsi="Arial"/>
                <w:sz w:val="13"/>
                <w:szCs w:val="13"/>
                <w:b w:val="1"/>
                <w:bCs w:val="1"/>
                <w:color w:val="0E191E"/>
              </w:rPr>
              <w:t>Priscilla Hung</w:t>
            </w:r>
          </w:p>
        </w:tc>
        <w:tc>
          <w:tcPr>
            <w:tcW w:w="920" w:type="dxa"/>
            <w:vAlign w:val="bottom"/>
            <w:tcBorders>
              <w:bottom w:val="single" w:sz="8" w:color="0E191E"/>
            </w:tcBorders>
          </w:tcPr>
          <w:p>
            <w:pPr>
              <w:spacing w:after="0"/>
              <w:rPr>
                <w:sz w:val="9"/>
                <w:szCs w:val="9"/>
                <w:color w:val="auto"/>
              </w:rPr>
            </w:pPr>
          </w:p>
        </w:tc>
        <w:tc>
          <w:tcPr>
            <w:tcW w:w="1360" w:type="dxa"/>
            <w:vAlign w:val="bottom"/>
            <w:tcBorders>
              <w:bottom w:val="single" w:sz="8" w:color="0E191E"/>
            </w:tcBorders>
          </w:tcPr>
          <w:p>
            <w:pPr>
              <w:spacing w:after="0"/>
              <w:rPr>
                <w:sz w:val="9"/>
                <w:szCs w:val="9"/>
                <w:color w:val="auto"/>
              </w:rPr>
            </w:pPr>
          </w:p>
        </w:tc>
        <w:tc>
          <w:tcPr>
            <w:tcW w:w="1380" w:type="dxa"/>
            <w:vAlign w:val="bottom"/>
            <w:tcBorders>
              <w:bottom w:val="single" w:sz="8" w:color="0E191E"/>
            </w:tcBorders>
          </w:tcPr>
          <w:p>
            <w:pPr>
              <w:spacing w:after="0"/>
              <w:rPr>
                <w:sz w:val="9"/>
                <w:szCs w:val="9"/>
                <w:color w:val="auto"/>
              </w:rPr>
            </w:pPr>
          </w:p>
        </w:tc>
        <w:tc>
          <w:tcPr>
            <w:tcW w:w="1660" w:type="dxa"/>
            <w:vAlign w:val="bottom"/>
            <w:tcBorders>
              <w:bottom w:val="single" w:sz="8" w:color="0E191E"/>
            </w:tcBorders>
          </w:tcPr>
          <w:p>
            <w:pPr>
              <w:spacing w:after="0"/>
              <w:rPr>
                <w:sz w:val="9"/>
                <w:szCs w:val="9"/>
                <w:color w:val="auto"/>
              </w:rPr>
            </w:pPr>
          </w:p>
        </w:tc>
        <w:tc>
          <w:tcPr>
            <w:tcW w:w="1500" w:type="dxa"/>
            <w:vAlign w:val="bottom"/>
            <w:tcBorders>
              <w:bottom w:val="single" w:sz="8" w:color="0E191E"/>
            </w:tcBorders>
          </w:tcPr>
          <w:p>
            <w:pPr>
              <w:spacing w:after="0"/>
              <w:rPr>
                <w:sz w:val="9"/>
                <w:szCs w:val="9"/>
                <w:color w:val="auto"/>
              </w:rPr>
            </w:pPr>
          </w:p>
        </w:tc>
        <w:tc>
          <w:tcPr>
            <w:tcW w:w="1000" w:type="dxa"/>
            <w:vAlign w:val="bottom"/>
            <w:tcBorders>
              <w:bottom w:val="single" w:sz="8" w:color="0E191E"/>
            </w:tcBorders>
          </w:tcPr>
          <w:p>
            <w:pPr>
              <w:spacing w:after="0"/>
              <w:rPr>
                <w:sz w:val="9"/>
                <w:szCs w:val="9"/>
                <w:color w:val="auto"/>
              </w:rPr>
            </w:pPr>
          </w:p>
        </w:tc>
        <w:tc>
          <w:tcPr>
            <w:tcW w:w="140" w:type="dxa"/>
            <w:vAlign w:val="bottom"/>
            <w:tcBorders>
              <w:bottom w:val="single" w:sz="8" w:color="0E191E"/>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180" w:type="dxa"/>
            <w:vAlign w:val="bottom"/>
            <w:gridSpan w:val="5"/>
            <w:vMerge w:val="continue"/>
          </w:tcPr>
          <w:p>
            <w:pPr>
              <w:spacing w:after="0"/>
              <w:rPr>
                <w:sz w:val="14"/>
                <w:szCs w:val="14"/>
                <w:color w:val="auto"/>
              </w:rPr>
            </w:pPr>
          </w:p>
        </w:tc>
        <w:tc>
          <w:tcPr>
            <w:tcW w:w="920" w:type="dxa"/>
            <w:vAlign w:val="bottom"/>
            <w:vMerge w:val="restart"/>
          </w:tcPr>
          <w:p>
            <w:pPr>
              <w:ind w:left="300"/>
              <w:spacing w:after="0"/>
              <w:rPr>
                <w:sz w:val="20"/>
                <w:szCs w:val="20"/>
                <w:color w:val="auto"/>
              </w:rPr>
            </w:pPr>
            <w:r>
              <w:rPr>
                <w:rFonts w:ascii="Arial" w:cs="Arial" w:eastAsia="Arial" w:hAnsi="Arial"/>
                <w:sz w:val="13"/>
                <w:szCs w:val="13"/>
                <w:color w:val="0E191E"/>
              </w:rPr>
              <w:t>2020</w:t>
            </w:r>
          </w:p>
        </w:tc>
        <w:tc>
          <w:tcPr>
            <w:tcW w:w="1360" w:type="dxa"/>
            <w:vAlign w:val="bottom"/>
            <w:vMerge w:val="restart"/>
          </w:tcPr>
          <w:p>
            <w:pPr>
              <w:jc w:val="right"/>
              <w:ind w:right="253"/>
              <w:spacing w:after="0"/>
              <w:rPr>
                <w:sz w:val="20"/>
                <w:szCs w:val="20"/>
                <w:color w:val="auto"/>
              </w:rPr>
            </w:pPr>
            <w:r>
              <w:rPr>
                <w:rFonts w:ascii="Arial" w:cs="Arial" w:eastAsia="Arial" w:hAnsi="Arial"/>
                <w:sz w:val="13"/>
                <w:szCs w:val="13"/>
                <w:color w:val="0E191E"/>
              </w:rPr>
              <w:t>391,250</w:t>
            </w:r>
          </w:p>
        </w:tc>
        <w:tc>
          <w:tcPr>
            <w:tcW w:w="1380" w:type="dxa"/>
            <w:vAlign w:val="bottom"/>
            <w:vMerge w:val="restart"/>
          </w:tcPr>
          <w:p>
            <w:pPr>
              <w:jc w:val="right"/>
              <w:ind w:right="374"/>
              <w:spacing w:after="0"/>
              <w:rPr>
                <w:sz w:val="20"/>
                <w:szCs w:val="20"/>
                <w:color w:val="auto"/>
              </w:rPr>
            </w:pPr>
            <w:r>
              <w:rPr>
                <w:rFonts w:ascii="Arial" w:cs="Arial" w:eastAsia="Arial" w:hAnsi="Arial"/>
                <w:sz w:val="13"/>
                <w:szCs w:val="13"/>
                <w:color w:val="0E191E"/>
              </w:rPr>
              <w:t>2,901,074</w:t>
            </w:r>
          </w:p>
        </w:tc>
        <w:tc>
          <w:tcPr>
            <w:tcW w:w="1660" w:type="dxa"/>
            <w:vAlign w:val="bottom"/>
            <w:vMerge w:val="restart"/>
          </w:tcPr>
          <w:p>
            <w:pPr>
              <w:jc w:val="right"/>
              <w:ind w:right="293"/>
              <w:spacing w:after="0"/>
              <w:rPr>
                <w:sz w:val="20"/>
                <w:szCs w:val="20"/>
                <w:color w:val="auto"/>
              </w:rPr>
            </w:pPr>
            <w:r>
              <w:rPr>
                <w:rFonts w:ascii="Arial" w:cs="Arial" w:eastAsia="Arial" w:hAnsi="Arial"/>
                <w:sz w:val="13"/>
                <w:szCs w:val="13"/>
                <w:color w:val="0E191E"/>
              </w:rPr>
              <w:t>163,908</w:t>
            </w:r>
          </w:p>
        </w:tc>
        <w:tc>
          <w:tcPr>
            <w:tcW w:w="1500" w:type="dxa"/>
            <w:vAlign w:val="bottom"/>
            <w:vMerge w:val="restart"/>
          </w:tcPr>
          <w:p>
            <w:pPr>
              <w:jc w:val="right"/>
              <w:ind w:right="214"/>
              <w:spacing w:after="0"/>
              <w:rPr>
                <w:sz w:val="20"/>
                <w:szCs w:val="20"/>
                <w:color w:val="auto"/>
              </w:rPr>
            </w:pPr>
            <w:r>
              <w:rPr>
                <w:rFonts w:ascii="Arial" w:cs="Arial" w:eastAsia="Arial" w:hAnsi="Arial"/>
                <w:sz w:val="13"/>
                <w:szCs w:val="13"/>
                <w:color w:val="0E191E"/>
              </w:rPr>
              <w:t>5,359</w:t>
            </w:r>
          </w:p>
        </w:tc>
        <w:tc>
          <w:tcPr>
            <w:tcW w:w="1000" w:type="dxa"/>
            <w:vAlign w:val="bottom"/>
            <w:vMerge w:val="restart"/>
          </w:tcPr>
          <w:p>
            <w:pPr>
              <w:jc w:val="right"/>
              <w:ind w:right="13"/>
              <w:spacing w:after="0"/>
              <w:rPr>
                <w:sz w:val="20"/>
                <w:szCs w:val="20"/>
                <w:color w:val="auto"/>
              </w:rPr>
            </w:pPr>
            <w:r>
              <w:rPr>
                <w:rFonts w:ascii="Arial" w:cs="Arial" w:eastAsia="Arial" w:hAnsi="Arial"/>
                <w:sz w:val="13"/>
                <w:szCs w:val="13"/>
                <w:color w:val="0E191E"/>
              </w:rPr>
              <w:t>3,461,591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3180" w:type="dxa"/>
            <w:vAlign w:val="bottom"/>
            <w:gridSpan w:val="5"/>
            <w:vMerge w:val="restart"/>
          </w:tcPr>
          <w:p>
            <w:pPr>
              <w:spacing w:after="0"/>
              <w:rPr>
                <w:sz w:val="20"/>
                <w:szCs w:val="20"/>
                <w:color w:val="auto"/>
              </w:rPr>
            </w:pPr>
            <w:r>
              <w:rPr>
                <w:rFonts w:ascii="Arial" w:cs="Arial" w:eastAsia="Arial" w:hAnsi="Arial"/>
                <w:sz w:val="13"/>
                <w:szCs w:val="13"/>
                <w:color w:val="0E191E"/>
              </w:rPr>
              <w:t>President and Chief Operating Officer</w:t>
            </w:r>
          </w:p>
        </w:tc>
        <w:tc>
          <w:tcPr>
            <w:tcW w:w="92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3180" w:type="dxa"/>
            <w:vAlign w:val="bottom"/>
            <w:gridSpan w:val="5"/>
            <w:vMerge w:val="continue"/>
          </w:tcPr>
          <w:p>
            <w:pPr>
              <w:spacing w:after="0"/>
              <w:rPr>
                <w:sz w:val="5"/>
                <w:szCs w:val="5"/>
                <w:color w:val="auto"/>
              </w:rPr>
            </w:pPr>
          </w:p>
        </w:tc>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20" w:type="dxa"/>
            <w:vAlign w:val="bottom"/>
            <w:tcBorders>
              <w:bottom w:val="single" w:sz="8" w:color="0E191E"/>
            </w:tcBorders>
          </w:tcPr>
          <w:p>
            <w:pPr>
              <w:spacing w:after="0"/>
              <w:rPr>
                <w:sz w:val="2"/>
                <w:szCs w:val="2"/>
                <w:color w:val="auto"/>
              </w:rPr>
            </w:pPr>
          </w:p>
        </w:tc>
        <w:tc>
          <w:tcPr>
            <w:tcW w:w="1360" w:type="dxa"/>
            <w:vAlign w:val="bottom"/>
            <w:tcBorders>
              <w:bottom w:val="single" w:sz="8" w:color="0E191E"/>
            </w:tcBorders>
          </w:tcPr>
          <w:p>
            <w:pPr>
              <w:spacing w:after="0"/>
              <w:rPr>
                <w:sz w:val="2"/>
                <w:szCs w:val="2"/>
                <w:color w:val="auto"/>
              </w:rPr>
            </w:pPr>
          </w:p>
        </w:tc>
        <w:tc>
          <w:tcPr>
            <w:tcW w:w="1380" w:type="dxa"/>
            <w:vAlign w:val="bottom"/>
            <w:tcBorders>
              <w:bottom w:val="single" w:sz="8" w:color="0E191E"/>
            </w:tcBorders>
          </w:tcPr>
          <w:p>
            <w:pPr>
              <w:spacing w:after="0"/>
              <w:rPr>
                <w:sz w:val="2"/>
                <w:szCs w:val="2"/>
                <w:color w:val="auto"/>
              </w:rPr>
            </w:pPr>
          </w:p>
        </w:tc>
        <w:tc>
          <w:tcPr>
            <w:tcW w:w="1660" w:type="dxa"/>
            <w:vAlign w:val="bottom"/>
            <w:tcBorders>
              <w:bottom w:val="single" w:sz="8" w:color="0E191E"/>
            </w:tcBorders>
          </w:tcPr>
          <w:p>
            <w:pPr>
              <w:spacing w:after="0"/>
              <w:rPr>
                <w:sz w:val="2"/>
                <w:szCs w:val="2"/>
                <w:color w:val="auto"/>
              </w:rPr>
            </w:pPr>
          </w:p>
        </w:tc>
        <w:tc>
          <w:tcPr>
            <w:tcW w:w="1500" w:type="dxa"/>
            <w:vAlign w:val="bottom"/>
            <w:tcBorders>
              <w:bottom w:val="single" w:sz="8" w:color="0E191E"/>
            </w:tcBorders>
          </w:tcPr>
          <w:p>
            <w:pPr>
              <w:spacing w:after="0"/>
              <w:rPr>
                <w:sz w:val="2"/>
                <w:szCs w:val="2"/>
                <w:color w:val="auto"/>
              </w:rPr>
            </w:pPr>
          </w:p>
        </w:tc>
        <w:tc>
          <w:tcPr>
            <w:tcW w:w="1000" w:type="dxa"/>
            <w:vAlign w:val="bottom"/>
            <w:tcBorders>
              <w:bottom w:val="single" w:sz="8" w:color="0E191E"/>
            </w:tcBorders>
          </w:tcPr>
          <w:p>
            <w:pPr>
              <w:spacing w:after="0"/>
              <w:rPr>
                <w:sz w:val="2"/>
                <w:szCs w:val="2"/>
                <w:color w:val="auto"/>
              </w:rPr>
            </w:pPr>
          </w:p>
        </w:tc>
        <w:tc>
          <w:tcPr>
            <w:tcW w:w="140" w:type="dxa"/>
            <w:vAlign w:val="bottom"/>
            <w:tcBorders>
              <w:bottom w:val="single" w:sz="8" w:color="0E191E"/>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920" w:type="dxa"/>
            <w:vAlign w:val="bottom"/>
          </w:tcPr>
          <w:p>
            <w:pPr>
              <w:ind w:left="300"/>
              <w:spacing w:after="0"/>
              <w:rPr>
                <w:sz w:val="20"/>
                <w:szCs w:val="20"/>
                <w:color w:val="auto"/>
              </w:rPr>
            </w:pPr>
            <w:r>
              <w:rPr>
                <w:rFonts w:ascii="Arial" w:cs="Arial" w:eastAsia="Arial" w:hAnsi="Arial"/>
                <w:sz w:val="13"/>
                <w:szCs w:val="13"/>
                <w:color w:val="0E191E"/>
              </w:rPr>
              <w:t>2019</w:t>
            </w:r>
          </w:p>
        </w:tc>
        <w:tc>
          <w:tcPr>
            <w:tcW w:w="1360" w:type="dxa"/>
            <w:vAlign w:val="bottom"/>
          </w:tcPr>
          <w:p>
            <w:pPr>
              <w:jc w:val="right"/>
              <w:ind w:right="253"/>
              <w:spacing w:after="0"/>
              <w:rPr>
                <w:sz w:val="20"/>
                <w:szCs w:val="20"/>
                <w:color w:val="auto"/>
              </w:rPr>
            </w:pPr>
            <w:r>
              <w:rPr>
                <w:rFonts w:ascii="Arial" w:cs="Arial" w:eastAsia="Arial" w:hAnsi="Arial"/>
                <w:sz w:val="13"/>
                <w:szCs w:val="13"/>
                <w:color w:val="0E191E"/>
              </w:rPr>
              <w:t>339,250</w:t>
            </w:r>
          </w:p>
        </w:tc>
        <w:tc>
          <w:tcPr>
            <w:tcW w:w="1380" w:type="dxa"/>
            <w:vAlign w:val="bottom"/>
          </w:tcPr>
          <w:p>
            <w:pPr>
              <w:jc w:val="right"/>
              <w:ind w:right="374"/>
              <w:spacing w:after="0"/>
              <w:rPr>
                <w:sz w:val="20"/>
                <w:szCs w:val="20"/>
                <w:color w:val="auto"/>
              </w:rPr>
            </w:pPr>
            <w:r>
              <w:rPr>
                <w:rFonts w:ascii="Arial" w:cs="Arial" w:eastAsia="Arial" w:hAnsi="Arial"/>
                <w:sz w:val="13"/>
                <w:szCs w:val="13"/>
                <w:color w:val="0E191E"/>
              </w:rPr>
              <w:t>2,853,254</w:t>
            </w:r>
          </w:p>
        </w:tc>
        <w:tc>
          <w:tcPr>
            <w:tcW w:w="1660" w:type="dxa"/>
            <w:vAlign w:val="bottom"/>
          </w:tcPr>
          <w:p>
            <w:pPr>
              <w:jc w:val="right"/>
              <w:ind w:right="293"/>
              <w:spacing w:after="0"/>
              <w:rPr>
                <w:sz w:val="20"/>
                <w:szCs w:val="20"/>
                <w:color w:val="auto"/>
              </w:rPr>
            </w:pPr>
            <w:r>
              <w:rPr>
                <w:rFonts w:ascii="Arial" w:cs="Arial" w:eastAsia="Arial" w:hAnsi="Arial"/>
                <w:sz w:val="13"/>
                <w:szCs w:val="13"/>
                <w:color w:val="0E191E"/>
              </w:rPr>
              <w:t>235,050</w:t>
            </w:r>
          </w:p>
        </w:tc>
        <w:tc>
          <w:tcPr>
            <w:tcW w:w="1500" w:type="dxa"/>
            <w:vAlign w:val="bottom"/>
          </w:tcPr>
          <w:p>
            <w:pPr>
              <w:jc w:val="right"/>
              <w:ind w:right="214"/>
              <w:spacing w:after="0"/>
              <w:rPr>
                <w:sz w:val="20"/>
                <w:szCs w:val="20"/>
                <w:color w:val="auto"/>
              </w:rPr>
            </w:pPr>
            <w:r>
              <w:rPr>
                <w:rFonts w:ascii="Arial" w:cs="Arial" w:eastAsia="Arial" w:hAnsi="Arial"/>
                <w:sz w:val="13"/>
                <w:szCs w:val="13"/>
                <w:color w:val="0E191E"/>
              </w:rPr>
              <w:t>5,306</w:t>
            </w:r>
          </w:p>
        </w:tc>
        <w:tc>
          <w:tcPr>
            <w:tcW w:w="1000" w:type="dxa"/>
            <w:vAlign w:val="bottom"/>
          </w:tcPr>
          <w:p>
            <w:pPr>
              <w:jc w:val="right"/>
              <w:ind w:right="13"/>
              <w:spacing w:after="0"/>
              <w:rPr>
                <w:sz w:val="20"/>
                <w:szCs w:val="20"/>
                <w:color w:val="auto"/>
              </w:rPr>
            </w:pPr>
            <w:r>
              <w:rPr>
                <w:rFonts w:ascii="Arial" w:cs="Arial" w:eastAsia="Arial" w:hAnsi="Arial"/>
                <w:sz w:val="13"/>
                <w:szCs w:val="13"/>
                <w:color w:val="0E191E"/>
              </w:rPr>
              <w:t>3,432,860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00" w:type="dxa"/>
            <w:vAlign w:val="bottom"/>
            <w:shd w:val="clear" w:color="auto" w:fill="E5F1F5"/>
          </w:tcPr>
          <w:p>
            <w:pPr>
              <w:spacing w:after="0"/>
              <w:rPr>
                <w:sz w:val="11"/>
                <w:szCs w:val="11"/>
                <w:color w:val="auto"/>
              </w:rPr>
            </w:pPr>
          </w:p>
        </w:tc>
        <w:tc>
          <w:tcPr>
            <w:tcW w:w="920" w:type="dxa"/>
            <w:vAlign w:val="bottom"/>
            <w:gridSpan w:val="3"/>
            <w:vMerge w:val="restart"/>
            <w:shd w:val="clear" w:color="auto" w:fill="E5F1F5"/>
          </w:tcPr>
          <w:p>
            <w:pPr>
              <w:spacing w:after="0"/>
              <w:rPr>
                <w:sz w:val="20"/>
                <w:szCs w:val="20"/>
                <w:color w:val="auto"/>
              </w:rPr>
            </w:pPr>
            <w:r>
              <w:rPr>
                <w:rFonts w:ascii="Arial" w:cs="Arial" w:eastAsia="Arial" w:hAnsi="Arial"/>
                <w:sz w:val="13"/>
                <w:szCs w:val="13"/>
                <w:b w:val="1"/>
                <w:bCs w:val="1"/>
                <w:color w:val="0E191E"/>
                <w:shd w:val="clear" w:color="auto" w:fill="E5F1F5"/>
              </w:rPr>
              <w:t>Frank O'Dowd</w:t>
            </w:r>
          </w:p>
        </w:tc>
        <w:tc>
          <w:tcPr>
            <w:tcW w:w="140" w:type="dxa"/>
            <w:vAlign w:val="bottom"/>
            <w:shd w:val="clear" w:color="auto" w:fill="E5F1F5"/>
          </w:tcPr>
          <w:p>
            <w:pPr>
              <w:jc w:val="right"/>
              <w:spacing w:after="0"/>
              <w:rPr>
                <w:sz w:val="20"/>
                <w:szCs w:val="20"/>
                <w:color w:val="auto"/>
              </w:rPr>
            </w:pPr>
            <w:r>
              <w:rPr>
                <w:rFonts w:ascii="Arial" w:cs="Arial" w:eastAsia="Arial" w:hAnsi="Arial"/>
                <w:sz w:val="9"/>
                <w:szCs w:val="9"/>
                <w:b w:val="1"/>
                <w:bCs w:val="1"/>
                <w:color w:val="0E191E"/>
                <w:w w:val="72"/>
                <w:shd w:val="clear" w:color="auto" w:fill="E5F1F5"/>
              </w:rPr>
              <w:t>(5)</w:t>
            </w:r>
          </w:p>
        </w:tc>
        <w:tc>
          <w:tcPr>
            <w:tcW w:w="2120" w:type="dxa"/>
            <w:vAlign w:val="bottom"/>
            <w:shd w:val="clear" w:color="auto" w:fill="E5F1F5"/>
          </w:tcPr>
          <w:p>
            <w:pPr>
              <w:spacing w:after="0"/>
              <w:rPr>
                <w:sz w:val="11"/>
                <w:szCs w:val="11"/>
                <w:color w:val="auto"/>
              </w:rPr>
            </w:pPr>
          </w:p>
        </w:tc>
        <w:tc>
          <w:tcPr>
            <w:tcW w:w="920" w:type="dxa"/>
            <w:vAlign w:val="bottom"/>
            <w:vMerge w:val="restart"/>
            <w:shd w:val="clear" w:color="auto" w:fill="E5F1F5"/>
          </w:tcPr>
          <w:p>
            <w:pPr>
              <w:ind w:left="300"/>
              <w:spacing w:after="0"/>
              <w:rPr>
                <w:sz w:val="20"/>
                <w:szCs w:val="20"/>
                <w:color w:val="auto"/>
              </w:rPr>
            </w:pPr>
            <w:r>
              <w:rPr>
                <w:rFonts w:ascii="Arial" w:cs="Arial" w:eastAsia="Arial" w:hAnsi="Arial"/>
                <w:sz w:val="13"/>
                <w:szCs w:val="13"/>
                <w:color w:val="0E191E"/>
              </w:rPr>
              <w:t>2021</w:t>
            </w:r>
          </w:p>
        </w:tc>
        <w:tc>
          <w:tcPr>
            <w:tcW w:w="1360" w:type="dxa"/>
            <w:vAlign w:val="bottom"/>
            <w:vMerge w:val="restart"/>
            <w:shd w:val="clear" w:color="auto" w:fill="E5F1F5"/>
          </w:tcPr>
          <w:p>
            <w:pPr>
              <w:jc w:val="right"/>
              <w:ind w:right="253"/>
              <w:spacing w:after="0"/>
              <w:rPr>
                <w:sz w:val="20"/>
                <w:szCs w:val="20"/>
                <w:color w:val="auto"/>
              </w:rPr>
            </w:pPr>
            <w:r>
              <w:rPr>
                <w:rFonts w:ascii="Arial" w:cs="Arial" w:eastAsia="Arial" w:hAnsi="Arial"/>
                <w:sz w:val="13"/>
                <w:szCs w:val="13"/>
                <w:color w:val="0E191E"/>
              </w:rPr>
              <w:t>425,000</w:t>
            </w:r>
          </w:p>
        </w:tc>
        <w:tc>
          <w:tcPr>
            <w:tcW w:w="1380" w:type="dxa"/>
            <w:vAlign w:val="bottom"/>
            <w:vMerge w:val="restart"/>
            <w:shd w:val="clear" w:color="auto" w:fill="E5F1F5"/>
          </w:tcPr>
          <w:p>
            <w:pPr>
              <w:jc w:val="right"/>
              <w:ind w:right="374"/>
              <w:spacing w:after="0"/>
              <w:rPr>
                <w:sz w:val="20"/>
                <w:szCs w:val="20"/>
                <w:color w:val="auto"/>
              </w:rPr>
            </w:pPr>
            <w:r>
              <w:rPr>
                <w:rFonts w:ascii="Arial" w:cs="Arial" w:eastAsia="Arial" w:hAnsi="Arial"/>
                <w:sz w:val="13"/>
                <w:szCs w:val="13"/>
                <w:color w:val="0E191E"/>
              </w:rPr>
              <w:t>2,616,302</w:t>
            </w:r>
          </w:p>
        </w:tc>
        <w:tc>
          <w:tcPr>
            <w:tcW w:w="1660" w:type="dxa"/>
            <w:vAlign w:val="bottom"/>
            <w:vMerge w:val="restart"/>
            <w:shd w:val="clear" w:color="auto" w:fill="E5F1F5"/>
          </w:tcPr>
          <w:p>
            <w:pPr>
              <w:jc w:val="right"/>
              <w:ind w:right="293"/>
              <w:spacing w:after="0"/>
              <w:rPr>
                <w:sz w:val="20"/>
                <w:szCs w:val="20"/>
                <w:color w:val="auto"/>
              </w:rPr>
            </w:pPr>
            <w:r>
              <w:rPr>
                <w:rFonts w:ascii="Arial" w:cs="Arial" w:eastAsia="Arial" w:hAnsi="Arial"/>
                <w:sz w:val="13"/>
                <w:szCs w:val="13"/>
                <w:color w:val="0E191E"/>
              </w:rPr>
              <w:t>533,326</w:t>
            </w:r>
          </w:p>
        </w:tc>
        <w:tc>
          <w:tcPr>
            <w:tcW w:w="1500" w:type="dxa"/>
            <w:vAlign w:val="bottom"/>
            <w:vMerge w:val="restart"/>
            <w:shd w:val="clear" w:color="auto" w:fill="E5F1F5"/>
          </w:tcPr>
          <w:p>
            <w:pPr>
              <w:jc w:val="right"/>
              <w:ind w:right="214"/>
              <w:spacing w:after="0"/>
              <w:rPr>
                <w:sz w:val="20"/>
                <w:szCs w:val="20"/>
                <w:color w:val="auto"/>
              </w:rPr>
            </w:pPr>
            <w:r>
              <w:rPr>
                <w:rFonts w:ascii="Arial" w:cs="Arial" w:eastAsia="Arial" w:hAnsi="Arial"/>
                <w:sz w:val="13"/>
                <w:szCs w:val="13"/>
                <w:color w:val="0E191E"/>
              </w:rPr>
              <w:t>6,403</w:t>
            </w:r>
          </w:p>
        </w:tc>
        <w:tc>
          <w:tcPr>
            <w:tcW w:w="1000" w:type="dxa"/>
            <w:vAlign w:val="bottom"/>
            <w:vMerge w:val="restart"/>
            <w:shd w:val="clear" w:color="auto" w:fill="E5F1F5"/>
          </w:tcPr>
          <w:p>
            <w:pPr>
              <w:jc w:val="right"/>
              <w:ind w:right="13"/>
              <w:spacing w:after="0"/>
              <w:rPr>
                <w:sz w:val="20"/>
                <w:szCs w:val="20"/>
                <w:color w:val="auto"/>
              </w:rPr>
            </w:pPr>
            <w:r>
              <w:rPr>
                <w:rFonts w:ascii="Arial" w:cs="Arial" w:eastAsia="Arial" w:hAnsi="Arial"/>
                <w:sz w:val="13"/>
                <w:szCs w:val="13"/>
                <w:color w:val="0E191E"/>
              </w:rPr>
              <w:t>3,581,031</w:t>
            </w:r>
          </w:p>
        </w:tc>
        <w:tc>
          <w:tcPr>
            <w:tcW w:w="140" w:type="dxa"/>
            <w:vAlign w:val="bottom"/>
            <w:shd w:val="clear" w:color="auto" w:fill="E5F1F5"/>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00" w:type="dxa"/>
            <w:vAlign w:val="bottom"/>
            <w:shd w:val="clear" w:color="auto" w:fill="E5F1F5"/>
          </w:tcPr>
          <w:p>
            <w:pPr>
              <w:spacing w:after="0"/>
              <w:rPr>
                <w:sz w:val="3"/>
                <w:szCs w:val="3"/>
                <w:color w:val="auto"/>
              </w:rPr>
            </w:pPr>
          </w:p>
        </w:tc>
        <w:tc>
          <w:tcPr>
            <w:tcW w:w="920" w:type="dxa"/>
            <w:vAlign w:val="bottom"/>
            <w:gridSpan w:val="3"/>
            <w:vMerge w:val="continue"/>
            <w:shd w:val="clear" w:color="auto" w:fill="E5F1F5"/>
          </w:tcPr>
          <w:p>
            <w:pPr>
              <w:spacing w:after="0"/>
              <w:rPr>
                <w:sz w:val="3"/>
                <w:szCs w:val="3"/>
                <w:color w:val="auto"/>
              </w:rPr>
            </w:pPr>
          </w:p>
        </w:tc>
        <w:tc>
          <w:tcPr>
            <w:tcW w:w="140" w:type="dxa"/>
            <w:vAlign w:val="bottom"/>
            <w:shd w:val="clear" w:color="auto" w:fill="E5F1F5"/>
          </w:tcPr>
          <w:p>
            <w:pPr>
              <w:spacing w:after="0"/>
              <w:rPr>
                <w:sz w:val="3"/>
                <w:szCs w:val="3"/>
                <w:color w:val="auto"/>
              </w:rPr>
            </w:pPr>
          </w:p>
        </w:tc>
        <w:tc>
          <w:tcPr>
            <w:tcW w:w="2120" w:type="dxa"/>
            <w:vAlign w:val="bottom"/>
            <w:shd w:val="clear" w:color="auto" w:fill="E5F1F5"/>
          </w:tcPr>
          <w:p>
            <w:pPr>
              <w:spacing w:after="0"/>
              <w:rPr>
                <w:sz w:val="3"/>
                <w:szCs w:val="3"/>
                <w:color w:val="auto"/>
              </w:rPr>
            </w:pPr>
          </w:p>
        </w:tc>
        <w:tc>
          <w:tcPr>
            <w:tcW w:w="920" w:type="dxa"/>
            <w:vAlign w:val="bottom"/>
            <w:vMerge w:val="continue"/>
            <w:shd w:val="clear" w:color="auto" w:fill="E5F1F5"/>
          </w:tcPr>
          <w:p>
            <w:pPr>
              <w:spacing w:after="0"/>
              <w:rPr>
                <w:sz w:val="3"/>
                <w:szCs w:val="3"/>
                <w:color w:val="auto"/>
              </w:rPr>
            </w:pPr>
          </w:p>
        </w:tc>
        <w:tc>
          <w:tcPr>
            <w:tcW w:w="1360" w:type="dxa"/>
            <w:vAlign w:val="bottom"/>
            <w:vMerge w:val="continue"/>
            <w:shd w:val="clear" w:color="auto" w:fill="E5F1F5"/>
          </w:tcPr>
          <w:p>
            <w:pPr>
              <w:spacing w:after="0"/>
              <w:rPr>
                <w:sz w:val="3"/>
                <w:szCs w:val="3"/>
                <w:color w:val="auto"/>
              </w:rPr>
            </w:pPr>
          </w:p>
        </w:tc>
        <w:tc>
          <w:tcPr>
            <w:tcW w:w="1380" w:type="dxa"/>
            <w:vAlign w:val="bottom"/>
            <w:vMerge w:val="continue"/>
            <w:shd w:val="clear" w:color="auto" w:fill="E5F1F5"/>
          </w:tcPr>
          <w:p>
            <w:pPr>
              <w:spacing w:after="0"/>
              <w:rPr>
                <w:sz w:val="3"/>
                <w:szCs w:val="3"/>
                <w:color w:val="auto"/>
              </w:rPr>
            </w:pPr>
          </w:p>
        </w:tc>
        <w:tc>
          <w:tcPr>
            <w:tcW w:w="1660" w:type="dxa"/>
            <w:vAlign w:val="bottom"/>
            <w:vMerge w:val="continue"/>
            <w:shd w:val="clear" w:color="auto" w:fill="E5F1F5"/>
          </w:tcPr>
          <w:p>
            <w:pPr>
              <w:spacing w:after="0"/>
              <w:rPr>
                <w:sz w:val="3"/>
                <w:szCs w:val="3"/>
                <w:color w:val="auto"/>
              </w:rPr>
            </w:pPr>
          </w:p>
        </w:tc>
        <w:tc>
          <w:tcPr>
            <w:tcW w:w="1500" w:type="dxa"/>
            <w:vAlign w:val="bottom"/>
            <w:vMerge w:val="continue"/>
            <w:shd w:val="clear" w:color="auto" w:fill="E5F1F5"/>
          </w:tcPr>
          <w:p>
            <w:pPr>
              <w:spacing w:after="0"/>
              <w:rPr>
                <w:sz w:val="3"/>
                <w:szCs w:val="3"/>
                <w:color w:val="auto"/>
              </w:rPr>
            </w:pPr>
          </w:p>
        </w:tc>
        <w:tc>
          <w:tcPr>
            <w:tcW w:w="1000" w:type="dxa"/>
            <w:vAlign w:val="bottom"/>
            <w:vMerge w:val="continue"/>
            <w:shd w:val="clear" w:color="auto" w:fill="E5F1F5"/>
          </w:tcPr>
          <w:p>
            <w:pPr>
              <w:spacing w:after="0"/>
              <w:rPr>
                <w:sz w:val="3"/>
                <w:szCs w:val="3"/>
                <w:color w:val="auto"/>
              </w:rPr>
            </w:pPr>
          </w:p>
        </w:tc>
        <w:tc>
          <w:tcPr>
            <w:tcW w:w="140" w:type="dxa"/>
            <w:vAlign w:val="bottom"/>
            <w:shd w:val="clear" w:color="auto" w:fill="E5F1F5"/>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E5F1F5"/>
          </w:tcPr>
          <w:p>
            <w:pPr>
              <w:spacing w:after="0"/>
              <w:rPr>
                <w:sz w:val="7"/>
                <w:szCs w:val="7"/>
                <w:color w:val="auto"/>
              </w:rPr>
            </w:pPr>
          </w:p>
        </w:tc>
        <w:tc>
          <w:tcPr>
            <w:tcW w:w="1060" w:type="dxa"/>
            <w:vAlign w:val="bottom"/>
            <w:gridSpan w:val="4"/>
            <w:vMerge w:val="restart"/>
            <w:shd w:val="clear" w:color="auto" w:fill="E5F1F5"/>
          </w:tcPr>
          <w:p>
            <w:pPr>
              <w:spacing w:after="0"/>
              <w:rPr>
                <w:sz w:val="20"/>
                <w:szCs w:val="20"/>
                <w:color w:val="auto"/>
              </w:rPr>
            </w:pPr>
            <w:r>
              <w:rPr>
                <w:rFonts w:ascii="Arial" w:cs="Arial" w:eastAsia="Arial" w:hAnsi="Arial"/>
                <w:sz w:val="13"/>
                <w:szCs w:val="13"/>
                <w:color w:val="0E191E"/>
                <w:w w:val="95"/>
                <w:shd w:val="clear" w:color="auto" w:fill="E5F1F5"/>
              </w:rPr>
              <w:t>Chief Sales Officer</w:t>
            </w:r>
          </w:p>
        </w:tc>
        <w:tc>
          <w:tcPr>
            <w:tcW w:w="2120" w:type="dxa"/>
            <w:vAlign w:val="bottom"/>
            <w:shd w:val="clear" w:color="auto" w:fill="E5F1F5"/>
          </w:tcPr>
          <w:p>
            <w:pPr>
              <w:spacing w:after="0"/>
              <w:rPr>
                <w:sz w:val="7"/>
                <w:szCs w:val="7"/>
                <w:color w:val="auto"/>
              </w:rPr>
            </w:pPr>
          </w:p>
        </w:tc>
        <w:tc>
          <w:tcPr>
            <w:tcW w:w="920" w:type="dxa"/>
            <w:vAlign w:val="bottom"/>
            <w:vMerge w:val="continue"/>
            <w:shd w:val="clear" w:color="auto" w:fill="E5F1F5"/>
          </w:tcPr>
          <w:p>
            <w:pPr>
              <w:spacing w:after="0"/>
              <w:rPr>
                <w:sz w:val="7"/>
                <w:szCs w:val="7"/>
                <w:color w:val="auto"/>
              </w:rPr>
            </w:pPr>
          </w:p>
        </w:tc>
        <w:tc>
          <w:tcPr>
            <w:tcW w:w="1360" w:type="dxa"/>
            <w:vAlign w:val="bottom"/>
            <w:vMerge w:val="continue"/>
            <w:shd w:val="clear" w:color="auto" w:fill="E5F1F5"/>
          </w:tcPr>
          <w:p>
            <w:pPr>
              <w:spacing w:after="0"/>
              <w:rPr>
                <w:sz w:val="7"/>
                <w:szCs w:val="7"/>
                <w:color w:val="auto"/>
              </w:rPr>
            </w:pPr>
          </w:p>
        </w:tc>
        <w:tc>
          <w:tcPr>
            <w:tcW w:w="1380" w:type="dxa"/>
            <w:vAlign w:val="bottom"/>
            <w:vMerge w:val="continue"/>
            <w:shd w:val="clear" w:color="auto" w:fill="E5F1F5"/>
          </w:tcPr>
          <w:p>
            <w:pPr>
              <w:spacing w:after="0"/>
              <w:rPr>
                <w:sz w:val="7"/>
                <w:szCs w:val="7"/>
                <w:color w:val="auto"/>
              </w:rPr>
            </w:pPr>
          </w:p>
        </w:tc>
        <w:tc>
          <w:tcPr>
            <w:tcW w:w="1660" w:type="dxa"/>
            <w:vAlign w:val="bottom"/>
            <w:vMerge w:val="continue"/>
            <w:shd w:val="clear" w:color="auto" w:fill="E5F1F5"/>
          </w:tcPr>
          <w:p>
            <w:pPr>
              <w:spacing w:after="0"/>
              <w:rPr>
                <w:sz w:val="7"/>
                <w:szCs w:val="7"/>
                <w:color w:val="auto"/>
              </w:rPr>
            </w:pPr>
          </w:p>
        </w:tc>
        <w:tc>
          <w:tcPr>
            <w:tcW w:w="1500" w:type="dxa"/>
            <w:vAlign w:val="bottom"/>
            <w:vMerge w:val="continue"/>
            <w:shd w:val="clear" w:color="auto" w:fill="E5F1F5"/>
          </w:tcPr>
          <w:p>
            <w:pPr>
              <w:spacing w:after="0"/>
              <w:rPr>
                <w:sz w:val="7"/>
                <w:szCs w:val="7"/>
                <w:color w:val="auto"/>
              </w:rPr>
            </w:pPr>
          </w:p>
        </w:tc>
        <w:tc>
          <w:tcPr>
            <w:tcW w:w="1000" w:type="dxa"/>
            <w:vAlign w:val="bottom"/>
            <w:vMerge w:val="continue"/>
            <w:shd w:val="clear" w:color="auto" w:fill="E5F1F5"/>
          </w:tcPr>
          <w:p>
            <w:pPr>
              <w:spacing w:after="0"/>
              <w:rPr>
                <w:sz w:val="7"/>
                <w:szCs w:val="7"/>
                <w:color w:val="auto"/>
              </w:rPr>
            </w:pPr>
          </w:p>
        </w:tc>
        <w:tc>
          <w:tcPr>
            <w:tcW w:w="140" w:type="dxa"/>
            <w:vAlign w:val="bottom"/>
            <w:shd w:val="clear" w:color="auto" w:fill="E5F1F5"/>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0" w:type="dxa"/>
            <w:vAlign w:val="bottom"/>
            <w:tcBorders>
              <w:bottom w:val="single" w:sz="8" w:color="E5F1F5"/>
            </w:tcBorders>
            <w:shd w:val="clear" w:color="auto" w:fill="E5F1F5"/>
          </w:tcPr>
          <w:p>
            <w:pPr>
              <w:spacing w:after="0"/>
              <w:rPr>
                <w:sz w:val="7"/>
                <w:szCs w:val="7"/>
                <w:color w:val="auto"/>
              </w:rPr>
            </w:pPr>
          </w:p>
        </w:tc>
        <w:tc>
          <w:tcPr>
            <w:tcW w:w="1060" w:type="dxa"/>
            <w:vAlign w:val="bottom"/>
            <w:tcBorders>
              <w:bottom w:val="single" w:sz="8" w:color="E5F1F5"/>
            </w:tcBorders>
            <w:gridSpan w:val="4"/>
            <w:vMerge w:val="continue"/>
            <w:shd w:val="clear" w:color="auto" w:fill="E5F1F5"/>
          </w:tcPr>
          <w:p>
            <w:pPr>
              <w:spacing w:after="0"/>
              <w:rPr>
                <w:sz w:val="7"/>
                <w:szCs w:val="7"/>
                <w:color w:val="auto"/>
              </w:rPr>
            </w:pPr>
          </w:p>
        </w:tc>
        <w:tc>
          <w:tcPr>
            <w:tcW w:w="2120" w:type="dxa"/>
            <w:vAlign w:val="bottom"/>
            <w:tcBorders>
              <w:bottom w:val="single" w:sz="8" w:color="E5F1F5"/>
            </w:tcBorders>
            <w:shd w:val="clear" w:color="auto" w:fill="E5F1F5"/>
          </w:tcPr>
          <w:p>
            <w:pPr>
              <w:spacing w:after="0"/>
              <w:rPr>
                <w:sz w:val="7"/>
                <w:szCs w:val="7"/>
                <w:color w:val="auto"/>
              </w:rPr>
            </w:pPr>
          </w:p>
        </w:tc>
        <w:tc>
          <w:tcPr>
            <w:tcW w:w="920" w:type="dxa"/>
            <w:vAlign w:val="bottom"/>
            <w:tcBorders>
              <w:bottom w:val="single" w:sz="8" w:color="E5F1F5"/>
            </w:tcBorders>
            <w:shd w:val="clear" w:color="auto" w:fill="E5F1F5"/>
          </w:tcPr>
          <w:p>
            <w:pPr>
              <w:spacing w:after="0"/>
              <w:rPr>
                <w:sz w:val="7"/>
                <w:szCs w:val="7"/>
                <w:color w:val="auto"/>
              </w:rPr>
            </w:pPr>
          </w:p>
        </w:tc>
        <w:tc>
          <w:tcPr>
            <w:tcW w:w="1360" w:type="dxa"/>
            <w:vAlign w:val="bottom"/>
            <w:tcBorders>
              <w:bottom w:val="single" w:sz="8" w:color="E5F1F5"/>
            </w:tcBorders>
            <w:shd w:val="clear" w:color="auto" w:fill="E5F1F5"/>
          </w:tcPr>
          <w:p>
            <w:pPr>
              <w:spacing w:after="0"/>
              <w:rPr>
                <w:sz w:val="7"/>
                <w:szCs w:val="7"/>
                <w:color w:val="auto"/>
              </w:rPr>
            </w:pPr>
          </w:p>
        </w:tc>
        <w:tc>
          <w:tcPr>
            <w:tcW w:w="1380" w:type="dxa"/>
            <w:vAlign w:val="bottom"/>
            <w:tcBorders>
              <w:bottom w:val="single" w:sz="8" w:color="E5F1F5"/>
            </w:tcBorders>
            <w:shd w:val="clear" w:color="auto" w:fill="E5F1F5"/>
          </w:tcPr>
          <w:p>
            <w:pPr>
              <w:spacing w:after="0"/>
              <w:rPr>
                <w:sz w:val="7"/>
                <w:szCs w:val="7"/>
                <w:color w:val="auto"/>
              </w:rPr>
            </w:pPr>
          </w:p>
        </w:tc>
        <w:tc>
          <w:tcPr>
            <w:tcW w:w="1660" w:type="dxa"/>
            <w:vAlign w:val="bottom"/>
            <w:tcBorders>
              <w:bottom w:val="single" w:sz="8" w:color="E5F1F5"/>
            </w:tcBorders>
            <w:shd w:val="clear" w:color="auto" w:fill="E5F1F5"/>
          </w:tcPr>
          <w:p>
            <w:pPr>
              <w:spacing w:after="0"/>
              <w:rPr>
                <w:sz w:val="7"/>
                <w:szCs w:val="7"/>
                <w:color w:val="auto"/>
              </w:rPr>
            </w:pPr>
          </w:p>
        </w:tc>
        <w:tc>
          <w:tcPr>
            <w:tcW w:w="1500" w:type="dxa"/>
            <w:vAlign w:val="bottom"/>
            <w:tcBorders>
              <w:bottom w:val="single" w:sz="8" w:color="E5F1F5"/>
            </w:tcBorders>
            <w:shd w:val="clear" w:color="auto" w:fill="E5F1F5"/>
          </w:tcPr>
          <w:p>
            <w:pPr>
              <w:spacing w:after="0"/>
              <w:rPr>
                <w:sz w:val="7"/>
                <w:szCs w:val="7"/>
                <w:color w:val="auto"/>
              </w:rPr>
            </w:pPr>
          </w:p>
        </w:tc>
        <w:tc>
          <w:tcPr>
            <w:tcW w:w="1000" w:type="dxa"/>
            <w:vAlign w:val="bottom"/>
            <w:tcBorders>
              <w:bottom w:val="single" w:sz="8" w:color="E5F1F5"/>
            </w:tcBorders>
            <w:shd w:val="clear" w:color="auto" w:fill="E5F1F5"/>
          </w:tcPr>
          <w:p>
            <w:pPr>
              <w:spacing w:after="0"/>
              <w:rPr>
                <w:sz w:val="7"/>
                <w:szCs w:val="7"/>
                <w:color w:val="auto"/>
              </w:rPr>
            </w:pPr>
          </w:p>
        </w:tc>
        <w:tc>
          <w:tcPr>
            <w:tcW w:w="140" w:type="dxa"/>
            <w:vAlign w:val="bottom"/>
            <w:tcBorders>
              <w:bottom w:val="single" w:sz="8" w:color="E5F1F5"/>
            </w:tcBorders>
            <w:shd w:val="clear" w:color="auto" w:fill="E5F1F5"/>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920" w:type="dxa"/>
            <w:vAlign w:val="bottom"/>
          </w:tcPr>
          <w:p>
            <w:pPr>
              <w:ind w:left="300"/>
              <w:spacing w:after="0"/>
              <w:rPr>
                <w:sz w:val="20"/>
                <w:szCs w:val="20"/>
                <w:color w:val="auto"/>
              </w:rPr>
            </w:pPr>
            <w:r>
              <w:rPr>
                <w:rFonts w:ascii="Arial" w:cs="Arial" w:eastAsia="Arial" w:hAnsi="Arial"/>
                <w:sz w:val="13"/>
                <w:szCs w:val="13"/>
                <w:color w:val="0E191E"/>
              </w:rPr>
              <w:t>2021</w:t>
            </w:r>
          </w:p>
        </w:tc>
        <w:tc>
          <w:tcPr>
            <w:tcW w:w="1360" w:type="dxa"/>
            <w:vAlign w:val="bottom"/>
          </w:tcPr>
          <w:p>
            <w:pPr>
              <w:jc w:val="right"/>
              <w:ind w:right="253"/>
              <w:spacing w:after="0"/>
              <w:rPr>
                <w:sz w:val="20"/>
                <w:szCs w:val="20"/>
                <w:color w:val="auto"/>
              </w:rPr>
            </w:pPr>
            <w:r>
              <w:rPr>
                <w:rFonts w:ascii="Arial" w:cs="Arial" w:eastAsia="Arial" w:hAnsi="Arial"/>
                <w:sz w:val="13"/>
                <w:szCs w:val="13"/>
                <w:color w:val="0E191E"/>
              </w:rPr>
              <w:t>350,000</w:t>
            </w:r>
          </w:p>
        </w:tc>
        <w:tc>
          <w:tcPr>
            <w:tcW w:w="1380" w:type="dxa"/>
            <w:vAlign w:val="bottom"/>
          </w:tcPr>
          <w:p>
            <w:pPr>
              <w:jc w:val="right"/>
              <w:ind w:right="374"/>
              <w:spacing w:after="0"/>
              <w:rPr>
                <w:sz w:val="20"/>
                <w:szCs w:val="20"/>
                <w:color w:val="auto"/>
              </w:rPr>
            </w:pPr>
            <w:r>
              <w:rPr>
                <w:rFonts w:ascii="Arial" w:cs="Arial" w:eastAsia="Arial" w:hAnsi="Arial"/>
                <w:sz w:val="13"/>
                <w:szCs w:val="13"/>
                <w:color w:val="0E191E"/>
              </w:rPr>
              <w:t>2,011,680</w:t>
            </w:r>
          </w:p>
        </w:tc>
        <w:tc>
          <w:tcPr>
            <w:tcW w:w="1660" w:type="dxa"/>
            <w:vAlign w:val="bottom"/>
          </w:tcPr>
          <w:p>
            <w:pPr>
              <w:jc w:val="right"/>
              <w:ind w:right="293"/>
              <w:spacing w:after="0"/>
              <w:rPr>
                <w:sz w:val="20"/>
                <w:szCs w:val="20"/>
                <w:color w:val="auto"/>
              </w:rPr>
            </w:pPr>
            <w:r>
              <w:rPr>
                <w:rFonts w:ascii="Arial" w:cs="Arial" w:eastAsia="Arial" w:hAnsi="Arial"/>
                <w:sz w:val="13"/>
                <w:szCs w:val="13"/>
                <w:color w:val="0E191E"/>
              </w:rPr>
              <w:t>198,625</w:t>
            </w:r>
          </w:p>
        </w:tc>
        <w:tc>
          <w:tcPr>
            <w:tcW w:w="1500" w:type="dxa"/>
            <w:vAlign w:val="bottom"/>
          </w:tcPr>
          <w:p>
            <w:pPr>
              <w:jc w:val="right"/>
              <w:ind w:right="214"/>
              <w:spacing w:after="0"/>
              <w:rPr>
                <w:sz w:val="20"/>
                <w:szCs w:val="20"/>
                <w:color w:val="auto"/>
              </w:rPr>
            </w:pPr>
            <w:r>
              <w:rPr>
                <w:rFonts w:ascii="Arial" w:cs="Arial" w:eastAsia="Arial" w:hAnsi="Arial"/>
                <w:sz w:val="13"/>
                <w:szCs w:val="13"/>
                <w:color w:val="0E191E"/>
              </w:rPr>
              <w:t>5,552</w:t>
            </w:r>
          </w:p>
        </w:tc>
        <w:tc>
          <w:tcPr>
            <w:tcW w:w="1000" w:type="dxa"/>
            <w:vAlign w:val="bottom"/>
          </w:tcPr>
          <w:p>
            <w:pPr>
              <w:jc w:val="right"/>
              <w:ind w:right="13"/>
              <w:spacing w:after="0"/>
              <w:rPr>
                <w:sz w:val="20"/>
                <w:szCs w:val="20"/>
                <w:color w:val="auto"/>
              </w:rPr>
            </w:pPr>
            <w:r>
              <w:rPr>
                <w:rFonts w:ascii="Arial" w:cs="Arial" w:eastAsia="Arial" w:hAnsi="Arial"/>
                <w:sz w:val="13"/>
                <w:szCs w:val="13"/>
                <w:color w:val="0E191E"/>
              </w:rPr>
              <w:t>2,565,857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9"/>
        </w:trPr>
        <w:tc>
          <w:tcPr>
            <w:tcW w:w="100" w:type="dxa"/>
            <w:vAlign w:val="bottom"/>
            <w:vMerge w:val="restart"/>
          </w:tcPr>
          <w:p>
            <w:pPr>
              <w:spacing w:after="0"/>
              <w:rPr>
                <w:sz w:val="9"/>
                <w:szCs w:val="9"/>
                <w:color w:val="auto"/>
              </w:rPr>
            </w:pPr>
          </w:p>
        </w:tc>
        <w:tc>
          <w:tcPr>
            <w:tcW w:w="3180" w:type="dxa"/>
            <w:vAlign w:val="bottom"/>
            <w:gridSpan w:val="5"/>
            <w:vMerge w:val="restart"/>
          </w:tcPr>
          <w:p>
            <w:pPr>
              <w:spacing w:after="0"/>
              <w:rPr>
                <w:sz w:val="20"/>
                <w:szCs w:val="20"/>
                <w:color w:val="auto"/>
              </w:rPr>
            </w:pPr>
            <w:r>
              <w:rPr>
                <w:rFonts w:ascii="Arial" w:cs="Arial" w:eastAsia="Arial" w:hAnsi="Arial"/>
                <w:sz w:val="13"/>
                <w:szCs w:val="13"/>
                <w:b w:val="1"/>
                <w:bCs w:val="1"/>
                <w:color w:val="0E191E"/>
              </w:rPr>
              <w:t>Winston King</w:t>
            </w:r>
          </w:p>
        </w:tc>
        <w:tc>
          <w:tcPr>
            <w:tcW w:w="920" w:type="dxa"/>
            <w:vAlign w:val="bottom"/>
            <w:tcBorders>
              <w:bottom w:val="single" w:sz="8" w:color="0E191E"/>
            </w:tcBorders>
          </w:tcPr>
          <w:p>
            <w:pPr>
              <w:spacing w:after="0"/>
              <w:rPr>
                <w:sz w:val="9"/>
                <w:szCs w:val="9"/>
                <w:color w:val="auto"/>
              </w:rPr>
            </w:pPr>
          </w:p>
        </w:tc>
        <w:tc>
          <w:tcPr>
            <w:tcW w:w="1360" w:type="dxa"/>
            <w:vAlign w:val="bottom"/>
            <w:tcBorders>
              <w:bottom w:val="single" w:sz="8" w:color="0E191E"/>
            </w:tcBorders>
          </w:tcPr>
          <w:p>
            <w:pPr>
              <w:spacing w:after="0"/>
              <w:rPr>
                <w:sz w:val="9"/>
                <w:szCs w:val="9"/>
                <w:color w:val="auto"/>
              </w:rPr>
            </w:pPr>
          </w:p>
        </w:tc>
        <w:tc>
          <w:tcPr>
            <w:tcW w:w="1380" w:type="dxa"/>
            <w:vAlign w:val="bottom"/>
            <w:tcBorders>
              <w:bottom w:val="single" w:sz="8" w:color="0E191E"/>
            </w:tcBorders>
          </w:tcPr>
          <w:p>
            <w:pPr>
              <w:spacing w:after="0"/>
              <w:rPr>
                <w:sz w:val="9"/>
                <w:szCs w:val="9"/>
                <w:color w:val="auto"/>
              </w:rPr>
            </w:pPr>
          </w:p>
        </w:tc>
        <w:tc>
          <w:tcPr>
            <w:tcW w:w="1660" w:type="dxa"/>
            <w:vAlign w:val="bottom"/>
            <w:tcBorders>
              <w:bottom w:val="single" w:sz="8" w:color="0E191E"/>
            </w:tcBorders>
          </w:tcPr>
          <w:p>
            <w:pPr>
              <w:spacing w:after="0"/>
              <w:rPr>
                <w:sz w:val="9"/>
                <w:szCs w:val="9"/>
                <w:color w:val="auto"/>
              </w:rPr>
            </w:pPr>
          </w:p>
        </w:tc>
        <w:tc>
          <w:tcPr>
            <w:tcW w:w="1500" w:type="dxa"/>
            <w:vAlign w:val="bottom"/>
            <w:tcBorders>
              <w:bottom w:val="single" w:sz="8" w:color="0E191E"/>
            </w:tcBorders>
          </w:tcPr>
          <w:p>
            <w:pPr>
              <w:spacing w:after="0"/>
              <w:rPr>
                <w:sz w:val="9"/>
                <w:szCs w:val="9"/>
                <w:color w:val="auto"/>
              </w:rPr>
            </w:pPr>
          </w:p>
        </w:tc>
        <w:tc>
          <w:tcPr>
            <w:tcW w:w="1000" w:type="dxa"/>
            <w:vAlign w:val="bottom"/>
            <w:tcBorders>
              <w:bottom w:val="single" w:sz="8" w:color="0E191E"/>
            </w:tcBorders>
          </w:tcPr>
          <w:p>
            <w:pPr>
              <w:spacing w:after="0"/>
              <w:rPr>
                <w:sz w:val="9"/>
                <w:szCs w:val="9"/>
                <w:color w:val="auto"/>
              </w:rPr>
            </w:pPr>
          </w:p>
        </w:tc>
        <w:tc>
          <w:tcPr>
            <w:tcW w:w="140" w:type="dxa"/>
            <w:vAlign w:val="bottom"/>
            <w:tcBorders>
              <w:bottom w:val="single" w:sz="8" w:color="0E191E"/>
            </w:tcBorders>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00" w:type="dxa"/>
            <w:vAlign w:val="bottom"/>
            <w:vMerge w:val="continue"/>
          </w:tcPr>
          <w:p>
            <w:pPr>
              <w:spacing w:after="0"/>
              <w:rPr>
                <w:sz w:val="7"/>
                <w:szCs w:val="7"/>
                <w:color w:val="auto"/>
              </w:rPr>
            </w:pPr>
          </w:p>
        </w:tc>
        <w:tc>
          <w:tcPr>
            <w:tcW w:w="3180" w:type="dxa"/>
            <w:vAlign w:val="bottom"/>
            <w:gridSpan w:val="5"/>
            <w:vMerge w:val="continue"/>
          </w:tcPr>
          <w:p>
            <w:pPr>
              <w:spacing w:after="0"/>
              <w:rPr>
                <w:sz w:val="7"/>
                <w:szCs w:val="7"/>
                <w:color w:val="auto"/>
              </w:rPr>
            </w:pPr>
          </w:p>
        </w:tc>
        <w:tc>
          <w:tcPr>
            <w:tcW w:w="9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3180" w:type="dxa"/>
            <w:vAlign w:val="bottom"/>
            <w:gridSpan w:val="5"/>
          </w:tcPr>
          <w:p>
            <w:pPr>
              <w:spacing w:after="0"/>
              <w:rPr>
                <w:sz w:val="20"/>
                <w:szCs w:val="20"/>
                <w:color w:val="auto"/>
              </w:rPr>
            </w:pPr>
            <w:r>
              <w:rPr>
                <w:rFonts w:ascii="Arial" w:cs="Arial" w:eastAsia="Arial" w:hAnsi="Arial"/>
                <w:sz w:val="13"/>
                <w:szCs w:val="13"/>
                <w:color w:val="0E191E"/>
              </w:rPr>
              <w:t>Chief Administrative Officer,</w:t>
            </w:r>
          </w:p>
        </w:tc>
        <w:tc>
          <w:tcPr>
            <w:tcW w:w="920" w:type="dxa"/>
            <w:vAlign w:val="bottom"/>
          </w:tcPr>
          <w:p>
            <w:pPr>
              <w:ind w:left="300"/>
              <w:spacing w:after="0"/>
              <w:rPr>
                <w:sz w:val="20"/>
                <w:szCs w:val="20"/>
                <w:color w:val="auto"/>
              </w:rPr>
            </w:pPr>
            <w:r>
              <w:rPr>
                <w:rFonts w:ascii="Arial" w:cs="Arial" w:eastAsia="Arial" w:hAnsi="Arial"/>
                <w:sz w:val="13"/>
                <w:szCs w:val="13"/>
                <w:color w:val="0E191E"/>
              </w:rPr>
              <w:t>2020</w:t>
            </w:r>
          </w:p>
        </w:tc>
        <w:tc>
          <w:tcPr>
            <w:tcW w:w="1360" w:type="dxa"/>
            <w:vAlign w:val="bottom"/>
          </w:tcPr>
          <w:p>
            <w:pPr>
              <w:jc w:val="right"/>
              <w:ind w:right="253"/>
              <w:spacing w:after="0"/>
              <w:rPr>
                <w:sz w:val="20"/>
                <w:szCs w:val="20"/>
                <w:color w:val="auto"/>
              </w:rPr>
            </w:pPr>
            <w:r>
              <w:rPr>
                <w:rFonts w:ascii="Arial" w:cs="Arial" w:eastAsia="Arial" w:hAnsi="Arial"/>
                <w:sz w:val="13"/>
                <w:szCs w:val="13"/>
                <w:color w:val="0E191E"/>
              </w:rPr>
              <w:t>341,250</w:t>
            </w:r>
          </w:p>
        </w:tc>
        <w:tc>
          <w:tcPr>
            <w:tcW w:w="1380" w:type="dxa"/>
            <w:vAlign w:val="bottom"/>
          </w:tcPr>
          <w:p>
            <w:pPr>
              <w:jc w:val="right"/>
              <w:ind w:right="374"/>
              <w:spacing w:after="0"/>
              <w:rPr>
                <w:sz w:val="20"/>
                <w:szCs w:val="20"/>
                <w:color w:val="auto"/>
              </w:rPr>
            </w:pPr>
            <w:r>
              <w:rPr>
                <w:rFonts w:ascii="Arial" w:cs="Arial" w:eastAsia="Arial" w:hAnsi="Arial"/>
                <w:sz w:val="13"/>
                <w:szCs w:val="13"/>
                <w:color w:val="0E191E"/>
              </w:rPr>
              <w:t>1,670,480</w:t>
            </w:r>
          </w:p>
        </w:tc>
        <w:tc>
          <w:tcPr>
            <w:tcW w:w="1660" w:type="dxa"/>
            <w:vAlign w:val="bottom"/>
          </w:tcPr>
          <w:p>
            <w:pPr>
              <w:jc w:val="right"/>
              <w:ind w:right="293"/>
              <w:spacing w:after="0"/>
              <w:rPr>
                <w:sz w:val="20"/>
                <w:szCs w:val="20"/>
                <w:color w:val="auto"/>
              </w:rPr>
            </w:pPr>
            <w:r>
              <w:rPr>
                <w:rFonts w:ascii="Arial" w:cs="Arial" w:eastAsia="Arial" w:hAnsi="Arial"/>
                <w:sz w:val="13"/>
                <w:szCs w:val="13"/>
                <w:color w:val="0E191E"/>
              </w:rPr>
              <w:t>99,802</w:t>
            </w:r>
          </w:p>
        </w:tc>
        <w:tc>
          <w:tcPr>
            <w:tcW w:w="1500" w:type="dxa"/>
            <w:vAlign w:val="bottom"/>
          </w:tcPr>
          <w:p>
            <w:pPr>
              <w:jc w:val="right"/>
              <w:ind w:right="214"/>
              <w:spacing w:after="0"/>
              <w:rPr>
                <w:sz w:val="20"/>
                <w:szCs w:val="20"/>
                <w:color w:val="auto"/>
              </w:rPr>
            </w:pPr>
            <w:r>
              <w:rPr>
                <w:rFonts w:ascii="Arial" w:cs="Arial" w:eastAsia="Arial" w:hAnsi="Arial"/>
                <w:sz w:val="13"/>
                <w:szCs w:val="13"/>
                <w:color w:val="0E191E"/>
              </w:rPr>
              <w:t>5,359</w:t>
            </w:r>
          </w:p>
        </w:tc>
        <w:tc>
          <w:tcPr>
            <w:tcW w:w="1000" w:type="dxa"/>
            <w:vAlign w:val="bottom"/>
          </w:tcPr>
          <w:p>
            <w:pPr>
              <w:jc w:val="right"/>
              <w:ind w:right="13"/>
              <w:spacing w:after="0"/>
              <w:rPr>
                <w:sz w:val="20"/>
                <w:szCs w:val="20"/>
                <w:color w:val="auto"/>
              </w:rPr>
            </w:pPr>
            <w:r>
              <w:rPr>
                <w:rFonts w:ascii="Arial" w:cs="Arial" w:eastAsia="Arial" w:hAnsi="Arial"/>
                <w:sz w:val="13"/>
                <w:szCs w:val="13"/>
                <w:color w:val="0E191E"/>
              </w:rPr>
              <w:t>2,116,891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3180" w:type="dxa"/>
            <w:vAlign w:val="bottom"/>
            <w:gridSpan w:val="5"/>
          </w:tcPr>
          <w:p>
            <w:pPr>
              <w:spacing w:after="0" w:line="94" w:lineRule="exact"/>
              <w:rPr>
                <w:sz w:val="20"/>
                <w:szCs w:val="20"/>
                <w:color w:val="auto"/>
              </w:rPr>
            </w:pPr>
            <w:r>
              <w:rPr>
                <w:rFonts w:ascii="Arial" w:cs="Arial" w:eastAsia="Arial" w:hAnsi="Arial"/>
                <w:sz w:val="10"/>
                <w:szCs w:val="10"/>
                <w:color w:val="0E191E"/>
              </w:rPr>
              <w:t>General Counsel, and Secretary</w:t>
            </w:r>
          </w:p>
        </w:tc>
        <w:tc>
          <w:tcPr>
            <w:tcW w:w="920" w:type="dxa"/>
            <w:vAlign w:val="bottom"/>
            <w:tcBorders>
              <w:bottom w:val="single" w:sz="8" w:color="0E191E"/>
            </w:tcBorders>
          </w:tcPr>
          <w:p>
            <w:pPr>
              <w:spacing w:after="0"/>
              <w:rPr>
                <w:sz w:val="9"/>
                <w:szCs w:val="9"/>
                <w:color w:val="auto"/>
              </w:rPr>
            </w:pPr>
          </w:p>
        </w:tc>
        <w:tc>
          <w:tcPr>
            <w:tcW w:w="1360" w:type="dxa"/>
            <w:vAlign w:val="bottom"/>
            <w:tcBorders>
              <w:bottom w:val="single" w:sz="8" w:color="0E191E"/>
            </w:tcBorders>
          </w:tcPr>
          <w:p>
            <w:pPr>
              <w:spacing w:after="0"/>
              <w:rPr>
                <w:sz w:val="9"/>
                <w:szCs w:val="9"/>
                <w:color w:val="auto"/>
              </w:rPr>
            </w:pPr>
          </w:p>
        </w:tc>
        <w:tc>
          <w:tcPr>
            <w:tcW w:w="1380" w:type="dxa"/>
            <w:vAlign w:val="bottom"/>
            <w:tcBorders>
              <w:bottom w:val="single" w:sz="8" w:color="0E191E"/>
            </w:tcBorders>
          </w:tcPr>
          <w:p>
            <w:pPr>
              <w:spacing w:after="0"/>
              <w:rPr>
                <w:sz w:val="9"/>
                <w:szCs w:val="9"/>
                <w:color w:val="auto"/>
              </w:rPr>
            </w:pPr>
          </w:p>
        </w:tc>
        <w:tc>
          <w:tcPr>
            <w:tcW w:w="1660" w:type="dxa"/>
            <w:vAlign w:val="bottom"/>
            <w:tcBorders>
              <w:bottom w:val="single" w:sz="8" w:color="0E191E"/>
            </w:tcBorders>
          </w:tcPr>
          <w:p>
            <w:pPr>
              <w:spacing w:after="0"/>
              <w:rPr>
                <w:sz w:val="9"/>
                <w:szCs w:val="9"/>
                <w:color w:val="auto"/>
              </w:rPr>
            </w:pPr>
          </w:p>
        </w:tc>
        <w:tc>
          <w:tcPr>
            <w:tcW w:w="1500" w:type="dxa"/>
            <w:vAlign w:val="bottom"/>
            <w:tcBorders>
              <w:bottom w:val="single" w:sz="8" w:color="0E191E"/>
            </w:tcBorders>
          </w:tcPr>
          <w:p>
            <w:pPr>
              <w:spacing w:after="0"/>
              <w:rPr>
                <w:sz w:val="9"/>
                <w:szCs w:val="9"/>
                <w:color w:val="auto"/>
              </w:rPr>
            </w:pPr>
          </w:p>
        </w:tc>
        <w:tc>
          <w:tcPr>
            <w:tcW w:w="1000" w:type="dxa"/>
            <w:vAlign w:val="bottom"/>
            <w:tcBorders>
              <w:bottom w:val="single" w:sz="8" w:color="0E191E"/>
            </w:tcBorders>
          </w:tcPr>
          <w:p>
            <w:pPr>
              <w:spacing w:after="0"/>
              <w:rPr>
                <w:sz w:val="9"/>
                <w:szCs w:val="9"/>
                <w:color w:val="auto"/>
              </w:rPr>
            </w:pPr>
          </w:p>
        </w:tc>
        <w:tc>
          <w:tcPr>
            <w:tcW w:w="140" w:type="dxa"/>
            <w:vAlign w:val="bottom"/>
            <w:tcBorders>
              <w:bottom w:val="single" w:sz="8" w:color="0E191E"/>
            </w:tcBorders>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920" w:type="dxa"/>
            <w:vAlign w:val="bottom"/>
          </w:tcPr>
          <w:p>
            <w:pPr>
              <w:ind w:left="300"/>
              <w:spacing w:after="0"/>
              <w:rPr>
                <w:sz w:val="20"/>
                <w:szCs w:val="20"/>
                <w:color w:val="auto"/>
              </w:rPr>
            </w:pPr>
            <w:r>
              <w:rPr>
                <w:rFonts w:ascii="Arial" w:cs="Arial" w:eastAsia="Arial" w:hAnsi="Arial"/>
                <w:sz w:val="13"/>
                <w:szCs w:val="13"/>
                <w:color w:val="0E191E"/>
              </w:rPr>
              <w:t>2019</w:t>
            </w:r>
          </w:p>
        </w:tc>
        <w:tc>
          <w:tcPr>
            <w:tcW w:w="1360" w:type="dxa"/>
            <w:vAlign w:val="bottom"/>
          </w:tcPr>
          <w:p>
            <w:pPr>
              <w:jc w:val="right"/>
              <w:ind w:right="253"/>
              <w:spacing w:after="0"/>
              <w:rPr>
                <w:sz w:val="20"/>
                <w:szCs w:val="20"/>
                <w:color w:val="auto"/>
              </w:rPr>
            </w:pPr>
            <w:r>
              <w:rPr>
                <w:rFonts w:ascii="Arial" w:cs="Arial" w:eastAsia="Arial" w:hAnsi="Arial"/>
                <w:sz w:val="13"/>
                <w:szCs w:val="13"/>
                <w:color w:val="0E191E"/>
              </w:rPr>
              <w:t>315,000</w:t>
            </w:r>
          </w:p>
        </w:tc>
        <w:tc>
          <w:tcPr>
            <w:tcW w:w="1380" w:type="dxa"/>
            <w:vAlign w:val="bottom"/>
          </w:tcPr>
          <w:p>
            <w:pPr>
              <w:jc w:val="right"/>
              <w:ind w:right="374"/>
              <w:spacing w:after="0"/>
              <w:rPr>
                <w:sz w:val="20"/>
                <w:szCs w:val="20"/>
                <w:color w:val="auto"/>
              </w:rPr>
            </w:pPr>
            <w:r>
              <w:rPr>
                <w:rFonts w:ascii="Arial" w:cs="Arial" w:eastAsia="Arial" w:hAnsi="Arial"/>
                <w:sz w:val="13"/>
                <w:szCs w:val="13"/>
                <w:color w:val="0E191E"/>
              </w:rPr>
              <w:t>1,834,588</w:t>
            </w:r>
          </w:p>
        </w:tc>
        <w:tc>
          <w:tcPr>
            <w:tcW w:w="1660" w:type="dxa"/>
            <w:vAlign w:val="bottom"/>
          </w:tcPr>
          <w:p>
            <w:pPr>
              <w:jc w:val="right"/>
              <w:ind w:right="293"/>
              <w:spacing w:after="0"/>
              <w:rPr>
                <w:sz w:val="20"/>
                <w:szCs w:val="20"/>
                <w:color w:val="auto"/>
              </w:rPr>
            </w:pPr>
            <w:r>
              <w:rPr>
                <w:rFonts w:ascii="Arial" w:cs="Arial" w:eastAsia="Arial" w:hAnsi="Arial"/>
                <w:sz w:val="13"/>
                <w:szCs w:val="13"/>
                <w:color w:val="0E191E"/>
              </w:rPr>
              <w:t>186,750</w:t>
            </w:r>
          </w:p>
        </w:tc>
        <w:tc>
          <w:tcPr>
            <w:tcW w:w="1500" w:type="dxa"/>
            <w:vAlign w:val="bottom"/>
          </w:tcPr>
          <w:p>
            <w:pPr>
              <w:jc w:val="right"/>
              <w:ind w:right="214"/>
              <w:spacing w:after="0"/>
              <w:rPr>
                <w:sz w:val="20"/>
                <w:szCs w:val="20"/>
                <w:color w:val="auto"/>
              </w:rPr>
            </w:pPr>
            <w:r>
              <w:rPr>
                <w:rFonts w:ascii="Arial" w:cs="Arial" w:eastAsia="Arial" w:hAnsi="Arial"/>
                <w:sz w:val="13"/>
                <w:szCs w:val="13"/>
                <w:color w:val="0E191E"/>
              </w:rPr>
              <w:t>5,306</w:t>
            </w:r>
          </w:p>
        </w:tc>
        <w:tc>
          <w:tcPr>
            <w:tcW w:w="1000" w:type="dxa"/>
            <w:vAlign w:val="bottom"/>
          </w:tcPr>
          <w:p>
            <w:pPr>
              <w:jc w:val="right"/>
              <w:ind w:right="13"/>
              <w:spacing w:after="0"/>
              <w:rPr>
                <w:sz w:val="20"/>
                <w:szCs w:val="20"/>
                <w:color w:val="auto"/>
              </w:rPr>
            </w:pPr>
            <w:r>
              <w:rPr>
                <w:rFonts w:ascii="Arial" w:cs="Arial" w:eastAsia="Arial" w:hAnsi="Arial"/>
                <w:sz w:val="13"/>
                <w:szCs w:val="13"/>
                <w:color w:val="0E191E"/>
              </w:rPr>
              <w:t>2,341,644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460" w:right="100" w:hanging="234"/>
        <w:spacing w:after="0" w:line="265"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0E191E"/>
        </w:rPr>
        <w:t>The amounts shown reflect the aggregate grant date fair value of RSUs granted, determined in accordance with FASB ASC Topic 718. These amounts do not represent the actual amounts paid to or realized by the Named Executive Officers during the fiscal years presented. Pursuant to SEC rules, these amounts exclude the impact of estimated forfeitures related to service-based vesting conditions. See Note 9 of the Consolidated Financial Statements in our 2021 Annual Report on Form 10-K, regarding assumptions underlying valuation of equity awards for 2021, 2020 and 2019. Details regarding equity awards that are still outstanding can be found in the “Outstanding Equity Awards at Fiscal Year End” table. The aggregate grant fair value of the Performance-Vesting RSUs at the maximum level of achievement for fiscal year 2021 and fiscal year 2023 is as follows for Messrs. Rosenbaum, Cooper, O'Dowd, and King, and Ms. Hung: $4,970,849; $838,312; $1,962,059; $1,508,760; and $2,514,600, respectively.</w:t>
      </w:r>
    </w:p>
    <w:p>
      <w:pPr>
        <w:spacing w:after="0" w:line="43" w:lineRule="exact"/>
        <w:rPr>
          <w:rFonts w:ascii="Arial" w:cs="Arial" w:eastAsia="Arial" w:hAnsi="Arial"/>
          <w:sz w:val="15"/>
          <w:szCs w:val="15"/>
          <w:color w:val="auto"/>
        </w:rPr>
      </w:pPr>
    </w:p>
    <w:p>
      <w:pPr>
        <w:ind w:left="460" w:right="60" w:hanging="234"/>
        <w:spacing w:after="0" w:line="268"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0E191E"/>
        </w:rPr>
        <w:t>The amounts reported in the “All Other Compensation” column consist of life insurance premiums and 401(k) matching contributions paid by the Company on behalf of each Named Executive Officer. Fiscal year 2021 amounts are comprised of $5,000 of 401(k) matching contributions for Messrs. Rosenbaum, Cooper, King, and Ms. Hung, $5,771 of 401 (k) matching contributions for Mr. O'Dowd, and the following life insurance premiums for Messrs. Rosenbaum, Cooper, King, and O'Dowd and Ms. Hung of $712; $592; $552; $632; and $611, respectively.</w:t>
      </w:r>
    </w:p>
    <w:p>
      <w:pPr>
        <w:spacing w:after="0" w:line="39" w:lineRule="exact"/>
        <w:rPr>
          <w:rFonts w:ascii="Arial" w:cs="Arial" w:eastAsia="Arial" w:hAnsi="Arial"/>
          <w:sz w:val="15"/>
          <w:szCs w:val="15"/>
          <w:color w:val="auto"/>
        </w:rPr>
      </w:pPr>
    </w:p>
    <w:p>
      <w:pPr>
        <w:ind w:left="460" w:hanging="234"/>
        <w:spacing w:after="0"/>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0E191E"/>
        </w:rPr>
        <w:t>Mr. Rosenbaum was not a Named Executive Officer prior to fiscal year 2020.</w:t>
      </w:r>
    </w:p>
    <w:p>
      <w:pPr>
        <w:spacing w:after="0" w:line="70" w:lineRule="exact"/>
        <w:rPr>
          <w:rFonts w:ascii="Arial" w:cs="Arial" w:eastAsia="Arial" w:hAnsi="Arial"/>
          <w:sz w:val="15"/>
          <w:szCs w:val="15"/>
          <w:color w:val="auto"/>
        </w:rPr>
      </w:pPr>
    </w:p>
    <w:p>
      <w:pPr>
        <w:ind w:left="460" w:hanging="234"/>
        <w:spacing w:after="0"/>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0E191E"/>
        </w:rPr>
        <w:t>Mr. Cooper was not a Named Executive Officer prior to fiscal year 2020.</w:t>
      </w:r>
    </w:p>
    <w:p>
      <w:pPr>
        <w:spacing w:after="0" w:line="70" w:lineRule="exact"/>
        <w:rPr>
          <w:rFonts w:ascii="Arial" w:cs="Arial" w:eastAsia="Arial" w:hAnsi="Arial"/>
          <w:sz w:val="15"/>
          <w:szCs w:val="15"/>
          <w:color w:val="auto"/>
        </w:rPr>
      </w:pPr>
    </w:p>
    <w:p>
      <w:pPr>
        <w:ind w:left="460" w:hanging="234"/>
        <w:spacing w:after="0"/>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0E191E"/>
        </w:rPr>
        <w:t>Mr. O'Dowd was not a Named Executive Officer prior to fiscal year 2021.</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48</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00739D"/>
        </w:rPr>
        <w:t>Grants of Plan-Based Awards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0E191E"/>
        </w:rPr>
        <w:t>The following table presents information concerning grants of plan-based awards to each of the Named Executive Officers during fiscal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5666105" cy="4972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66105" cy="497205"/>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60" w:type="dxa"/>
            <w:vAlign w:val="bottom"/>
            <w:tcBorders>
              <w:right w:val="single" w:sz="8" w:color="FFC000"/>
            </w:tcBorders>
            <w:gridSpan w:val="3"/>
            <w:shd w:val="clear" w:color="auto" w:fill="1EB7DF"/>
          </w:tcPr>
          <w:p>
            <w:pPr>
              <w:jc w:val="center"/>
              <w:spacing w:after="0"/>
              <w:rPr>
                <w:sz w:val="20"/>
                <w:szCs w:val="20"/>
                <w:color w:val="auto"/>
              </w:rPr>
            </w:pPr>
            <w:r>
              <w:rPr>
                <w:rFonts w:ascii="Arial" w:cs="Arial" w:eastAsia="Arial" w:hAnsi="Arial"/>
                <w:sz w:val="13"/>
                <w:szCs w:val="13"/>
                <w:b w:val="1"/>
                <w:bCs w:val="1"/>
                <w:color w:val="0E191E"/>
              </w:rPr>
              <w:t>Estimated Future Payouts</w:t>
            </w:r>
          </w:p>
        </w:tc>
        <w:tc>
          <w:tcPr>
            <w:tcW w:w="2580" w:type="dxa"/>
            <w:vAlign w:val="bottom"/>
            <w:gridSpan w:val="3"/>
            <w:shd w:val="clear" w:color="auto" w:fill="FFC000"/>
          </w:tcPr>
          <w:p>
            <w:pPr>
              <w:jc w:val="center"/>
              <w:spacing w:after="0"/>
              <w:rPr>
                <w:sz w:val="20"/>
                <w:szCs w:val="20"/>
                <w:color w:val="auto"/>
              </w:rPr>
            </w:pPr>
            <w:r>
              <w:rPr>
                <w:rFonts w:ascii="Arial" w:cs="Arial" w:eastAsia="Arial" w:hAnsi="Arial"/>
                <w:sz w:val="13"/>
                <w:szCs w:val="13"/>
                <w:b w:val="1"/>
                <w:bCs w:val="1"/>
                <w:color w:val="0E191E"/>
              </w:rPr>
              <w:t>Estimated Future Payouts</w:t>
            </w:r>
          </w:p>
        </w:tc>
        <w:tc>
          <w:tcPr>
            <w:tcW w:w="1080" w:type="dxa"/>
            <w:vAlign w:val="bottom"/>
            <w:vMerge w:val="restart"/>
            <w:shd w:val="clear" w:color="auto" w:fill="00739D"/>
          </w:tcPr>
          <w:p>
            <w:pPr>
              <w:jc w:val="center"/>
              <w:spacing w:after="0"/>
              <w:rPr>
                <w:sz w:val="20"/>
                <w:szCs w:val="20"/>
                <w:color w:val="auto"/>
              </w:rPr>
            </w:pPr>
            <w:r>
              <w:rPr>
                <w:rFonts w:ascii="Arial" w:cs="Arial" w:eastAsia="Arial" w:hAnsi="Arial"/>
                <w:sz w:val="13"/>
                <w:szCs w:val="13"/>
                <w:b w:val="1"/>
                <w:bCs w:val="1"/>
                <w:color w:val="FFFFFF"/>
              </w:rPr>
              <w:t>All Other</w:t>
            </w:r>
          </w:p>
        </w:tc>
        <w:tc>
          <w:tcPr>
            <w:tcW w:w="1080" w:type="dxa"/>
            <w:vAlign w:val="bottom"/>
            <w:shd w:val="clear" w:color="auto" w:fill="00739D"/>
          </w:tcPr>
          <w:p>
            <w:pPr>
              <w:spacing w:after="0"/>
              <w:rPr>
                <w:sz w:val="23"/>
                <w:szCs w:val="23"/>
                <w:color w:val="auto"/>
              </w:rPr>
            </w:pPr>
          </w:p>
        </w:tc>
        <w:tc>
          <w:tcPr>
            <w:tcW w:w="140" w:type="dxa"/>
            <w:vAlign w:val="bottom"/>
            <w:shd w:val="clear" w:color="auto" w:fill="00739D"/>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60" w:type="dxa"/>
            <w:vAlign w:val="bottom"/>
            <w:tcBorders>
              <w:right w:val="single" w:sz="8" w:color="FFC000"/>
            </w:tcBorders>
            <w:gridSpan w:val="3"/>
            <w:vMerge w:val="restart"/>
            <w:shd w:val="clear" w:color="auto" w:fill="1EB7DF"/>
          </w:tcPr>
          <w:p>
            <w:pPr>
              <w:jc w:val="center"/>
              <w:spacing w:after="0"/>
              <w:rPr>
                <w:sz w:val="20"/>
                <w:szCs w:val="20"/>
                <w:color w:val="auto"/>
              </w:rPr>
            </w:pPr>
            <w:r>
              <w:rPr>
                <w:rFonts w:ascii="Arial" w:cs="Arial" w:eastAsia="Arial" w:hAnsi="Arial"/>
                <w:sz w:val="13"/>
                <w:szCs w:val="13"/>
                <w:b w:val="1"/>
                <w:bCs w:val="1"/>
                <w:color w:val="0E191E"/>
              </w:rPr>
              <w:t>Under Non-Equity Incentive</w:t>
            </w:r>
          </w:p>
        </w:tc>
        <w:tc>
          <w:tcPr>
            <w:tcW w:w="2580" w:type="dxa"/>
            <w:vAlign w:val="bottom"/>
            <w:gridSpan w:val="3"/>
            <w:vMerge w:val="restart"/>
            <w:shd w:val="clear" w:color="auto" w:fill="FFC000"/>
          </w:tcPr>
          <w:p>
            <w:pPr>
              <w:jc w:val="center"/>
              <w:spacing w:after="0"/>
              <w:rPr>
                <w:sz w:val="20"/>
                <w:szCs w:val="20"/>
                <w:color w:val="auto"/>
              </w:rPr>
            </w:pPr>
            <w:r>
              <w:rPr>
                <w:rFonts w:ascii="Arial" w:cs="Arial" w:eastAsia="Arial" w:hAnsi="Arial"/>
                <w:sz w:val="13"/>
                <w:szCs w:val="13"/>
                <w:b w:val="1"/>
                <w:bCs w:val="1"/>
                <w:color w:val="0E191E"/>
              </w:rPr>
              <w:t>Under Equity Incentive</w:t>
            </w:r>
          </w:p>
        </w:tc>
        <w:tc>
          <w:tcPr>
            <w:tcW w:w="1080" w:type="dxa"/>
            <w:vAlign w:val="bottom"/>
            <w:vMerge w:val="continue"/>
            <w:shd w:val="clear" w:color="auto" w:fill="00739D"/>
          </w:tcPr>
          <w:p>
            <w:pPr>
              <w:spacing w:after="0"/>
              <w:rPr>
                <w:sz w:val="9"/>
                <w:szCs w:val="9"/>
                <w:color w:val="auto"/>
              </w:rPr>
            </w:pPr>
          </w:p>
        </w:tc>
        <w:tc>
          <w:tcPr>
            <w:tcW w:w="1080" w:type="dxa"/>
            <w:vAlign w:val="bottom"/>
            <w:shd w:val="clear" w:color="auto" w:fill="00739D"/>
          </w:tcPr>
          <w:p>
            <w:pPr>
              <w:spacing w:after="0"/>
              <w:rPr>
                <w:sz w:val="9"/>
                <w:szCs w:val="9"/>
                <w:color w:val="auto"/>
              </w:rPr>
            </w:pPr>
          </w:p>
        </w:tc>
        <w:tc>
          <w:tcPr>
            <w:tcW w:w="140" w:type="dxa"/>
            <w:vAlign w:val="bottom"/>
            <w:shd w:val="clear" w:color="auto" w:fill="00739D"/>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60" w:type="dxa"/>
            <w:vAlign w:val="bottom"/>
            <w:tcBorders>
              <w:right w:val="single" w:sz="8" w:color="FFC000"/>
            </w:tcBorders>
            <w:gridSpan w:val="3"/>
            <w:vMerge w:val="continue"/>
            <w:shd w:val="clear" w:color="auto" w:fill="1EB7DF"/>
          </w:tcPr>
          <w:p>
            <w:pPr>
              <w:spacing w:after="0"/>
              <w:rPr>
                <w:sz w:val="4"/>
                <w:szCs w:val="4"/>
                <w:color w:val="auto"/>
              </w:rPr>
            </w:pPr>
          </w:p>
        </w:tc>
        <w:tc>
          <w:tcPr>
            <w:tcW w:w="2580" w:type="dxa"/>
            <w:vAlign w:val="bottom"/>
            <w:gridSpan w:val="3"/>
            <w:vMerge w:val="continue"/>
            <w:shd w:val="clear" w:color="auto" w:fill="FFC000"/>
          </w:tcPr>
          <w:p>
            <w:pPr>
              <w:spacing w:after="0"/>
              <w:rPr>
                <w:sz w:val="4"/>
                <w:szCs w:val="4"/>
                <w:color w:val="auto"/>
              </w:rPr>
            </w:pPr>
          </w:p>
        </w:tc>
        <w:tc>
          <w:tcPr>
            <w:tcW w:w="1080" w:type="dxa"/>
            <w:vAlign w:val="bottom"/>
            <w:vMerge w:val="restart"/>
            <w:shd w:val="clear" w:color="auto" w:fill="00739D"/>
          </w:tcPr>
          <w:p>
            <w:pPr>
              <w:jc w:val="center"/>
              <w:spacing w:after="0"/>
              <w:rPr>
                <w:sz w:val="20"/>
                <w:szCs w:val="20"/>
                <w:color w:val="auto"/>
              </w:rPr>
            </w:pPr>
            <w:r>
              <w:rPr>
                <w:rFonts w:ascii="Arial" w:cs="Arial" w:eastAsia="Arial" w:hAnsi="Arial"/>
                <w:sz w:val="13"/>
                <w:szCs w:val="13"/>
                <w:b w:val="1"/>
                <w:bCs w:val="1"/>
                <w:color w:val="FFFFFF"/>
              </w:rPr>
              <w:t>Stock</w:t>
            </w:r>
          </w:p>
        </w:tc>
        <w:tc>
          <w:tcPr>
            <w:tcW w:w="1080" w:type="dxa"/>
            <w:vAlign w:val="bottom"/>
            <w:shd w:val="clear" w:color="auto" w:fill="00739D"/>
          </w:tcPr>
          <w:p>
            <w:pPr>
              <w:spacing w:after="0"/>
              <w:rPr>
                <w:sz w:val="4"/>
                <w:szCs w:val="4"/>
                <w:color w:val="auto"/>
              </w:rPr>
            </w:pPr>
          </w:p>
        </w:tc>
        <w:tc>
          <w:tcPr>
            <w:tcW w:w="140" w:type="dxa"/>
            <w:vAlign w:val="bottom"/>
            <w:shd w:val="clear" w:color="auto" w:fill="00739D"/>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shd w:val="clear" w:color="auto" w:fill="1EB7DF"/>
          </w:tcPr>
          <w:p>
            <w:pPr>
              <w:spacing w:after="0"/>
              <w:rPr>
                <w:sz w:val="12"/>
                <w:szCs w:val="12"/>
                <w:color w:val="auto"/>
              </w:rPr>
            </w:pPr>
          </w:p>
        </w:tc>
        <w:tc>
          <w:tcPr>
            <w:tcW w:w="1060" w:type="dxa"/>
            <w:vAlign w:val="bottom"/>
            <w:shd w:val="clear" w:color="auto" w:fill="1EB7DF"/>
          </w:tcPr>
          <w:p>
            <w:pPr>
              <w:jc w:val="center"/>
              <w:ind w:right="53"/>
              <w:spacing w:after="0" w:line="138" w:lineRule="exact"/>
              <w:rPr>
                <w:sz w:val="20"/>
                <w:szCs w:val="20"/>
                <w:color w:val="auto"/>
              </w:rPr>
            </w:pPr>
            <w:r>
              <w:rPr>
                <w:rFonts w:ascii="Arial" w:cs="Arial" w:eastAsia="Arial" w:hAnsi="Arial"/>
                <w:sz w:val="13"/>
                <w:szCs w:val="13"/>
                <w:b w:val="1"/>
                <w:bCs w:val="1"/>
                <w:color w:val="0E191E"/>
                <w:w w:val="98"/>
              </w:rPr>
              <w:t>Plan Awards</w:t>
            </w:r>
            <w:r>
              <w:rPr>
                <w:rFonts w:ascii="Arial" w:cs="Arial" w:eastAsia="Arial" w:hAnsi="Arial"/>
                <w:sz w:val="16"/>
                <w:szCs w:val="16"/>
                <w:b w:val="1"/>
                <w:bCs w:val="1"/>
                <w:color w:val="0E191E"/>
                <w:w w:val="98"/>
                <w:vertAlign w:val="superscript"/>
              </w:rPr>
              <w:t>(2)</w:t>
            </w:r>
          </w:p>
        </w:tc>
        <w:tc>
          <w:tcPr>
            <w:tcW w:w="840" w:type="dxa"/>
            <w:vAlign w:val="bottom"/>
            <w:tcBorders>
              <w:right w:val="single" w:sz="8" w:color="FFC000"/>
            </w:tcBorders>
            <w:shd w:val="clear" w:color="auto" w:fill="1EB7DF"/>
          </w:tcPr>
          <w:p>
            <w:pPr>
              <w:spacing w:after="0"/>
              <w:rPr>
                <w:sz w:val="12"/>
                <w:szCs w:val="12"/>
                <w:color w:val="auto"/>
              </w:rPr>
            </w:pPr>
          </w:p>
        </w:tc>
        <w:tc>
          <w:tcPr>
            <w:tcW w:w="820" w:type="dxa"/>
            <w:vAlign w:val="bottom"/>
            <w:shd w:val="clear" w:color="auto" w:fill="FFC000"/>
          </w:tcPr>
          <w:p>
            <w:pPr>
              <w:spacing w:after="0"/>
              <w:rPr>
                <w:sz w:val="12"/>
                <w:szCs w:val="12"/>
                <w:color w:val="auto"/>
              </w:rPr>
            </w:pPr>
          </w:p>
        </w:tc>
        <w:tc>
          <w:tcPr>
            <w:tcW w:w="920" w:type="dxa"/>
            <w:vAlign w:val="bottom"/>
            <w:shd w:val="clear" w:color="auto" w:fill="FFC000"/>
          </w:tcPr>
          <w:p>
            <w:pPr>
              <w:jc w:val="center"/>
              <w:spacing w:after="0" w:line="138" w:lineRule="exact"/>
              <w:rPr>
                <w:sz w:val="20"/>
                <w:szCs w:val="20"/>
                <w:color w:val="auto"/>
              </w:rPr>
            </w:pPr>
            <w:r>
              <w:rPr>
                <w:rFonts w:ascii="Arial" w:cs="Arial" w:eastAsia="Arial" w:hAnsi="Arial"/>
                <w:sz w:val="13"/>
                <w:szCs w:val="13"/>
                <w:b w:val="1"/>
                <w:bCs w:val="1"/>
                <w:color w:val="0E191E"/>
              </w:rPr>
              <w:t>Plan Awards</w:t>
            </w:r>
          </w:p>
        </w:tc>
        <w:tc>
          <w:tcPr>
            <w:tcW w:w="840" w:type="dxa"/>
            <w:vAlign w:val="bottom"/>
            <w:shd w:val="clear" w:color="auto" w:fill="FFC000"/>
          </w:tcPr>
          <w:p>
            <w:pPr>
              <w:spacing w:after="0"/>
              <w:rPr>
                <w:sz w:val="12"/>
                <w:szCs w:val="12"/>
                <w:color w:val="auto"/>
              </w:rPr>
            </w:pPr>
          </w:p>
        </w:tc>
        <w:tc>
          <w:tcPr>
            <w:tcW w:w="1080" w:type="dxa"/>
            <w:vAlign w:val="bottom"/>
            <w:vMerge w:val="continue"/>
            <w:shd w:val="clear" w:color="auto" w:fill="00739D"/>
          </w:tcPr>
          <w:p>
            <w:pPr>
              <w:spacing w:after="0"/>
              <w:rPr>
                <w:sz w:val="12"/>
                <w:szCs w:val="12"/>
                <w:color w:val="auto"/>
              </w:rPr>
            </w:pPr>
          </w:p>
        </w:tc>
        <w:tc>
          <w:tcPr>
            <w:tcW w:w="1080" w:type="dxa"/>
            <w:vAlign w:val="bottom"/>
            <w:vMerge w:val="restart"/>
            <w:shd w:val="clear" w:color="auto" w:fill="00739D"/>
          </w:tcPr>
          <w:p>
            <w:pPr>
              <w:jc w:val="center"/>
              <w:spacing w:after="0"/>
              <w:rPr>
                <w:sz w:val="20"/>
                <w:szCs w:val="20"/>
                <w:color w:val="auto"/>
              </w:rPr>
            </w:pPr>
            <w:r>
              <w:rPr>
                <w:rFonts w:ascii="Arial" w:cs="Arial" w:eastAsia="Arial" w:hAnsi="Arial"/>
                <w:sz w:val="13"/>
                <w:szCs w:val="13"/>
                <w:b w:val="1"/>
                <w:bCs w:val="1"/>
                <w:color w:val="FFFFFF"/>
              </w:rPr>
              <w:t>Grant Date Fair</w:t>
            </w:r>
          </w:p>
        </w:tc>
        <w:tc>
          <w:tcPr>
            <w:tcW w:w="140" w:type="dxa"/>
            <w:vAlign w:val="bottom"/>
            <w:shd w:val="clear" w:color="auto" w:fill="00739D"/>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Borders>
              <w:bottom w:val="single" w:sz="8" w:color="1EB7DF"/>
            </w:tcBorders>
            <w:shd w:val="clear" w:color="auto" w:fill="1EB7DF"/>
          </w:tcPr>
          <w:p>
            <w:pPr>
              <w:spacing w:after="0"/>
              <w:rPr>
                <w:sz w:val="14"/>
                <w:szCs w:val="14"/>
                <w:color w:val="auto"/>
              </w:rPr>
            </w:pPr>
          </w:p>
        </w:tc>
        <w:tc>
          <w:tcPr>
            <w:tcW w:w="1060" w:type="dxa"/>
            <w:vAlign w:val="bottom"/>
            <w:tcBorders>
              <w:bottom w:val="single" w:sz="8" w:color="1EB7DF"/>
            </w:tcBorders>
            <w:shd w:val="clear" w:color="auto" w:fill="1EB7DF"/>
          </w:tcPr>
          <w:p>
            <w:pPr>
              <w:spacing w:after="0"/>
              <w:rPr>
                <w:sz w:val="14"/>
                <w:szCs w:val="14"/>
                <w:color w:val="auto"/>
              </w:rPr>
            </w:pPr>
          </w:p>
        </w:tc>
        <w:tc>
          <w:tcPr>
            <w:tcW w:w="840" w:type="dxa"/>
            <w:vAlign w:val="bottom"/>
            <w:tcBorders>
              <w:bottom w:val="single" w:sz="8" w:color="1EB7DF"/>
              <w:right w:val="single" w:sz="8" w:color="FFC000"/>
            </w:tcBorders>
            <w:shd w:val="clear" w:color="auto" w:fill="1EB7DF"/>
          </w:tcPr>
          <w:p>
            <w:pPr>
              <w:spacing w:after="0"/>
              <w:rPr>
                <w:sz w:val="14"/>
                <w:szCs w:val="14"/>
                <w:color w:val="auto"/>
              </w:rPr>
            </w:pPr>
          </w:p>
        </w:tc>
        <w:tc>
          <w:tcPr>
            <w:tcW w:w="820" w:type="dxa"/>
            <w:vAlign w:val="bottom"/>
            <w:tcBorders>
              <w:bottom w:val="single" w:sz="8" w:color="FFC000"/>
            </w:tcBorders>
            <w:shd w:val="clear" w:color="auto" w:fill="FFC000"/>
          </w:tcPr>
          <w:p>
            <w:pPr>
              <w:spacing w:after="0"/>
              <w:rPr>
                <w:sz w:val="14"/>
                <w:szCs w:val="14"/>
                <w:color w:val="auto"/>
              </w:rPr>
            </w:pPr>
          </w:p>
        </w:tc>
        <w:tc>
          <w:tcPr>
            <w:tcW w:w="920" w:type="dxa"/>
            <w:vAlign w:val="bottom"/>
            <w:tcBorders>
              <w:bottom w:val="single" w:sz="8" w:color="FFC000"/>
            </w:tcBorders>
            <w:shd w:val="clear" w:color="auto" w:fill="FFC000"/>
          </w:tcPr>
          <w:p>
            <w:pPr>
              <w:spacing w:after="0"/>
              <w:rPr>
                <w:sz w:val="14"/>
                <w:szCs w:val="14"/>
                <w:color w:val="auto"/>
              </w:rPr>
            </w:pPr>
          </w:p>
        </w:tc>
        <w:tc>
          <w:tcPr>
            <w:tcW w:w="840" w:type="dxa"/>
            <w:vAlign w:val="bottom"/>
            <w:tcBorders>
              <w:bottom w:val="single" w:sz="8" w:color="FFC000"/>
            </w:tcBorders>
            <w:shd w:val="clear" w:color="auto" w:fill="FFC000"/>
          </w:tcPr>
          <w:p>
            <w:pPr>
              <w:spacing w:after="0"/>
              <w:rPr>
                <w:sz w:val="14"/>
                <w:szCs w:val="14"/>
                <w:color w:val="auto"/>
              </w:rPr>
            </w:pPr>
          </w:p>
        </w:tc>
        <w:tc>
          <w:tcPr>
            <w:tcW w:w="1080" w:type="dxa"/>
            <w:vAlign w:val="bottom"/>
            <w:tcBorders>
              <w:bottom w:val="single" w:sz="8" w:color="00739D"/>
            </w:tcBorders>
            <w:shd w:val="clear" w:color="auto" w:fill="00739D"/>
          </w:tcPr>
          <w:p>
            <w:pPr>
              <w:jc w:val="center"/>
              <w:spacing w:after="0" w:line="132" w:lineRule="exact"/>
              <w:rPr>
                <w:sz w:val="20"/>
                <w:szCs w:val="20"/>
                <w:color w:val="auto"/>
              </w:rPr>
            </w:pPr>
            <w:r>
              <w:rPr>
                <w:rFonts w:ascii="Arial" w:cs="Arial" w:eastAsia="Arial" w:hAnsi="Arial"/>
                <w:sz w:val="13"/>
                <w:szCs w:val="13"/>
                <w:b w:val="1"/>
                <w:bCs w:val="1"/>
                <w:color w:val="FFFFFF"/>
              </w:rPr>
              <w:t>Awards:</w:t>
            </w:r>
          </w:p>
        </w:tc>
        <w:tc>
          <w:tcPr>
            <w:tcW w:w="1080" w:type="dxa"/>
            <w:vAlign w:val="bottom"/>
            <w:tcBorders>
              <w:bottom w:val="single" w:sz="8" w:color="00739D"/>
            </w:tcBorders>
            <w:vMerge w:val="continue"/>
            <w:shd w:val="clear" w:color="auto" w:fill="00739D"/>
          </w:tcPr>
          <w:p>
            <w:pPr>
              <w:spacing w:after="0"/>
              <w:rPr>
                <w:sz w:val="14"/>
                <w:szCs w:val="14"/>
                <w:color w:val="auto"/>
              </w:rPr>
            </w:pPr>
          </w:p>
        </w:tc>
        <w:tc>
          <w:tcPr>
            <w:tcW w:w="140" w:type="dxa"/>
            <w:vAlign w:val="bottom"/>
            <w:tcBorders>
              <w:bottom w:val="single" w:sz="8" w:color="00739D"/>
            </w:tcBorders>
            <w:shd w:val="clear" w:color="auto" w:fill="00739D"/>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540" w:type="dxa"/>
            <w:vAlign w:val="bottom"/>
            <w:shd w:val="clear" w:color="auto" w:fill="00739D"/>
          </w:tcPr>
          <w:p>
            <w:pPr>
              <w:spacing w:after="0"/>
              <w:rPr>
                <w:sz w:val="9"/>
                <w:szCs w:val="9"/>
                <w:color w:val="auto"/>
              </w:rPr>
            </w:pPr>
          </w:p>
        </w:tc>
        <w:tc>
          <w:tcPr>
            <w:tcW w:w="960" w:type="dxa"/>
            <w:vAlign w:val="bottom"/>
            <w:shd w:val="clear" w:color="auto" w:fill="00739D"/>
          </w:tcPr>
          <w:p>
            <w:pPr>
              <w:spacing w:after="0"/>
              <w:rPr>
                <w:sz w:val="9"/>
                <w:szCs w:val="9"/>
                <w:color w:val="auto"/>
              </w:rPr>
            </w:pPr>
          </w:p>
        </w:tc>
        <w:tc>
          <w:tcPr>
            <w:tcW w:w="960" w:type="dxa"/>
            <w:vAlign w:val="bottom"/>
            <w:shd w:val="clear" w:color="auto" w:fill="00739D"/>
          </w:tcPr>
          <w:p>
            <w:pPr>
              <w:spacing w:after="0"/>
              <w:rPr>
                <w:sz w:val="9"/>
                <w:szCs w:val="9"/>
                <w:color w:val="auto"/>
              </w:rPr>
            </w:pPr>
          </w:p>
        </w:tc>
        <w:tc>
          <w:tcPr>
            <w:tcW w:w="1060" w:type="dxa"/>
            <w:vAlign w:val="bottom"/>
            <w:shd w:val="clear" w:color="auto" w:fill="00739D"/>
          </w:tcPr>
          <w:p>
            <w:pPr>
              <w:spacing w:after="0"/>
              <w:rPr>
                <w:sz w:val="9"/>
                <w:szCs w:val="9"/>
                <w:color w:val="auto"/>
              </w:rPr>
            </w:pPr>
          </w:p>
        </w:tc>
        <w:tc>
          <w:tcPr>
            <w:tcW w:w="840" w:type="dxa"/>
            <w:vAlign w:val="bottom"/>
            <w:tcBorders>
              <w:right w:val="single" w:sz="8" w:color="00739D"/>
            </w:tcBorders>
            <w:shd w:val="clear" w:color="auto" w:fill="00739D"/>
          </w:tcPr>
          <w:p>
            <w:pPr>
              <w:spacing w:after="0"/>
              <w:rPr>
                <w:sz w:val="9"/>
                <w:szCs w:val="9"/>
                <w:color w:val="auto"/>
              </w:rPr>
            </w:pPr>
          </w:p>
        </w:tc>
        <w:tc>
          <w:tcPr>
            <w:tcW w:w="820" w:type="dxa"/>
            <w:vAlign w:val="bottom"/>
            <w:shd w:val="clear" w:color="auto" w:fill="00739D"/>
          </w:tcPr>
          <w:p>
            <w:pPr>
              <w:spacing w:after="0"/>
              <w:rPr>
                <w:sz w:val="9"/>
                <w:szCs w:val="9"/>
                <w:color w:val="auto"/>
              </w:rPr>
            </w:pPr>
          </w:p>
        </w:tc>
        <w:tc>
          <w:tcPr>
            <w:tcW w:w="920" w:type="dxa"/>
            <w:vAlign w:val="bottom"/>
            <w:shd w:val="clear" w:color="auto" w:fill="00739D"/>
          </w:tcPr>
          <w:p>
            <w:pPr>
              <w:spacing w:after="0"/>
              <w:rPr>
                <w:sz w:val="9"/>
                <w:szCs w:val="9"/>
                <w:color w:val="auto"/>
              </w:rPr>
            </w:pPr>
          </w:p>
        </w:tc>
        <w:tc>
          <w:tcPr>
            <w:tcW w:w="840" w:type="dxa"/>
            <w:vAlign w:val="bottom"/>
            <w:shd w:val="clear" w:color="auto" w:fill="00739D"/>
          </w:tcPr>
          <w:p>
            <w:pPr>
              <w:spacing w:after="0"/>
              <w:rPr>
                <w:sz w:val="9"/>
                <w:szCs w:val="9"/>
                <w:color w:val="auto"/>
              </w:rPr>
            </w:pPr>
          </w:p>
        </w:tc>
        <w:tc>
          <w:tcPr>
            <w:tcW w:w="1080" w:type="dxa"/>
            <w:vAlign w:val="bottom"/>
            <w:shd w:val="clear" w:color="auto" w:fill="00739D"/>
          </w:tcPr>
          <w:p>
            <w:pPr>
              <w:jc w:val="center"/>
              <w:spacing w:after="0" w:line="105" w:lineRule="exact"/>
              <w:rPr>
                <w:sz w:val="20"/>
                <w:szCs w:val="20"/>
                <w:color w:val="auto"/>
              </w:rPr>
            </w:pPr>
            <w:r>
              <w:rPr>
                <w:rFonts w:ascii="Arial" w:cs="Arial" w:eastAsia="Arial" w:hAnsi="Arial"/>
                <w:sz w:val="12"/>
                <w:szCs w:val="12"/>
                <w:b w:val="1"/>
                <w:bCs w:val="1"/>
                <w:color w:val="FFFFFF"/>
              </w:rPr>
              <w:t>Number of</w:t>
            </w:r>
          </w:p>
        </w:tc>
        <w:tc>
          <w:tcPr>
            <w:tcW w:w="1080" w:type="dxa"/>
            <w:vAlign w:val="bottom"/>
            <w:shd w:val="clear" w:color="auto" w:fill="00739D"/>
          </w:tcPr>
          <w:p>
            <w:pPr>
              <w:jc w:val="center"/>
              <w:spacing w:after="0" w:line="105" w:lineRule="exact"/>
              <w:rPr>
                <w:sz w:val="20"/>
                <w:szCs w:val="20"/>
                <w:color w:val="auto"/>
              </w:rPr>
            </w:pPr>
            <w:r>
              <w:rPr>
                <w:rFonts w:ascii="Arial" w:cs="Arial" w:eastAsia="Arial" w:hAnsi="Arial"/>
                <w:sz w:val="12"/>
                <w:szCs w:val="12"/>
                <w:b w:val="1"/>
                <w:bCs w:val="1"/>
                <w:color w:val="FFFFFF"/>
              </w:rPr>
              <w:t>Value of Stock</w:t>
            </w:r>
          </w:p>
        </w:tc>
        <w:tc>
          <w:tcPr>
            <w:tcW w:w="140" w:type="dxa"/>
            <w:vAlign w:val="bottom"/>
            <w:shd w:val="clear" w:color="auto" w:fill="00739D"/>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00739D"/>
          </w:tcPr>
          <w:p>
            <w:pPr>
              <w:spacing w:after="0"/>
              <w:rPr>
                <w:sz w:val="14"/>
                <w:szCs w:val="14"/>
                <w:color w:val="auto"/>
              </w:rPr>
            </w:pPr>
          </w:p>
        </w:tc>
        <w:tc>
          <w:tcPr>
            <w:tcW w:w="960" w:type="dxa"/>
            <w:vAlign w:val="bottom"/>
            <w:shd w:val="clear" w:color="auto" w:fill="00739D"/>
          </w:tcPr>
          <w:p>
            <w:pPr>
              <w:spacing w:after="0"/>
              <w:rPr>
                <w:sz w:val="14"/>
                <w:szCs w:val="14"/>
                <w:color w:val="auto"/>
              </w:rPr>
            </w:pPr>
          </w:p>
        </w:tc>
        <w:tc>
          <w:tcPr>
            <w:tcW w:w="960" w:type="dxa"/>
            <w:vAlign w:val="bottom"/>
            <w:shd w:val="clear" w:color="auto" w:fill="00739D"/>
          </w:tcPr>
          <w:p>
            <w:pPr>
              <w:spacing w:after="0"/>
              <w:rPr>
                <w:sz w:val="14"/>
                <w:szCs w:val="14"/>
                <w:color w:val="auto"/>
              </w:rPr>
            </w:pPr>
          </w:p>
        </w:tc>
        <w:tc>
          <w:tcPr>
            <w:tcW w:w="1060" w:type="dxa"/>
            <w:vAlign w:val="bottom"/>
            <w:shd w:val="clear" w:color="auto" w:fill="00739D"/>
          </w:tcPr>
          <w:p>
            <w:pPr>
              <w:spacing w:after="0"/>
              <w:rPr>
                <w:sz w:val="14"/>
                <w:szCs w:val="14"/>
                <w:color w:val="auto"/>
              </w:rPr>
            </w:pPr>
          </w:p>
        </w:tc>
        <w:tc>
          <w:tcPr>
            <w:tcW w:w="840" w:type="dxa"/>
            <w:vAlign w:val="bottom"/>
            <w:tcBorders>
              <w:right w:val="single" w:sz="8" w:color="00739D"/>
            </w:tcBorders>
            <w:shd w:val="clear" w:color="auto" w:fill="00739D"/>
          </w:tcPr>
          <w:p>
            <w:pPr>
              <w:spacing w:after="0"/>
              <w:rPr>
                <w:sz w:val="14"/>
                <w:szCs w:val="14"/>
                <w:color w:val="auto"/>
              </w:rPr>
            </w:pPr>
          </w:p>
        </w:tc>
        <w:tc>
          <w:tcPr>
            <w:tcW w:w="820" w:type="dxa"/>
            <w:vAlign w:val="bottom"/>
            <w:shd w:val="clear" w:color="auto" w:fill="00739D"/>
          </w:tcPr>
          <w:p>
            <w:pPr>
              <w:spacing w:after="0"/>
              <w:rPr>
                <w:sz w:val="14"/>
                <w:szCs w:val="14"/>
                <w:color w:val="auto"/>
              </w:rPr>
            </w:pPr>
          </w:p>
        </w:tc>
        <w:tc>
          <w:tcPr>
            <w:tcW w:w="920" w:type="dxa"/>
            <w:vAlign w:val="bottom"/>
            <w:shd w:val="clear" w:color="auto" w:fill="00739D"/>
          </w:tcPr>
          <w:p>
            <w:pPr>
              <w:spacing w:after="0"/>
              <w:rPr>
                <w:sz w:val="14"/>
                <w:szCs w:val="14"/>
                <w:color w:val="auto"/>
              </w:rPr>
            </w:pPr>
          </w:p>
        </w:tc>
        <w:tc>
          <w:tcPr>
            <w:tcW w:w="840" w:type="dxa"/>
            <w:vAlign w:val="bottom"/>
            <w:shd w:val="clear" w:color="auto" w:fill="00739D"/>
          </w:tcPr>
          <w:p>
            <w:pPr>
              <w:spacing w:after="0"/>
              <w:rPr>
                <w:sz w:val="14"/>
                <w:szCs w:val="14"/>
                <w:color w:val="auto"/>
              </w:rPr>
            </w:pPr>
          </w:p>
        </w:tc>
        <w:tc>
          <w:tcPr>
            <w:tcW w:w="10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Shares of</w:t>
            </w:r>
          </w:p>
        </w:tc>
        <w:tc>
          <w:tcPr>
            <w:tcW w:w="10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and Option</w:t>
            </w:r>
          </w:p>
        </w:tc>
        <w:tc>
          <w:tcPr>
            <w:tcW w:w="140" w:type="dxa"/>
            <w:vAlign w:val="bottom"/>
            <w:shd w:val="clear" w:color="auto" w:fill="00739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00739D"/>
          </w:tcPr>
          <w:p>
            <w:pPr>
              <w:spacing w:after="0"/>
              <w:rPr>
                <w:sz w:val="14"/>
                <w:szCs w:val="14"/>
                <w:color w:val="auto"/>
              </w:rPr>
            </w:pPr>
          </w:p>
        </w:tc>
        <w:tc>
          <w:tcPr>
            <w:tcW w:w="960" w:type="dxa"/>
            <w:vAlign w:val="bottom"/>
            <w:shd w:val="clear" w:color="auto" w:fill="00739D"/>
          </w:tcPr>
          <w:p>
            <w:pPr>
              <w:spacing w:after="0"/>
              <w:rPr>
                <w:sz w:val="14"/>
                <w:szCs w:val="14"/>
                <w:color w:val="auto"/>
              </w:rPr>
            </w:pPr>
          </w:p>
        </w:tc>
        <w:tc>
          <w:tcPr>
            <w:tcW w:w="960" w:type="dxa"/>
            <w:vAlign w:val="bottom"/>
            <w:shd w:val="clear" w:color="auto" w:fill="00739D"/>
          </w:tcPr>
          <w:p>
            <w:pPr>
              <w:jc w:val="right"/>
              <w:spacing w:after="0"/>
              <w:rPr>
                <w:sz w:val="20"/>
                <w:szCs w:val="20"/>
                <w:color w:val="auto"/>
              </w:rPr>
            </w:pPr>
            <w:r>
              <w:rPr>
                <w:rFonts w:ascii="Arial" w:cs="Arial" w:eastAsia="Arial" w:hAnsi="Arial"/>
                <w:sz w:val="13"/>
                <w:szCs w:val="13"/>
                <w:b w:val="1"/>
                <w:bCs w:val="1"/>
                <w:color w:val="FFFFFF"/>
              </w:rPr>
              <w:t>Threshold</w:t>
            </w:r>
          </w:p>
        </w:tc>
        <w:tc>
          <w:tcPr>
            <w:tcW w:w="1060" w:type="dxa"/>
            <w:vAlign w:val="bottom"/>
            <w:shd w:val="clear" w:color="auto" w:fill="00739D"/>
          </w:tcPr>
          <w:p>
            <w:pPr>
              <w:jc w:val="right"/>
              <w:ind w:right="113"/>
              <w:spacing w:after="0"/>
              <w:rPr>
                <w:sz w:val="20"/>
                <w:szCs w:val="20"/>
                <w:color w:val="auto"/>
              </w:rPr>
            </w:pPr>
            <w:r>
              <w:rPr>
                <w:rFonts w:ascii="Arial" w:cs="Arial" w:eastAsia="Arial" w:hAnsi="Arial"/>
                <w:sz w:val="13"/>
                <w:szCs w:val="13"/>
                <w:b w:val="1"/>
                <w:bCs w:val="1"/>
                <w:color w:val="FFFFFF"/>
              </w:rPr>
              <w:t>Target</w:t>
            </w:r>
          </w:p>
        </w:tc>
        <w:tc>
          <w:tcPr>
            <w:tcW w:w="840" w:type="dxa"/>
            <w:vAlign w:val="bottom"/>
            <w:tcBorders>
              <w:right w:val="single" w:sz="8" w:color="00739D"/>
            </w:tcBorders>
            <w:shd w:val="clear" w:color="auto" w:fill="00739D"/>
          </w:tcPr>
          <w:p>
            <w:pPr>
              <w:jc w:val="right"/>
              <w:ind w:right="13"/>
              <w:spacing w:after="0"/>
              <w:rPr>
                <w:sz w:val="20"/>
                <w:szCs w:val="20"/>
                <w:color w:val="auto"/>
              </w:rPr>
            </w:pPr>
            <w:r>
              <w:rPr>
                <w:rFonts w:ascii="Arial" w:cs="Arial" w:eastAsia="Arial" w:hAnsi="Arial"/>
                <w:sz w:val="13"/>
                <w:szCs w:val="13"/>
                <w:b w:val="1"/>
                <w:bCs w:val="1"/>
                <w:color w:val="FFFFFF"/>
              </w:rPr>
              <w:t>Maximum</w:t>
            </w:r>
          </w:p>
        </w:tc>
        <w:tc>
          <w:tcPr>
            <w:tcW w:w="82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Threshold</w:t>
            </w:r>
          </w:p>
        </w:tc>
        <w:tc>
          <w:tcPr>
            <w:tcW w:w="9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Target</w:t>
            </w:r>
          </w:p>
        </w:tc>
        <w:tc>
          <w:tcPr>
            <w:tcW w:w="840" w:type="dxa"/>
            <w:vAlign w:val="bottom"/>
            <w:shd w:val="clear" w:color="auto" w:fill="00739D"/>
          </w:tcPr>
          <w:p>
            <w:pPr>
              <w:ind w:left="20"/>
              <w:spacing w:after="0"/>
              <w:rPr>
                <w:sz w:val="20"/>
                <w:szCs w:val="20"/>
                <w:color w:val="auto"/>
              </w:rPr>
            </w:pPr>
            <w:r>
              <w:rPr>
                <w:rFonts w:ascii="Arial" w:cs="Arial" w:eastAsia="Arial" w:hAnsi="Arial"/>
                <w:sz w:val="13"/>
                <w:szCs w:val="13"/>
                <w:b w:val="1"/>
                <w:bCs w:val="1"/>
                <w:color w:val="FFFFFF"/>
              </w:rPr>
              <w:t>Maximum</w:t>
            </w:r>
          </w:p>
        </w:tc>
        <w:tc>
          <w:tcPr>
            <w:tcW w:w="10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Stock or</w:t>
            </w:r>
          </w:p>
        </w:tc>
        <w:tc>
          <w:tcPr>
            <w:tcW w:w="10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Awards</w:t>
            </w:r>
          </w:p>
        </w:tc>
        <w:tc>
          <w:tcPr>
            <w:tcW w:w="140" w:type="dxa"/>
            <w:vAlign w:val="bottom"/>
            <w:shd w:val="clear" w:color="auto" w:fill="00739D"/>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4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w:t>
            </w:r>
          </w:p>
        </w:tc>
        <w:tc>
          <w:tcPr>
            <w:tcW w:w="960" w:type="dxa"/>
            <w:vAlign w:val="bottom"/>
            <w:shd w:val="clear" w:color="auto" w:fill="00739D"/>
          </w:tcPr>
          <w:p>
            <w:pPr>
              <w:ind w:left="80"/>
              <w:spacing w:after="0"/>
              <w:rPr>
                <w:sz w:val="20"/>
                <w:szCs w:val="20"/>
                <w:color w:val="auto"/>
              </w:rPr>
            </w:pPr>
            <w:r>
              <w:rPr>
                <w:rFonts w:ascii="Arial" w:cs="Arial" w:eastAsia="Arial" w:hAnsi="Arial"/>
                <w:sz w:val="13"/>
                <w:szCs w:val="13"/>
                <w:b w:val="1"/>
                <w:bCs w:val="1"/>
                <w:color w:val="FFFFFF"/>
              </w:rPr>
              <w:t>Grant Date</w:t>
            </w:r>
            <w:r>
              <w:rPr>
                <w:rFonts w:ascii="Arial" w:cs="Arial" w:eastAsia="Arial" w:hAnsi="Arial"/>
                <w:sz w:val="17"/>
                <w:szCs w:val="17"/>
                <w:b w:val="1"/>
                <w:bCs w:val="1"/>
                <w:color w:val="FFFFFF"/>
                <w:vertAlign w:val="superscript"/>
              </w:rPr>
              <w:t>(1)</w:t>
            </w:r>
          </w:p>
        </w:tc>
        <w:tc>
          <w:tcPr>
            <w:tcW w:w="960" w:type="dxa"/>
            <w:vAlign w:val="bottom"/>
            <w:shd w:val="clear" w:color="auto" w:fill="00739D"/>
          </w:tcPr>
          <w:p>
            <w:pPr>
              <w:jc w:val="right"/>
              <w:spacing w:after="0"/>
              <w:rPr>
                <w:sz w:val="20"/>
                <w:szCs w:val="20"/>
                <w:color w:val="auto"/>
              </w:rPr>
            </w:pPr>
            <w:r>
              <w:rPr>
                <w:rFonts w:ascii="Arial" w:cs="Arial" w:eastAsia="Arial" w:hAnsi="Arial"/>
                <w:sz w:val="13"/>
                <w:szCs w:val="13"/>
                <w:b w:val="1"/>
                <w:bCs w:val="1"/>
                <w:color w:val="FFFFFF"/>
              </w:rPr>
              <w:t>($)</w:t>
            </w:r>
          </w:p>
        </w:tc>
        <w:tc>
          <w:tcPr>
            <w:tcW w:w="1060" w:type="dxa"/>
            <w:vAlign w:val="bottom"/>
            <w:shd w:val="clear" w:color="auto" w:fill="00739D"/>
          </w:tcPr>
          <w:p>
            <w:pPr>
              <w:jc w:val="right"/>
              <w:ind w:right="113"/>
              <w:spacing w:after="0"/>
              <w:rPr>
                <w:sz w:val="20"/>
                <w:szCs w:val="20"/>
                <w:color w:val="auto"/>
              </w:rPr>
            </w:pPr>
            <w:r>
              <w:rPr>
                <w:rFonts w:ascii="Arial" w:cs="Arial" w:eastAsia="Arial" w:hAnsi="Arial"/>
                <w:sz w:val="13"/>
                <w:szCs w:val="13"/>
                <w:b w:val="1"/>
                <w:bCs w:val="1"/>
                <w:color w:val="FFFFFF"/>
              </w:rPr>
              <w:t>($)</w:t>
            </w:r>
          </w:p>
        </w:tc>
        <w:tc>
          <w:tcPr>
            <w:tcW w:w="840" w:type="dxa"/>
            <w:vAlign w:val="bottom"/>
            <w:tcBorders>
              <w:right w:val="single" w:sz="8" w:color="00739D"/>
            </w:tcBorders>
            <w:shd w:val="clear" w:color="auto" w:fill="00739D"/>
          </w:tcPr>
          <w:p>
            <w:pPr>
              <w:jc w:val="right"/>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00739D"/>
          </w:tcPr>
          <w:p>
            <w:pPr>
              <w:jc w:val="center"/>
              <w:ind w:left="13"/>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00739D"/>
          </w:tcPr>
          <w:p>
            <w:pPr>
              <w:jc w:val="center"/>
              <w:ind w:right="73"/>
              <w:spacing w:after="0"/>
              <w:rPr>
                <w:sz w:val="20"/>
                <w:szCs w:val="20"/>
                <w:color w:val="auto"/>
              </w:rPr>
            </w:pPr>
            <w:r>
              <w:rPr>
                <w:rFonts w:ascii="Arial" w:cs="Arial" w:eastAsia="Arial" w:hAnsi="Arial"/>
                <w:sz w:val="13"/>
                <w:szCs w:val="13"/>
                <w:b w:val="1"/>
                <w:bCs w:val="1"/>
                <w:color w:val="FFFFFF"/>
              </w:rPr>
              <w:t>(#)</w:t>
            </w:r>
          </w:p>
        </w:tc>
        <w:tc>
          <w:tcPr>
            <w:tcW w:w="10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Units (#)</w:t>
            </w:r>
          </w:p>
        </w:tc>
        <w:tc>
          <w:tcPr>
            <w:tcW w:w="10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00739D"/>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540" w:type="dxa"/>
            <w:vAlign w:val="bottom"/>
            <w:shd w:val="clear" w:color="auto" w:fill="00739D"/>
          </w:tcPr>
          <w:p>
            <w:pPr>
              <w:spacing w:after="0"/>
              <w:rPr>
                <w:sz w:val="8"/>
                <w:szCs w:val="8"/>
                <w:color w:val="auto"/>
              </w:rPr>
            </w:pPr>
          </w:p>
        </w:tc>
        <w:tc>
          <w:tcPr>
            <w:tcW w:w="960" w:type="dxa"/>
            <w:vAlign w:val="bottom"/>
            <w:shd w:val="clear" w:color="auto" w:fill="00739D"/>
          </w:tcPr>
          <w:p>
            <w:pPr>
              <w:spacing w:after="0"/>
              <w:rPr>
                <w:sz w:val="8"/>
                <w:szCs w:val="8"/>
                <w:color w:val="auto"/>
              </w:rPr>
            </w:pPr>
          </w:p>
        </w:tc>
        <w:tc>
          <w:tcPr>
            <w:tcW w:w="960" w:type="dxa"/>
            <w:vAlign w:val="bottom"/>
            <w:shd w:val="clear" w:color="auto" w:fill="00739D"/>
          </w:tcPr>
          <w:p>
            <w:pPr>
              <w:spacing w:after="0"/>
              <w:rPr>
                <w:sz w:val="8"/>
                <w:szCs w:val="8"/>
                <w:color w:val="auto"/>
              </w:rPr>
            </w:pPr>
          </w:p>
        </w:tc>
        <w:tc>
          <w:tcPr>
            <w:tcW w:w="1060" w:type="dxa"/>
            <w:vAlign w:val="bottom"/>
            <w:shd w:val="clear" w:color="auto" w:fill="00739D"/>
          </w:tcPr>
          <w:p>
            <w:pPr>
              <w:spacing w:after="0"/>
              <w:rPr>
                <w:sz w:val="8"/>
                <w:szCs w:val="8"/>
                <w:color w:val="auto"/>
              </w:rPr>
            </w:pPr>
          </w:p>
        </w:tc>
        <w:tc>
          <w:tcPr>
            <w:tcW w:w="840" w:type="dxa"/>
            <w:vAlign w:val="bottom"/>
            <w:tcBorders>
              <w:right w:val="single" w:sz="8" w:color="00739D"/>
            </w:tcBorders>
            <w:shd w:val="clear" w:color="auto" w:fill="00739D"/>
          </w:tcPr>
          <w:p>
            <w:pPr>
              <w:spacing w:after="0"/>
              <w:rPr>
                <w:sz w:val="8"/>
                <w:szCs w:val="8"/>
                <w:color w:val="auto"/>
              </w:rPr>
            </w:pPr>
          </w:p>
        </w:tc>
        <w:tc>
          <w:tcPr>
            <w:tcW w:w="820" w:type="dxa"/>
            <w:vAlign w:val="bottom"/>
            <w:shd w:val="clear" w:color="auto" w:fill="00739D"/>
          </w:tcPr>
          <w:p>
            <w:pPr>
              <w:spacing w:after="0"/>
              <w:rPr>
                <w:sz w:val="8"/>
                <w:szCs w:val="8"/>
                <w:color w:val="auto"/>
              </w:rPr>
            </w:pPr>
          </w:p>
        </w:tc>
        <w:tc>
          <w:tcPr>
            <w:tcW w:w="920" w:type="dxa"/>
            <w:vAlign w:val="bottom"/>
            <w:shd w:val="clear" w:color="auto" w:fill="00739D"/>
          </w:tcPr>
          <w:p>
            <w:pPr>
              <w:spacing w:after="0"/>
              <w:rPr>
                <w:sz w:val="8"/>
                <w:szCs w:val="8"/>
                <w:color w:val="auto"/>
              </w:rPr>
            </w:pPr>
          </w:p>
        </w:tc>
        <w:tc>
          <w:tcPr>
            <w:tcW w:w="840" w:type="dxa"/>
            <w:vAlign w:val="bottom"/>
            <w:shd w:val="clear" w:color="auto" w:fill="00739D"/>
          </w:tcPr>
          <w:p>
            <w:pPr>
              <w:spacing w:after="0"/>
              <w:rPr>
                <w:sz w:val="8"/>
                <w:szCs w:val="8"/>
                <w:color w:val="auto"/>
              </w:rPr>
            </w:pPr>
          </w:p>
        </w:tc>
        <w:tc>
          <w:tcPr>
            <w:tcW w:w="1080" w:type="dxa"/>
            <w:vAlign w:val="bottom"/>
            <w:shd w:val="clear" w:color="auto" w:fill="00739D"/>
          </w:tcPr>
          <w:p>
            <w:pPr>
              <w:spacing w:after="0"/>
              <w:rPr>
                <w:sz w:val="8"/>
                <w:szCs w:val="8"/>
                <w:color w:val="auto"/>
              </w:rPr>
            </w:pPr>
          </w:p>
        </w:tc>
        <w:tc>
          <w:tcPr>
            <w:tcW w:w="1080" w:type="dxa"/>
            <w:vAlign w:val="bottom"/>
            <w:shd w:val="clear" w:color="auto" w:fill="00739D"/>
          </w:tcPr>
          <w:p>
            <w:pPr>
              <w:spacing w:after="0"/>
              <w:rPr>
                <w:sz w:val="8"/>
                <w:szCs w:val="8"/>
                <w:color w:val="auto"/>
              </w:rPr>
            </w:pPr>
          </w:p>
        </w:tc>
        <w:tc>
          <w:tcPr>
            <w:tcW w:w="140" w:type="dxa"/>
            <w:vAlign w:val="bottom"/>
            <w:shd w:val="clear" w:color="auto" w:fill="00739D"/>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540" w:type="dxa"/>
            <w:vAlign w:val="bottom"/>
          </w:tcPr>
          <w:p>
            <w:pPr>
              <w:ind w:left="100"/>
              <w:spacing w:after="0"/>
              <w:rPr>
                <w:sz w:val="20"/>
                <w:szCs w:val="20"/>
                <w:color w:val="auto"/>
              </w:rPr>
            </w:pPr>
            <w:r>
              <w:rPr>
                <w:rFonts w:ascii="Arial" w:cs="Arial" w:eastAsia="Arial" w:hAnsi="Arial"/>
                <w:sz w:val="13"/>
                <w:szCs w:val="13"/>
                <w:b w:val="1"/>
                <w:bCs w:val="1"/>
                <w:color w:val="0E191E"/>
              </w:rPr>
              <w:t>Mike Rosenbaum</w:t>
            </w: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540" w:type="dxa"/>
            <w:vAlign w:val="bottom"/>
            <w:vMerge w:val="restart"/>
          </w:tcPr>
          <w:p>
            <w:pPr>
              <w:ind w:left="260"/>
              <w:spacing w:after="0"/>
              <w:rPr>
                <w:sz w:val="20"/>
                <w:szCs w:val="20"/>
                <w:color w:val="auto"/>
              </w:rPr>
            </w:pPr>
            <w:r>
              <w:rPr>
                <w:rFonts w:ascii="Arial" w:cs="Arial" w:eastAsia="Arial" w:hAnsi="Arial"/>
                <w:sz w:val="13"/>
                <w:szCs w:val="13"/>
                <w:color w:val="0E191E"/>
              </w:rPr>
              <w:t>Annual Bonus Opportunity</w:t>
            </w:r>
          </w:p>
        </w:tc>
        <w:tc>
          <w:tcPr>
            <w:tcW w:w="960" w:type="dxa"/>
            <w:vAlign w:val="bottom"/>
            <w:tcBorders>
              <w:bottom w:val="single" w:sz="8" w:color="0E191E"/>
            </w:tcBorders>
          </w:tcPr>
          <w:p>
            <w:pPr>
              <w:spacing w:after="0"/>
              <w:rPr>
                <w:sz w:val="2"/>
                <w:szCs w:val="2"/>
                <w:color w:val="auto"/>
              </w:rPr>
            </w:pPr>
          </w:p>
        </w:tc>
        <w:tc>
          <w:tcPr>
            <w:tcW w:w="960" w:type="dxa"/>
            <w:vAlign w:val="bottom"/>
            <w:tcBorders>
              <w:bottom w:val="single" w:sz="8" w:color="0E191E"/>
            </w:tcBorders>
          </w:tcPr>
          <w:p>
            <w:pPr>
              <w:spacing w:after="0"/>
              <w:rPr>
                <w:sz w:val="2"/>
                <w:szCs w:val="2"/>
                <w:color w:val="auto"/>
              </w:rPr>
            </w:pPr>
          </w:p>
        </w:tc>
        <w:tc>
          <w:tcPr>
            <w:tcW w:w="1060" w:type="dxa"/>
            <w:vAlign w:val="bottom"/>
            <w:tcBorders>
              <w:bottom w:val="single" w:sz="8" w:color="0E191E"/>
            </w:tcBorders>
          </w:tcPr>
          <w:p>
            <w:pPr>
              <w:spacing w:after="0"/>
              <w:rPr>
                <w:sz w:val="2"/>
                <w:szCs w:val="2"/>
                <w:color w:val="auto"/>
              </w:rPr>
            </w:pPr>
          </w:p>
        </w:tc>
        <w:tc>
          <w:tcPr>
            <w:tcW w:w="840" w:type="dxa"/>
            <w:vAlign w:val="bottom"/>
            <w:tcBorders>
              <w:bottom w:val="single" w:sz="8" w:color="0E191E"/>
            </w:tcBorders>
          </w:tcPr>
          <w:p>
            <w:pPr>
              <w:spacing w:after="0"/>
              <w:rPr>
                <w:sz w:val="2"/>
                <w:szCs w:val="2"/>
                <w:color w:val="auto"/>
              </w:rPr>
            </w:pPr>
          </w:p>
        </w:tc>
        <w:tc>
          <w:tcPr>
            <w:tcW w:w="820" w:type="dxa"/>
            <w:vAlign w:val="bottom"/>
            <w:tcBorders>
              <w:bottom w:val="single" w:sz="8" w:color="0E191E"/>
            </w:tcBorders>
          </w:tcPr>
          <w:p>
            <w:pPr>
              <w:spacing w:after="0"/>
              <w:rPr>
                <w:sz w:val="2"/>
                <w:szCs w:val="2"/>
                <w:color w:val="auto"/>
              </w:rPr>
            </w:pPr>
          </w:p>
        </w:tc>
        <w:tc>
          <w:tcPr>
            <w:tcW w:w="920" w:type="dxa"/>
            <w:vAlign w:val="bottom"/>
            <w:tcBorders>
              <w:bottom w:val="single" w:sz="8" w:color="0E191E"/>
            </w:tcBorders>
          </w:tcPr>
          <w:p>
            <w:pPr>
              <w:spacing w:after="0"/>
              <w:rPr>
                <w:sz w:val="2"/>
                <w:szCs w:val="2"/>
                <w:color w:val="auto"/>
              </w:rPr>
            </w:pPr>
          </w:p>
        </w:tc>
        <w:tc>
          <w:tcPr>
            <w:tcW w:w="840" w:type="dxa"/>
            <w:vAlign w:val="bottom"/>
            <w:tcBorders>
              <w:bottom w:val="single" w:sz="8" w:color="0E191E"/>
            </w:tcBorders>
          </w:tcPr>
          <w:p>
            <w:pPr>
              <w:spacing w:after="0"/>
              <w:rPr>
                <w:sz w:val="2"/>
                <w:szCs w:val="2"/>
                <w:color w:val="auto"/>
              </w:rPr>
            </w:pPr>
          </w:p>
        </w:tc>
        <w:tc>
          <w:tcPr>
            <w:tcW w:w="1080" w:type="dxa"/>
            <w:vAlign w:val="bottom"/>
            <w:tcBorders>
              <w:bottom w:val="single" w:sz="8" w:color="0E191E"/>
            </w:tcBorders>
          </w:tcPr>
          <w:p>
            <w:pPr>
              <w:spacing w:after="0"/>
              <w:rPr>
                <w:sz w:val="2"/>
                <w:szCs w:val="2"/>
                <w:color w:val="auto"/>
              </w:rPr>
            </w:pPr>
          </w:p>
        </w:tc>
        <w:tc>
          <w:tcPr>
            <w:tcW w:w="1080" w:type="dxa"/>
            <w:vAlign w:val="bottom"/>
            <w:tcBorders>
              <w:bottom w:val="single" w:sz="8" w:color="0E191E"/>
            </w:tcBorders>
          </w:tcPr>
          <w:p>
            <w:pPr>
              <w:spacing w:after="0"/>
              <w:rPr>
                <w:sz w:val="2"/>
                <w:szCs w:val="2"/>
                <w:color w:val="auto"/>
              </w:rPr>
            </w:pPr>
          </w:p>
        </w:tc>
        <w:tc>
          <w:tcPr>
            <w:tcW w:w="140" w:type="dxa"/>
            <w:vAlign w:val="bottom"/>
            <w:tcBorders>
              <w:bottom w:val="single" w:sz="8" w:color="0E191E"/>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54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E191E"/>
              </w:rPr>
              <w:t>375,000</w:t>
            </w:r>
          </w:p>
        </w:tc>
        <w:tc>
          <w:tcPr>
            <w:tcW w:w="1060" w:type="dxa"/>
            <w:vAlign w:val="bottom"/>
          </w:tcPr>
          <w:p>
            <w:pPr>
              <w:jc w:val="right"/>
              <w:ind w:right="153"/>
              <w:spacing w:after="0"/>
              <w:rPr>
                <w:sz w:val="20"/>
                <w:szCs w:val="20"/>
                <w:color w:val="auto"/>
              </w:rPr>
            </w:pPr>
            <w:r>
              <w:rPr>
                <w:rFonts w:ascii="Arial" w:cs="Arial" w:eastAsia="Arial" w:hAnsi="Arial"/>
                <w:sz w:val="13"/>
                <w:szCs w:val="13"/>
                <w:color w:val="0E191E"/>
              </w:rPr>
              <w:t>750,000</w:t>
            </w:r>
          </w:p>
        </w:tc>
        <w:tc>
          <w:tcPr>
            <w:tcW w:w="840" w:type="dxa"/>
            <w:vAlign w:val="bottom"/>
          </w:tcPr>
          <w:p>
            <w:pPr>
              <w:jc w:val="right"/>
              <w:ind w:right="33"/>
              <w:spacing w:after="0"/>
              <w:rPr>
                <w:sz w:val="20"/>
                <w:szCs w:val="20"/>
                <w:color w:val="auto"/>
              </w:rPr>
            </w:pPr>
            <w:r>
              <w:rPr>
                <w:rFonts w:ascii="Arial" w:cs="Arial" w:eastAsia="Arial" w:hAnsi="Arial"/>
                <w:sz w:val="13"/>
                <w:szCs w:val="13"/>
                <w:color w:val="0E191E"/>
              </w:rPr>
              <w:t>1,125,000</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540" w:type="dxa"/>
            <w:vAlign w:val="bottom"/>
            <w:vMerge w:val="restart"/>
          </w:tcPr>
          <w:p>
            <w:pPr>
              <w:ind w:left="260"/>
              <w:spacing w:after="0"/>
              <w:rPr>
                <w:sz w:val="20"/>
                <w:szCs w:val="20"/>
                <w:color w:val="auto"/>
              </w:rPr>
            </w:pPr>
            <w:r>
              <w:rPr>
                <w:rFonts w:ascii="Arial" w:cs="Arial" w:eastAsia="Arial" w:hAnsi="Arial"/>
                <w:sz w:val="13"/>
                <w:szCs w:val="13"/>
                <w:color w:val="0E191E"/>
              </w:rPr>
              <w:t>Performance-Vesting RSUs</w:t>
            </w:r>
            <w:r>
              <w:rPr>
                <w:rFonts w:ascii="Arial" w:cs="Arial" w:eastAsia="Arial" w:hAnsi="Arial"/>
                <w:sz w:val="17"/>
                <w:szCs w:val="17"/>
                <w:color w:val="0E191E"/>
                <w:vertAlign w:val="superscript"/>
              </w:rPr>
              <w:t>(3)</w:t>
            </w:r>
          </w:p>
        </w:tc>
        <w:tc>
          <w:tcPr>
            <w:tcW w:w="960" w:type="dxa"/>
            <w:vAlign w:val="bottom"/>
            <w:tcBorders>
              <w:bottom w:val="single" w:sz="8" w:color="0E191E"/>
            </w:tcBorders>
          </w:tcPr>
          <w:p>
            <w:pPr>
              <w:spacing w:after="0"/>
              <w:rPr>
                <w:sz w:val="2"/>
                <w:szCs w:val="2"/>
                <w:color w:val="auto"/>
              </w:rPr>
            </w:pPr>
          </w:p>
        </w:tc>
        <w:tc>
          <w:tcPr>
            <w:tcW w:w="960" w:type="dxa"/>
            <w:vAlign w:val="bottom"/>
            <w:tcBorders>
              <w:bottom w:val="single" w:sz="8" w:color="0E191E"/>
            </w:tcBorders>
          </w:tcPr>
          <w:p>
            <w:pPr>
              <w:spacing w:after="0"/>
              <w:rPr>
                <w:sz w:val="2"/>
                <w:szCs w:val="2"/>
                <w:color w:val="auto"/>
              </w:rPr>
            </w:pPr>
          </w:p>
        </w:tc>
        <w:tc>
          <w:tcPr>
            <w:tcW w:w="1060" w:type="dxa"/>
            <w:vAlign w:val="bottom"/>
            <w:tcBorders>
              <w:bottom w:val="single" w:sz="8" w:color="0E191E"/>
            </w:tcBorders>
          </w:tcPr>
          <w:p>
            <w:pPr>
              <w:spacing w:after="0"/>
              <w:rPr>
                <w:sz w:val="2"/>
                <w:szCs w:val="2"/>
                <w:color w:val="auto"/>
              </w:rPr>
            </w:pPr>
          </w:p>
        </w:tc>
        <w:tc>
          <w:tcPr>
            <w:tcW w:w="840" w:type="dxa"/>
            <w:vAlign w:val="bottom"/>
            <w:tcBorders>
              <w:bottom w:val="single" w:sz="8" w:color="0E191E"/>
            </w:tcBorders>
          </w:tcPr>
          <w:p>
            <w:pPr>
              <w:spacing w:after="0"/>
              <w:rPr>
                <w:sz w:val="2"/>
                <w:szCs w:val="2"/>
                <w:color w:val="auto"/>
              </w:rPr>
            </w:pPr>
          </w:p>
        </w:tc>
        <w:tc>
          <w:tcPr>
            <w:tcW w:w="820" w:type="dxa"/>
            <w:vAlign w:val="bottom"/>
            <w:tcBorders>
              <w:bottom w:val="single" w:sz="8" w:color="0E191E"/>
            </w:tcBorders>
          </w:tcPr>
          <w:p>
            <w:pPr>
              <w:spacing w:after="0"/>
              <w:rPr>
                <w:sz w:val="2"/>
                <w:szCs w:val="2"/>
                <w:color w:val="auto"/>
              </w:rPr>
            </w:pPr>
          </w:p>
        </w:tc>
        <w:tc>
          <w:tcPr>
            <w:tcW w:w="920" w:type="dxa"/>
            <w:vAlign w:val="bottom"/>
            <w:tcBorders>
              <w:bottom w:val="single" w:sz="8" w:color="0E191E"/>
            </w:tcBorders>
          </w:tcPr>
          <w:p>
            <w:pPr>
              <w:spacing w:after="0"/>
              <w:rPr>
                <w:sz w:val="2"/>
                <w:szCs w:val="2"/>
                <w:color w:val="auto"/>
              </w:rPr>
            </w:pPr>
          </w:p>
        </w:tc>
        <w:tc>
          <w:tcPr>
            <w:tcW w:w="840" w:type="dxa"/>
            <w:vAlign w:val="bottom"/>
            <w:tcBorders>
              <w:bottom w:val="single" w:sz="8" w:color="0E191E"/>
            </w:tcBorders>
          </w:tcPr>
          <w:p>
            <w:pPr>
              <w:spacing w:after="0"/>
              <w:rPr>
                <w:sz w:val="2"/>
                <w:szCs w:val="2"/>
                <w:color w:val="auto"/>
              </w:rPr>
            </w:pPr>
          </w:p>
        </w:tc>
        <w:tc>
          <w:tcPr>
            <w:tcW w:w="1080" w:type="dxa"/>
            <w:vAlign w:val="bottom"/>
            <w:tcBorders>
              <w:bottom w:val="single" w:sz="8" w:color="0E191E"/>
            </w:tcBorders>
          </w:tcPr>
          <w:p>
            <w:pPr>
              <w:spacing w:after="0"/>
              <w:rPr>
                <w:sz w:val="2"/>
                <w:szCs w:val="2"/>
                <w:color w:val="auto"/>
              </w:rPr>
            </w:pPr>
          </w:p>
        </w:tc>
        <w:tc>
          <w:tcPr>
            <w:tcW w:w="1080" w:type="dxa"/>
            <w:vAlign w:val="bottom"/>
            <w:tcBorders>
              <w:bottom w:val="single" w:sz="8" w:color="0E191E"/>
            </w:tcBorders>
          </w:tcPr>
          <w:p>
            <w:pPr>
              <w:spacing w:after="0"/>
              <w:rPr>
                <w:sz w:val="2"/>
                <w:szCs w:val="2"/>
                <w:color w:val="auto"/>
              </w:rPr>
            </w:pPr>
          </w:p>
        </w:tc>
        <w:tc>
          <w:tcPr>
            <w:tcW w:w="140" w:type="dxa"/>
            <w:vAlign w:val="bottom"/>
            <w:tcBorders>
              <w:bottom w:val="single" w:sz="8" w:color="0E191E"/>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40" w:type="dxa"/>
            <w:vAlign w:val="bottom"/>
            <w:vMerge w:val="continue"/>
          </w:tcPr>
          <w:p>
            <w:pPr>
              <w:spacing w:after="0"/>
              <w:rPr>
                <w:sz w:val="18"/>
                <w:szCs w:val="18"/>
                <w:color w:val="auto"/>
              </w:rPr>
            </w:pPr>
          </w:p>
        </w:tc>
        <w:tc>
          <w:tcPr>
            <w:tcW w:w="960" w:type="dxa"/>
            <w:vAlign w:val="bottom"/>
            <w:tcBorders>
              <w:bottom w:val="single" w:sz="8" w:color="0E191E"/>
            </w:tcBorders>
          </w:tcPr>
          <w:p>
            <w:pPr>
              <w:jc w:val="center"/>
              <w:spacing w:after="0"/>
              <w:rPr>
                <w:sz w:val="20"/>
                <w:szCs w:val="20"/>
                <w:color w:val="auto"/>
              </w:rPr>
            </w:pPr>
            <w:r>
              <w:rPr>
                <w:rFonts w:ascii="Arial" w:cs="Arial" w:eastAsia="Arial" w:hAnsi="Arial"/>
                <w:sz w:val="13"/>
                <w:szCs w:val="13"/>
                <w:color w:val="0E191E"/>
              </w:rPr>
              <w:t>9/10/2020</w:t>
            </w:r>
          </w:p>
        </w:tc>
        <w:tc>
          <w:tcPr>
            <w:tcW w:w="960" w:type="dxa"/>
            <w:vAlign w:val="bottom"/>
            <w:tcBorders>
              <w:bottom w:val="single" w:sz="8" w:color="0E191E"/>
            </w:tcBorders>
          </w:tcPr>
          <w:p>
            <w:pPr>
              <w:spacing w:after="0"/>
              <w:rPr>
                <w:sz w:val="18"/>
                <w:szCs w:val="18"/>
                <w:color w:val="auto"/>
              </w:rPr>
            </w:pPr>
          </w:p>
        </w:tc>
        <w:tc>
          <w:tcPr>
            <w:tcW w:w="1060" w:type="dxa"/>
            <w:vAlign w:val="bottom"/>
            <w:tcBorders>
              <w:bottom w:val="single" w:sz="8" w:color="0E191E"/>
            </w:tcBorders>
          </w:tcPr>
          <w:p>
            <w:pPr>
              <w:spacing w:after="0"/>
              <w:rPr>
                <w:sz w:val="18"/>
                <w:szCs w:val="18"/>
                <w:color w:val="auto"/>
              </w:rPr>
            </w:pPr>
          </w:p>
        </w:tc>
        <w:tc>
          <w:tcPr>
            <w:tcW w:w="840" w:type="dxa"/>
            <w:vAlign w:val="bottom"/>
            <w:tcBorders>
              <w:bottom w:val="single" w:sz="8" w:color="0E191E"/>
            </w:tcBorders>
          </w:tcPr>
          <w:p>
            <w:pPr>
              <w:spacing w:after="0"/>
              <w:rPr>
                <w:sz w:val="18"/>
                <w:szCs w:val="18"/>
                <w:color w:val="auto"/>
              </w:rPr>
            </w:pPr>
          </w:p>
        </w:tc>
        <w:tc>
          <w:tcPr>
            <w:tcW w:w="820" w:type="dxa"/>
            <w:vAlign w:val="bottom"/>
            <w:tcBorders>
              <w:bottom w:val="single" w:sz="8" w:color="0E191E"/>
            </w:tcBorders>
          </w:tcPr>
          <w:p>
            <w:pPr>
              <w:jc w:val="center"/>
              <w:ind w:left="13"/>
              <w:spacing w:after="0"/>
              <w:rPr>
                <w:sz w:val="20"/>
                <w:szCs w:val="20"/>
                <w:color w:val="auto"/>
              </w:rPr>
            </w:pPr>
            <w:r>
              <w:rPr>
                <w:rFonts w:ascii="Arial" w:cs="Arial" w:eastAsia="Arial" w:hAnsi="Arial"/>
                <w:sz w:val="13"/>
                <w:szCs w:val="13"/>
                <w:color w:val="0E191E"/>
              </w:rPr>
              <w:t>7,608</w:t>
            </w:r>
          </w:p>
        </w:tc>
        <w:tc>
          <w:tcPr>
            <w:tcW w:w="920" w:type="dxa"/>
            <w:vAlign w:val="bottom"/>
            <w:tcBorders>
              <w:bottom w:val="single" w:sz="8" w:color="0E191E"/>
            </w:tcBorders>
          </w:tcPr>
          <w:p>
            <w:pPr>
              <w:jc w:val="center"/>
              <w:spacing w:after="0"/>
              <w:rPr>
                <w:sz w:val="20"/>
                <w:szCs w:val="20"/>
                <w:color w:val="auto"/>
              </w:rPr>
            </w:pPr>
            <w:r>
              <w:rPr>
                <w:rFonts w:ascii="Arial" w:cs="Arial" w:eastAsia="Arial" w:hAnsi="Arial"/>
                <w:sz w:val="13"/>
                <w:szCs w:val="13"/>
                <w:color w:val="0E191E"/>
              </w:rPr>
              <w:t>15,216</w:t>
            </w:r>
          </w:p>
        </w:tc>
        <w:tc>
          <w:tcPr>
            <w:tcW w:w="840" w:type="dxa"/>
            <w:vAlign w:val="bottom"/>
            <w:tcBorders>
              <w:bottom w:val="single" w:sz="8" w:color="0E191E"/>
            </w:tcBorders>
          </w:tcPr>
          <w:p>
            <w:pPr>
              <w:jc w:val="center"/>
              <w:ind w:right="73"/>
              <w:spacing w:after="0"/>
              <w:rPr>
                <w:sz w:val="20"/>
                <w:szCs w:val="20"/>
                <w:color w:val="auto"/>
              </w:rPr>
            </w:pPr>
            <w:r>
              <w:rPr>
                <w:rFonts w:ascii="Arial" w:cs="Arial" w:eastAsia="Arial" w:hAnsi="Arial"/>
                <w:sz w:val="13"/>
                <w:szCs w:val="13"/>
                <w:color w:val="0E191E"/>
              </w:rPr>
              <w:t>22,823</w:t>
            </w:r>
          </w:p>
        </w:tc>
        <w:tc>
          <w:tcPr>
            <w:tcW w:w="1080" w:type="dxa"/>
            <w:vAlign w:val="bottom"/>
            <w:tcBorders>
              <w:bottom w:val="single" w:sz="8" w:color="0E191E"/>
            </w:tcBorders>
          </w:tcPr>
          <w:p>
            <w:pPr>
              <w:spacing w:after="0"/>
              <w:rPr>
                <w:sz w:val="18"/>
                <w:szCs w:val="18"/>
                <w:color w:val="auto"/>
              </w:rPr>
            </w:pPr>
          </w:p>
        </w:tc>
        <w:tc>
          <w:tcPr>
            <w:tcW w:w="1080" w:type="dxa"/>
            <w:vAlign w:val="bottom"/>
            <w:tcBorders>
              <w:bottom w:val="single" w:sz="8" w:color="0E191E"/>
            </w:tcBorders>
          </w:tcPr>
          <w:p>
            <w:pPr>
              <w:jc w:val="right"/>
              <w:ind w:right="13"/>
              <w:spacing w:after="0"/>
              <w:rPr>
                <w:sz w:val="20"/>
                <w:szCs w:val="20"/>
                <w:color w:val="auto"/>
              </w:rPr>
            </w:pPr>
            <w:r>
              <w:rPr>
                <w:rFonts w:ascii="Arial" w:cs="Arial" w:eastAsia="Arial" w:hAnsi="Arial"/>
                <w:sz w:val="13"/>
                <w:szCs w:val="13"/>
                <w:color w:val="0E191E"/>
              </w:rPr>
              <w:t>1,656,968</w:t>
            </w:r>
          </w:p>
        </w:tc>
        <w:tc>
          <w:tcPr>
            <w:tcW w:w="140" w:type="dxa"/>
            <w:vAlign w:val="bottom"/>
            <w:tcBorders>
              <w:bottom w:val="single" w:sz="8" w:color="0E191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260"/>
              <w:spacing w:after="0"/>
              <w:rPr>
                <w:sz w:val="20"/>
                <w:szCs w:val="20"/>
                <w:color w:val="auto"/>
              </w:rPr>
            </w:pPr>
            <w:r>
              <w:rPr>
                <w:rFonts w:ascii="Arial" w:cs="Arial" w:eastAsia="Arial" w:hAnsi="Arial"/>
                <w:sz w:val="13"/>
                <w:szCs w:val="13"/>
                <w:color w:val="0E191E"/>
              </w:rPr>
              <w:t>Performance-Vesting RSUs</w:t>
            </w:r>
            <w:r>
              <w:rPr>
                <w:rFonts w:ascii="Arial" w:cs="Arial" w:eastAsia="Arial" w:hAnsi="Arial"/>
                <w:sz w:val="17"/>
                <w:szCs w:val="17"/>
                <w:color w:val="0E191E"/>
                <w:vertAlign w:val="superscript"/>
              </w:rPr>
              <w:t>(4)</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E191E"/>
              </w:rPr>
              <w:t>9/10/2020</w:t>
            </w:r>
          </w:p>
        </w:tc>
        <w:tc>
          <w:tcPr>
            <w:tcW w:w="9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color w:val="0E191E"/>
              </w:rPr>
              <w:t>7,608</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E191E"/>
              </w:rPr>
              <w:t>15,216</w:t>
            </w:r>
          </w:p>
        </w:tc>
        <w:tc>
          <w:tcPr>
            <w:tcW w:w="84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color w:val="0E191E"/>
              </w:rPr>
              <w:t>22,823</w:t>
            </w:r>
          </w:p>
        </w:tc>
        <w:tc>
          <w:tcPr>
            <w:tcW w:w="10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0E191E"/>
              </w:rPr>
              <w:t>1,656,968</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260"/>
              <w:spacing w:after="0"/>
              <w:rPr>
                <w:sz w:val="20"/>
                <w:szCs w:val="20"/>
                <w:color w:val="auto"/>
              </w:rPr>
            </w:pPr>
            <w:r>
              <w:rPr>
                <w:rFonts w:ascii="Arial" w:cs="Arial" w:eastAsia="Arial" w:hAnsi="Arial"/>
                <w:sz w:val="13"/>
                <w:szCs w:val="13"/>
                <w:color w:val="0E191E"/>
              </w:rPr>
              <w:t>Time-Vesting RSUs</w:t>
            </w:r>
            <w:r>
              <w:rPr>
                <w:rFonts w:ascii="Arial" w:cs="Arial" w:eastAsia="Arial" w:hAnsi="Arial"/>
                <w:sz w:val="17"/>
                <w:szCs w:val="17"/>
                <w:color w:val="0E191E"/>
                <w:vertAlign w:val="superscript"/>
              </w:rPr>
              <w:t>(5)</w:t>
            </w:r>
          </w:p>
        </w:tc>
        <w:tc>
          <w:tcPr>
            <w:tcW w:w="960" w:type="dxa"/>
            <w:vAlign w:val="bottom"/>
          </w:tcPr>
          <w:p>
            <w:pPr>
              <w:jc w:val="center"/>
              <w:spacing w:after="0"/>
              <w:rPr>
                <w:sz w:val="20"/>
                <w:szCs w:val="20"/>
                <w:color w:val="auto"/>
              </w:rPr>
            </w:pPr>
            <w:r>
              <w:rPr>
                <w:rFonts w:ascii="Arial" w:cs="Arial" w:eastAsia="Arial" w:hAnsi="Arial"/>
                <w:sz w:val="13"/>
                <w:szCs w:val="13"/>
                <w:color w:val="0E191E"/>
              </w:rPr>
              <w:t>9/10/2020</w:t>
            </w: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E191E"/>
              </w:rPr>
              <w:t>30,431</w:t>
            </w:r>
          </w:p>
        </w:tc>
        <w:tc>
          <w:tcPr>
            <w:tcW w:w="1080" w:type="dxa"/>
            <w:vAlign w:val="bottom"/>
          </w:tcPr>
          <w:p>
            <w:pPr>
              <w:jc w:val="right"/>
              <w:ind w:right="13"/>
              <w:spacing w:after="0"/>
              <w:rPr>
                <w:sz w:val="20"/>
                <w:szCs w:val="20"/>
                <w:color w:val="auto"/>
              </w:rPr>
            </w:pPr>
            <w:r>
              <w:rPr>
                <w:rFonts w:ascii="Arial" w:cs="Arial" w:eastAsia="Arial" w:hAnsi="Arial"/>
                <w:sz w:val="13"/>
                <w:szCs w:val="13"/>
                <w:color w:val="0E191E"/>
              </w:rPr>
              <w:t>3,313,936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540" w:type="dxa"/>
            <w:vAlign w:val="bottom"/>
            <w:tcBorders>
              <w:bottom w:val="single" w:sz="8" w:color="E7F1F5"/>
            </w:tcBorders>
            <w:shd w:val="clear" w:color="auto" w:fill="E7F1F5"/>
          </w:tcPr>
          <w:p>
            <w:pPr>
              <w:ind w:left="100"/>
              <w:spacing w:after="0"/>
              <w:rPr>
                <w:sz w:val="20"/>
                <w:szCs w:val="20"/>
                <w:color w:val="auto"/>
              </w:rPr>
            </w:pPr>
            <w:r>
              <w:rPr>
                <w:rFonts w:ascii="Arial" w:cs="Arial" w:eastAsia="Arial" w:hAnsi="Arial"/>
                <w:sz w:val="13"/>
                <w:szCs w:val="13"/>
                <w:b w:val="1"/>
                <w:bCs w:val="1"/>
                <w:color w:val="0E191E"/>
              </w:rPr>
              <w:t>Jeff Cooper</w:t>
            </w:r>
          </w:p>
        </w:tc>
        <w:tc>
          <w:tcPr>
            <w:tcW w:w="960" w:type="dxa"/>
            <w:vAlign w:val="bottom"/>
            <w:tcBorders>
              <w:bottom w:val="single" w:sz="8" w:color="E7F1F5"/>
            </w:tcBorders>
            <w:shd w:val="clear" w:color="auto" w:fill="E7F1F5"/>
          </w:tcPr>
          <w:p>
            <w:pPr>
              <w:spacing w:after="0"/>
              <w:rPr>
                <w:sz w:val="18"/>
                <w:szCs w:val="18"/>
                <w:color w:val="auto"/>
              </w:rPr>
            </w:pPr>
          </w:p>
        </w:tc>
        <w:tc>
          <w:tcPr>
            <w:tcW w:w="960" w:type="dxa"/>
            <w:vAlign w:val="bottom"/>
            <w:tcBorders>
              <w:bottom w:val="single" w:sz="8" w:color="E7F1F5"/>
            </w:tcBorders>
            <w:shd w:val="clear" w:color="auto" w:fill="E7F1F5"/>
          </w:tcPr>
          <w:p>
            <w:pPr>
              <w:spacing w:after="0"/>
              <w:rPr>
                <w:sz w:val="18"/>
                <w:szCs w:val="18"/>
                <w:color w:val="auto"/>
              </w:rPr>
            </w:pPr>
          </w:p>
        </w:tc>
        <w:tc>
          <w:tcPr>
            <w:tcW w:w="1060" w:type="dxa"/>
            <w:vAlign w:val="bottom"/>
            <w:tcBorders>
              <w:bottom w:val="single" w:sz="8" w:color="E7F1F5"/>
            </w:tcBorders>
            <w:shd w:val="clear" w:color="auto" w:fill="E7F1F5"/>
          </w:tcPr>
          <w:p>
            <w:pPr>
              <w:spacing w:after="0"/>
              <w:rPr>
                <w:sz w:val="18"/>
                <w:szCs w:val="18"/>
                <w:color w:val="auto"/>
              </w:rPr>
            </w:pPr>
          </w:p>
        </w:tc>
        <w:tc>
          <w:tcPr>
            <w:tcW w:w="840" w:type="dxa"/>
            <w:vAlign w:val="bottom"/>
            <w:tcBorders>
              <w:bottom w:val="single" w:sz="8" w:color="E7F1F5"/>
              <w:right w:val="single" w:sz="8" w:color="E7F1F5"/>
            </w:tcBorders>
            <w:shd w:val="clear" w:color="auto" w:fill="E7F1F5"/>
          </w:tcPr>
          <w:p>
            <w:pPr>
              <w:spacing w:after="0"/>
              <w:rPr>
                <w:sz w:val="18"/>
                <w:szCs w:val="18"/>
                <w:color w:val="auto"/>
              </w:rPr>
            </w:pPr>
          </w:p>
        </w:tc>
        <w:tc>
          <w:tcPr>
            <w:tcW w:w="820" w:type="dxa"/>
            <w:vAlign w:val="bottom"/>
            <w:tcBorders>
              <w:bottom w:val="single" w:sz="8" w:color="E7F1F5"/>
            </w:tcBorders>
            <w:shd w:val="clear" w:color="auto" w:fill="E7F1F5"/>
          </w:tcPr>
          <w:p>
            <w:pPr>
              <w:spacing w:after="0"/>
              <w:rPr>
                <w:sz w:val="18"/>
                <w:szCs w:val="18"/>
                <w:color w:val="auto"/>
              </w:rPr>
            </w:pPr>
          </w:p>
        </w:tc>
        <w:tc>
          <w:tcPr>
            <w:tcW w:w="920" w:type="dxa"/>
            <w:vAlign w:val="bottom"/>
            <w:tcBorders>
              <w:bottom w:val="single" w:sz="8" w:color="E7F1F5"/>
            </w:tcBorders>
            <w:shd w:val="clear" w:color="auto" w:fill="E7F1F5"/>
          </w:tcPr>
          <w:p>
            <w:pPr>
              <w:spacing w:after="0"/>
              <w:rPr>
                <w:sz w:val="18"/>
                <w:szCs w:val="18"/>
                <w:color w:val="auto"/>
              </w:rPr>
            </w:pPr>
          </w:p>
        </w:tc>
        <w:tc>
          <w:tcPr>
            <w:tcW w:w="840" w:type="dxa"/>
            <w:vAlign w:val="bottom"/>
            <w:tcBorders>
              <w:bottom w:val="single" w:sz="8" w:color="E7F1F5"/>
            </w:tcBorders>
            <w:shd w:val="clear" w:color="auto" w:fill="E7F1F5"/>
          </w:tcPr>
          <w:p>
            <w:pPr>
              <w:spacing w:after="0"/>
              <w:rPr>
                <w:sz w:val="18"/>
                <w:szCs w:val="18"/>
                <w:color w:val="auto"/>
              </w:rPr>
            </w:pPr>
          </w:p>
        </w:tc>
        <w:tc>
          <w:tcPr>
            <w:tcW w:w="1080" w:type="dxa"/>
            <w:vAlign w:val="bottom"/>
            <w:tcBorders>
              <w:bottom w:val="single" w:sz="8" w:color="E7F1F5"/>
            </w:tcBorders>
            <w:shd w:val="clear" w:color="auto" w:fill="E7F1F5"/>
          </w:tcPr>
          <w:p>
            <w:pPr>
              <w:spacing w:after="0"/>
              <w:rPr>
                <w:sz w:val="18"/>
                <w:szCs w:val="18"/>
                <w:color w:val="auto"/>
              </w:rPr>
            </w:pPr>
          </w:p>
        </w:tc>
        <w:tc>
          <w:tcPr>
            <w:tcW w:w="1080" w:type="dxa"/>
            <w:vAlign w:val="bottom"/>
            <w:tcBorders>
              <w:bottom w:val="single" w:sz="8" w:color="E7F1F5"/>
            </w:tcBorders>
            <w:shd w:val="clear" w:color="auto" w:fill="E7F1F5"/>
          </w:tcPr>
          <w:p>
            <w:pPr>
              <w:spacing w:after="0"/>
              <w:rPr>
                <w:sz w:val="18"/>
                <w:szCs w:val="18"/>
                <w:color w:val="auto"/>
              </w:rPr>
            </w:pPr>
          </w:p>
        </w:tc>
        <w:tc>
          <w:tcPr>
            <w:tcW w:w="140" w:type="dxa"/>
            <w:vAlign w:val="bottom"/>
            <w:tcBorders>
              <w:bottom w:val="single" w:sz="8" w:color="E7F1F5"/>
            </w:tcBorders>
            <w:shd w:val="clear" w:color="auto" w:fill="E7F1F5"/>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40" w:type="dxa"/>
            <w:vAlign w:val="bottom"/>
            <w:tcBorders>
              <w:top w:val="single" w:sz="8" w:color="E7F1F5"/>
              <w:bottom w:val="single" w:sz="8" w:color="E7F1F5"/>
            </w:tcBorders>
            <w:shd w:val="clear" w:color="auto" w:fill="E7F1F5"/>
          </w:tcPr>
          <w:p>
            <w:pPr>
              <w:ind w:left="260"/>
              <w:spacing w:after="0"/>
              <w:rPr>
                <w:sz w:val="20"/>
                <w:szCs w:val="20"/>
                <w:color w:val="auto"/>
              </w:rPr>
            </w:pPr>
            <w:r>
              <w:rPr>
                <w:rFonts w:ascii="Arial" w:cs="Arial" w:eastAsia="Arial" w:hAnsi="Arial"/>
                <w:sz w:val="13"/>
                <w:szCs w:val="13"/>
                <w:color w:val="0E191E"/>
              </w:rPr>
              <w:t>Annual Bonus Opportunity</w:t>
            </w:r>
          </w:p>
        </w:tc>
        <w:tc>
          <w:tcPr>
            <w:tcW w:w="960" w:type="dxa"/>
            <w:vAlign w:val="bottom"/>
            <w:tcBorders>
              <w:top w:val="single" w:sz="8" w:color="0E191E"/>
              <w:bottom w:val="single" w:sz="8" w:color="E7F1F5"/>
            </w:tcBorders>
            <w:shd w:val="clear" w:color="auto" w:fill="E7F1F5"/>
          </w:tcPr>
          <w:p>
            <w:pPr>
              <w:spacing w:after="0"/>
              <w:rPr>
                <w:sz w:val="18"/>
                <w:szCs w:val="18"/>
                <w:color w:val="auto"/>
              </w:rPr>
            </w:pPr>
          </w:p>
        </w:tc>
        <w:tc>
          <w:tcPr>
            <w:tcW w:w="960" w:type="dxa"/>
            <w:vAlign w:val="bottom"/>
            <w:tcBorders>
              <w:top w:val="single" w:sz="8" w:color="0E191E"/>
              <w:bottom w:val="single" w:sz="8" w:color="E7F1F5"/>
            </w:tcBorders>
            <w:shd w:val="clear" w:color="auto" w:fill="E7F1F5"/>
          </w:tcPr>
          <w:p>
            <w:pPr>
              <w:jc w:val="right"/>
              <w:spacing w:after="0"/>
              <w:rPr>
                <w:sz w:val="20"/>
                <w:szCs w:val="20"/>
                <w:color w:val="auto"/>
              </w:rPr>
            </w:pPr>
            <w:r>
              <w:rPr>
                <w:rFonts w:ascii="Arial" w:cs="Arial" w:eastAsia="Arial" w:hAnsi="Arial"/>
                <w:sz w:val="13"/>
                <w:szCs w:val="13"/>
                <w:color w:val="0E191E"/>
              </w:rPr>
              <w:t>116,100</w:t>
            </w:r>
          </w:p>
        </w:tc>
        <w:tc>
          <w:tcPr>
            <w:tcW w:w="1060" w:type="dxa"/>
            <w:vAlign w:val="bottom"/>
            <w:tcBorders>
              <w:top w:val="single" w:sz="8" w:color="0E191E"/>
              <w:bottom w:val="single" w:sz="8" w:color="E7F1F5"/>
            </w:tcBorders>
            <w:shd w:val="clear" w:color="auto" w:fill="E7F1F5"/>
          </w:tcPr>
          <w:p>
            <w:pPr>
              <w:jc w:val="right"/>
              <w:ind w:right="153"/>
              <w:spacing w:after="0"/>
              <w:rPr>
                <w:sz w:val="20"/>
                <w:szCs w:val="20"/>
                <w:color w:val="auto"/>
              </w:rPr>
            </w:pPr>
            <w:r>
              <w:rPr>
                <w:rFonts w:ascii="Arial" w:cs="Arial" w:eastAsia="Arial" w:hAnsi="Arial"/>
                <w:sz w:val="13"/>
                <w:szCs w:val="13"/>
                <w:color w:val="0E191E"/>
              </w:rPr>
              <w:t>232,200</w:t>
            </w:r>
          </w:p>
        </w:tc>
        <w:tc>
          <w:tcPr>
            <w:tcW w:w="840" w:type="dxa"/>
            <w:vAlign w:val="bottom"/>
            <w:tcBorders>
              <w:top w:val="single" w:sz="8" w:color="0E191E"/>
              <w:bottom w:val="single" w:sz="8" w:color="E7F1F5"/>
              <w:right w:val="single" w:sz="8" w:color="E7F1F5"/>
            </w:tcBorders>
            <w:shd w:val="clear" w:color="auto" w:fill="E7F1F5"/>
          </w:tcPr>
          <w:p>
            <w:pPr>
              <w:jc w:val="right"/>
              <w:ind w:right="33"/>
              <w:spacing w:after="0"/>
              <w:rPr>
                <w:sz w:val="20"/>
                <w:szCs w:val="20"/>
                <w:color w:val="auto"/>
              </w:rPr>
            </w:pPr>
            <w:r>
              <w:rPr>
                <w:rFonts w:ascii="Arial" w:cs="Arial" w:eastAsia="Arial" w:hAnsi="Arial"/>
                <w:sz w:val="13"/>
                <w:szCs w:val="13"/>
                <w:color w:val="0E191E"/>
              </w:rPr>
              <w:t>348,300</w:t>
            </w:r>
          </w:p>
        </w:tc>
        <w:tc>
          <w:tcPr>
            <w:tcW w:w="820" w:type="dxa"/>
            <w:vAlign w:val="bottom"/>
            <w:tcBorders>
              <w:top w:val="single" w:sz="8" w:color="0E191E"/>
              <w:bottom w:val="single" w:sz="8" w:color="E7F1F5"/>
            </w:tcBorders>
            <w:shd w:val="clear" w:color="auto" w:fill="E7F1F5"/>
          </w:tcPr>
          <w:p>
            <w:pPr>
              <w:spacing w:after="0"/>
              <w:rPr>
                <w:sz w:val="18"/>
                <w:szCs w:val="18"/>
                <w:color w:val="auto"/>
              </w:rPr>
            </w:pPr>
          </w:p>
        </w:tc>
        <w:tc>
          <w:tcPr>
            <w:tcW w:w="920" w:type="dxa"/>
            <w:vAlign w:val="bottom"/>
            <w:tcBorders>
              <w:top w:val="single" w:sz="8" w:color="0E191E"/>
              <w:bottom w:val="single" w:sz="8" w:color="E7F1F5"/>
            </w:tcBorders>
            <w:shd w:val="clear" w:color="auto" w:fill="E7F1F5"/>
          </w:tcPr>
          <w:p>
            <w:pPr>
              <w:spacing w:after="0"/>
              <w:rPr>
                <w:sz w:val="18"/>
                <w:szCs w:val="18"/>
                <w:color w:val="auto"/>
              </w:rPr>
            </w:pPr>
          </w:p>
        </w:tc>
        <w:tc>
          <w:tcPr>
            <w:tcW w:w="840" w:type="dxa"/>
            <w:vAlign w:val="bottom"/>
            <w:tcBorders>
              <w:top w:val="single" w:sz="8" w:color="0E191E"/>
              <w:bottom w:val="single" w:sz="8" w:color="E7F1F5"/>
            </w:tcBorders>
            <w:shd w:val="clear" w:color="auto" w:fill="E7F1F5"/>
          </w:tcPr>
          <w:p>
            <w:pPr>
              <w:spacing w:after="0"/>
              <w:rPr>
                <w:sz w:val="18"/>
                <w:szCs w:val="18"/>
                <w:color w:val="auto"/>
              </w:rPr>
            </w:pPr>
          </w:p>
        </w:tc>
        <w:tc>
          <w:tcPr>
            <w:tcW w:w="1080" w:type="dxa"/>
            <w:vAlign w:val="bottom"/>
            <w:tcBorders>
              <w:top w:val="single" w:sz="8" w:color="0E191E"/>
              <w:bottom w:val="single" w:sz="8" w:color="E7F1F5"/>
            </w:tcBorders>
            <w:shd w:val="clear" w:color="auto" w:fill="E7F1F5"/>
          </w:tcPr>
          <w:p>
            <w:pPr>
              <w:spacing w:after="0"/>
              <w:rPr>
                <w:sz w:val="18"/>
                <w:szCs w:val="18"/>
                <w:color w:val="auto"/>
              </w:rPr>
            </w:pPr>
          </w:p>
        </w:tc>
        <w:tc>
          <w:tcPr>
            <w:tcW w:w="1080" w:type="dxa"/>
            <w:vAlign w:val="bottom"/>
            <w:tcBorders>
              <w:top w:val="single" w:sz="8" w:color="0E191E"/>
              <w:bottom w:val="single" w:sz="8" w:color="E7F1F5"/>
            </w:tcBorders>
            <w:shd w:val="clear" w:color="auto" w:fill="E7F1F5"/>
          </w:tcPr>
          <w:p>
            <w:pPr>
              <w:spacing w:after="0"/>
              <w:rPr>
                <w:sz w:val="18"/>
                <w:szCs w:val="18"/>
                <w:color w:val="auto"/>
              </w:rPr>
            </w:pPr>
          </w:p>
        </w:tc>
        <w:tc>
          <w:tcPr>
            <w:tcW w:w="140" w:type="dxa"/>
            <w:vAlign w:val="bottom"/>
            <w:tcBorders>
              <w:top w:val="single" w:sz="8" w:color="0E191E"/>
              <w:bottom w:val="single" w:sz="8" w:color="E7F1F5"/>
            </w:tcBorders>
            <w:shd w:val="clear" w:color="auto" w:fill="E7F1F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tcBorders>
              <w:top w:val="single" w:sz="8" w:color="E7F1F5"/>
              <w:bottom w:val="single" w:sz="8" w:color="E7F1F5"/>
            </w:tcBorders>
            <w:shd w:val="clear" w:color="auto" w:fill="E7F1F5"/>
          </w:tcPr>
          <w:p>
            <w:pPr>
              <w:ind w:left="260"/>
              <w:spacing w:after="0"/>
              <w:rPr>
                <w:sz w:val="20"/>
                <w:szCs w:val="20"/>
                <w:color w:val="auto"/>
              </w:rPr>
            </w:pPr>
            <w:r>
              <w:rPr>
                <w:rFonts w:ascii="Arial" w:cs="Arial" w:eastAsia="Arial" w:hAnsi="Arial"/>
                <w:sz w:val="13"/>
                <w:szCs w:val="13"/>
                <w:color w:val="0E191E"/>
              </w:rPr>
              <w:t>Performance-Vesting RSUs</w:t>
            </w:r>
            <w:r>
              <w:rPr>
                <w:rFonts w:ascii="Arial" w:cs="Arial" w:eastAsia="Arial" w:hAnsi="Arial"/>
                <w:sz w:val="17"/>
                <w:szCs w:val="17"/>
                <w:color w:val="0E191E"/>
                <w:vertAlign w:val="superscript"/>
              </w:rPr>
              <w:t>(3)</w:t>
            </w:r>
          </w:p>
        </w:tc>
        <w:tc>
          <w:tcPr>
            <w:tcW w:w="960" w:type="dxa"/>
            <w:vAlign w:val="bottom"/>
            <w:tcBorders>
              <w:top w:val="single" w:sz="8" w:color="0E191E"/>
              <w:bottom w:val="single" w:sz="8" w:color="0E191E"/>
            </w:tcBorders>
            <w:shd w:val="clear" w:color="auto" w:fill="E7F1F5"/>
          </w:tcPr>
          <w:p>
            <w:pPr>
              <w:jc w:val="center"/>
              <w:spacing w:after="0"/>
              <w:rPr>
                <w:sz w:val="20"/>
                <w:szCs w:val="20"/>
                <w:color w:val="auto"/>
              </w:rPr>
            </w:pPr>
            <w:r>
              <w:rPr>
                <w:rFonts w:ascii="Arial" w:cs="Arial" w:eastAsia="Arial" w:hAnsi="Arial"/>
                <w:sz w:val="13"/>
                <w:szCs w:val="13"/>
                <w:color w:val="0E191E"/>
              </w:rPr>
              <w:t>9/9/2020</w:t>
            </w:r>
          </w:p>
        </w:tc>
        <w:tc>
          <w:tcPr>
            <w:tcW w:w="960" w:type="dxa"/>
            <w:vAlign w:val="bottom"/>
            <w:tcBorders>
              <w:top w:val="single" w:sz="8" w:color="0E191E"/>
              <w:bottom w:val="single" w:sz="8" w:color="0E191E"/>
            </w:tcBorders>
            <w:shd w:val="clear" w:color="auto" w:fill="E7F1F5"/>
          </w:tcPr>
          <w:p>
            <w:pPr>
              <w:spacing w:after="0"/>
              <w:rPr>
                <w:sz w:val="18"/>
                <w:szCs w:val="18"/>
                <w:color w:val="auto"/>
              </w:rPr>
            </w:pPr>
          </w:p>
        </w:tc>
        <w:tc>
          <w:tcPr>
            <w:tcW w:w="1060" w:type="dxa"/>
            <w:vAlign w:val="bottom"/>
            <w:tcBorders>
              <w:top w:val="single" w:sz="8" w:color="0E191E"/>
              <w:bottom w:val="single" w:sz="8" w:color="0E191E"/>
            </w:tcBorders>
            <w:shd w:val="clear" w:color="auto" w:fill="E7F1F5"/>
          </w:tcPr>
          <w:p>
            <w:pPr>
              <w:spacing w:after="0"/>
              <w:rPr>
                <w:sz w:val="18"/>
                <w:szCs w:val="18"/>
                <w:color w:val="auto"/>
              </w:rPr>
            </w:pPr>
          </w:p>
        </w:tc>
        <w:tc>
          <w:tcPr>
            <w:tcW w:w="840" w:type="dxa"/>
            <w:vAlign w:val="bottom"/>
            <w:tcBorders>
              <w:top w:val="single" w:sz="8" w:color="0E191E"/>
              <w:bottom w:val="single" w:sz="8" w:color="0E191E"/>
              <w:right w:val="single" w:sz="8" w:color="E7F1F5"/>
            </w:tcBorders>
            <w:shd w:val="clear" w:color="auto" w:fill="E7F1F5"/>
          </w:tcPr>
          <w:p>
            <w:pPr>
              <w:spacing w:after="0"/>
              <w:rPr>
                <w:sz w:val="18"/>
                <w:szCs w:val="18"/>
                <w:color w:val="auto"/>
              </w:rPr>
            </w:pPr>
          </w:p>
        </w:tc>
        <w:tc>
          <w:tcPr>
            <w:tcW w:w="820" w:type="dxa"/>
            <w:vAlign w:val="bottom"/>
            <w:tcBorders>
              <w:top w:val="single" w:sz="8" w:color="0E191E"/>
              <w:bottom w:val="single" w:sz="8" w:color="0E191E"/>
            </w:tcBorders>
            <w:shd w:val="clear" w:color="auto" w:fill="E7F1F5"/>
          </w:tcPr>
          <w:p>
            <w:pPr>
              <w:jc w:val="center"/>
              <w:ind w:left="13"/>
              <w:spacing w:after="0"/>
              <w:rPr>
                <w:sz w:val="20"/>
                <w:szCs w:val="20"/>
                <w:color w:val="auto"/>
              </w:rPr>
            </w:pPr>
            <w:r>
              <w:rPr>
                <w:rFonts w:ascii="Arial" w:cs="Arial" w:eastAsia="Arial" w:hAnsi="Arial"/>
                <w:sz w:val="13"/>
                <w:szCs w:val="13"/>
                <w:color w:val="0E191E"/>
              </w:rPr>
              <w:t>1,250</w:t>
            </w:r>
          </w:p>
        </w:tc>
        <w:tc>
          <w:tcPr>
            <w:tcW w:w="920" w:type="dxa"/>
            <w:vAlign w:val="bottom"/>
            <w:tcBorders>
              <w:top w:val="single" w:sz="8" w:color="0E191E"/>
              <w:bottom w:val="single" w:sz="8" w:color="0E191E"/>
            </w:tcBorders>
            <w:shd w:val="clear" w:color="auto" w:fill="E7F1F5"/>
          </w:tcPr>
          <w:p>
            <w:pPr>
              <w:jc w:val="center"/>
              <w:spacing w:after="0"/>
              <w:rPr>
                <w:sz w:val="20"/>
                <w:szCs w:val="20"/>
                <w:color w:val="auto"/>
              </w:rPr>
            </w:pPr>
            <w:r>
              <w:rPr>
                <w:rFonts w:ascii="Arial" w:cs="Arial" w:eastAsia="Arial" w:hAnsi="Arial"/>
                <w:sz w:val="13"/>
                <w:szCs w:val="13"/>
                <w:color w:val="0E191E"/>
              </w:rPr>
              <w:t>2,500</w:t>
            </w:r>
          </w:p>
        </w:tc>
        <w:tc>
          <w:tcPr>
            <w:tcW w:w="840" w:type="dxa"/>
            <w:vAlign w:val="bottom"/>
            <w:tcBorders>
              <w:top w:val="single" w:sz="8" w:color="0E191E"/>
              <w:bottom w:val="single" w:sz="8" w:color="0E191E"/>
            </w:tcBorders>
            <w:shd w:val="clear" w:color="auto" w:fill="E7F1F5"/>
          </w:tcPr>
          <w:p>
            <w:pPr>
              <w:jc w:val="center"/>
              <w:ind w:right="73"/>
              <w:spacing w:after="0"/>
              <w:rPr>
                <w:sz w:val="20"/>
                <w:szCs w:val="20"/>
                <w:color w:val="auto"/>
              </w:rPr>
            </w:pPr>
            <w:r>
              <w:rPr>
                <w:rFonts w:ascii="Arial" w:cs="Arial" w:eastAsia="Arial" w:hAnsi="Arial"/>
                <w:sz w:val="13"/>
                <w:szCs w:val="13"/>
                <w:color w:val="0E191E"/>
              </w:rPr>
              <w:t>3,750</w:t>
            </w:r>
          </w:p>
        </w:tc>
        <w:tc>
          <w:tcPr>
            <w:tcW w:w="1080" w:type="dxa"/>
            <w:vAlign w:val="bottom"/>
            <w:tcBorders>
              <w:top w:val="single" w:sz="8" w:color="0E191E"/>
              <w:bottom w:val="single" w:sz="8" w:color="0E191E"/>
            </w:tcBorders>
            <w:shd w:val="clear" w:color="auto" w:fill="E7F1F5"/>
          </w:tcPr>
          <w:p>
            <w:pPr>
              <w:spacing w:after="0"/>
              <w:rPr>
                <w:sz w:val="18"/>
                <w:szCs w:val="18"/>
                <w:color w:val="auto"/>
              </w:rPr>
            </w:pPr>
          </w:p>
        </w:tc>
        <w:tc>
          <w:tcPr>
            <w:tcW w:w="1080" w:type="dxa"/>
            <w:vAlign w:val="bottom"/>
            <w:tcBorders>
              <w:top w:val="single" w:sz="8" w:color="0E191E"/>
              <w:bottom w:val="single" w:sz="8" w:color="0E191E"/>
            </w:tcBorders>
            <w:shd w:val="clear" w:color="auto" w:fill="E7F1F5"/>
          </w:tcPr>
          <w:p>
            <w:pPr>
              <w:jc w:val="right"/>
              <w:ind w:right="13"/>
              <w:spacing w:after="0"/>
              <w:rPr>
                <w:sz w:val="20"/>
                <w:szCs w:val="20"/>
                <w:color w:val="auto"/>
              </w:rPr>
            </w:pPr>
            <w:r>
              <w:rPr>
                <w:rFonts w:ascii="Arial" w:cs="Arial" w:eastAsia="Arial" w:hAnsi="Arial"/>
                <w:sz w:val="13"/>
                <w:szCs w:val="13"/>
                <w:color w:val="0E191E"/>
              </w:rPr>
              <w:t>279,400</w:t>
            </w:r>
          </w:p>
        </w:tc>
        <w:tc>
          <w:tcPr>
            <w:tcW w:w="140" w:type="dxa"/>
            <w:vAlign w:val="bottom"/>
            <w:tcBorders>
              <w:top w:val="single" w:sz="8" w:color="0E191E"/>
              <w:bottom w:val="single" w:sz="8" w:color="0E191E"/>
            </w:tcBorders>
            <w:shd w:val="clear" w:color="auto" w:fill="E7F1F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Borders>
              <w:bottom w:val="single" w:sz="8" w:color="E7F1F5"/>
            </w:tcBorders>
            <w:shd w:val="clear" w:color="auto" w:fill="E7F1F5"/>
          </w:tcPr>
          <w:p>
            <w:pPr>
              <w:ind w:left="260"/>
              <w:spacing w:after="0"/>
              <w:rPr>
                <w:sz w:val="20"/>
                <w:szCs w:val="20"/>
                <w:color w:val="auto"/>
              </w:rPr>
            </w:pPr>
            <w:r>
              <w:rPr>
                <w:rFonts w:ascii="Arial" w:cs="Arial" w:eastAsia="Arial" w:hAnsi="Arial"/>
                <w:sz w:val="13"/>
                <w:szCs w:val="13"/>
                <w:color w:val="0E191E"/>
              </w:rPr>
              <w:t>Performance-Vesting RSUs</w:t>
            </w:r>
            <w:r>
              <w:rPr>
                <w:rFonts w:ascii="Arial" w:cs="Arial" w:eastAsia="Arial" w:hAnsi="Arial"/>
                <w:sz w:val="17"/>
                <w:szCs w:val="17"/>
                <w:color w:val="0E191E"/>
                <w:vertAlign w:val="superscript"/>
              </w:rPr>
              <w:t>(4)</w:t>
            </w:r>
          </w:p>
        </w:tc>
        <w:tc>
          <w:tcPr>
            <w:tcW w:w="960" w:type="dxa"/>
            <w:vAlign w:val="bottom"/>
            <w:tcBorders>
              <w:bottom w:val="single" w:sz="8" w:color="0E191E"/>
            </w:tcBorders>
            <w:shd w:val="clear" w:color="auto" w:fill="E7F1F5"/>
          </w:tcPr>
          <w:p>
            <w:pPr>
              <w:jc w:val="center"/>
              <w:spacing w:after="0"/>
              <w:rPr>
                <w:sz w:val="20"/>
                <w:szCs w:val="20"/>
                <w:color w:val="auto"/>
              </w:rPr>
            </w:pPr>
            <w:r>
              <w:rPr>
                <w:rFonts w:ascii="Arial" w:cs="Arial" w:eastAsia="Arial" w:hAnsi="Arial"/>
                <w:sz w:val="13"/>
                <w:szCs w:val="13"/>
                <w:color w:val="0E191E"/>
              </w:rPr>
              <w:t>9/9/2020</w:t>
            </w:r>
          </w:p>
        </w:tc>
        <w:tc>
          <w:tcPr>
            <w:tcW w:w="960" w:type="dxa"/>
            <w:vAlign w:val="bottom"/>
            <w:tcBorders>
              <w:bottom w:val="single" w:sz="8" w:color="0E191E"/>
            </w:tcBorders>
            <w:shd w:val="clear" w:color="auto" w:fill="E7F1F5"/>
          </w:tcPr>
          <w:p>
            <w:pPr>
              <w:spacing w:after="0"/>
              <w:rPr>
                <w:sz w:val="18"/>
                <w:szCs w:val="18"/>
                <w:color w:val="auto"/>
              </w:rPr>
            </w:pPr>
          </w:p>
        </w:tc>
        <w:tc>
          <w:tcPr>
            <w:tcW w:w="1060" w:type="dxa"/>
            <w:vAlign w:val="bottom"/>
            <w:tcBorders>
              <w:bottom w:val="single" w:sz="8" w:color="0E191E"/>
            </w:tcBorders>
            <w:shd w:val="clear" w:color="auto" w:fill="E7F1F5"/>
          </w:tcPr>
          <w:p>
            <w:pPr>
              <w:spacing w:after="0"/>
              <w:rPr>
                <w:sz w:val="18"/>
                <w:szCs w:val="18"/>
                <w:color w:val="auto"/>
              </w:rPr>
            </w:pPr>
          </w:p>
        </w:tc>
        <w:tc>
          <w:tcPr>
            <w:tcW w:w="840" w:type="dxa"/>
            <w:vAlign w:val="bottom"/>
            <w:tcBorders>
              <w:bottom w:val="single" w:sz="8" w:color="0E191E"/>
              <w:right w:val="single" w:sz="8" w:color="E7F1F5"/>
            </w:tcBorders>
            <w:shd w:val="clear" w:color="auto" w:fill="E7F1F5"/>
          </w:tcPr>
          <w:p>
            <w:pPr>
              <w:spacing w:after="0"/>
              <w:rPr>
                <w:sz w:val="18"/>
                <w:szCs w:val="18"/>
                <w:color w:val="auto"/>
              </w:rPr>
            </w:pPr>
          </w:p>
        </w:tc>
        <w:tc>
          <w:tcPr>
            <w:tcW w:w="820" w:type="dxa"/>
            <w:vAlign w:val="bottom"/>
            <w:tcBorders>
              <w:bottom w:val="single" w:sz="8" w:color="0E191E"/>
            </w:tcBorders>
            <w:shd w:val="clear" w:color="auto" w:fill="E7F1F5"/>
          </w:tcPr>
          <w:p>
            <w:pPr>
              <w:jc w:val="center"/>
              <w:ind w:left="13"/>
              <w:spacing w:after="0"/>
              <w:rPr>
                <w:sz w:val="20"/>
                <w:szCs w:val="20"/>
                <w:color w:val="auto"/>
              </w:rPr>
            </w:pPr>
            <w:r>
              <w:rPr>
                <w:rFonts w:ascii="Arial" w:cs="Arial" w:eastAsia="Arial" w:hAnsi="Arial"/>
                <w:sz w:val="13"/>
                <w:szCs w:val="13"/>
                <w:color w:val="0E191E"/>
              </w:rPr>
              <w:t>1,250</w:t>
            </w:r>
          </w:p>
        </w:tc>
        <w:tc>
          <w:tcPr>
            <w:tcW w:w="920" w:type="dxa"/>
            <w:vAlign w:val="bottom"/>
            <w:tcBorders>
              <w:bottom w:val="single" w:sz="8" w:color="0E191E"/>
            </w:tcBorders>
            <w:shd w:val="clear" w:color="auto" w:fill="E7F1F5"/>
          </w:tcPr>
          <w:p>
            <w:pPr>
              <w:jc w:val="center"/>
              <w:spacing w:after="0"/>
              <w:rPr>
                <w:sz w:val="20"/>
                <w:szCs w:val="20"/>
                <w:color w:val="auto"/>
              </w:rPr>
            </w:pPr>
            <w:r>
              <w:rPr>
                <w:rFonts w:ascii="Arial" w:cs="Arial" w:eastAsia="Arial" w:hAnsi="Arial"/>
                <w:sz w:val="13"/>
                <w:szCs w:val="13"/>
                <w:color w:val="0E191E"/>
              </w:rPr>
              <w:t>2,500</w:t>
            </w:r>
          </w:p>
        </w:tc>
        <w:tc>
          <w:tcPr>
            <w:tcW w:w="840" w:type="dxa"/>
            <w:vAlign w:val="bottom"/>
            <w:tcBorders>
              <w:bottom w:val="single" w:sz="8" w:color="0E191E"/>
            </w:tcBorders>
            <w:shd w:val="clear" w:color="auto" w:fill="E7F1F5"/>
          </w:tcPr>
          <w:p>
            <w:pPr>
              <w:jc w:val="center"/>
              <w:ind w:right="73"/>
              <w:spacing w:after="0"/>
              <w:rPr>
                <w:sz w:val="20"/>
                <w:szCs w:val="20"/>
                <w:color w:val="auto"/>
              </w:rPr>
            </w:pPr>
            <w:r>
              <w:rPr>
                <w:rFonts w:ascii="Arial" w:cs="Arial" w:eastAsia="Arial" w:hAnsi="Arial"/>
                <w:sz w:val="13"/>
                <w:szCs w:val="13"/>
                <w:color w:val="0E191E"/>
              </w:rPr>
              <w:t>3,750</w:t>
            </w:r>
          </w:p>
        </w:tc>
        <w:tc>
          <w:tcPr>
            <w:tcW w:w="1080" w:type="dxa"/>
            <w:vAlign w:val="bottom"/>
            <w:tcBorders>
              <w:bottom w:val="single" w:sz="8" w:color="0E191E"/>
            </w:tcBorders>
            <w:shd w:val="clear" w:color="auto" w:fill="E7F1F5"/>
          </w:tcPr>
          <w:p>
            <w:pPr>
              <w:spacing w:after="0"/>
              <w:rPr>
                <w:sz w:val="18"/>
                <w:szCs w:val="18"/>
                <w:color w:val="auto"/>
              </w:rPr>
            </w:pPr>
          </w:p>
        </w:tc>
        <w:tc>
          <w:tcPr>
            <w:tcW w:w="1080" w:type="dxa"/>
            <w:vAlign w:val="bottom"/>
            <w:tcBorders>
              <w:bottom w:val="single" w:sz="8" w:color="0E191E"/>
            </w:tcBorders>
            <w:shd w:val="clear" w:color="auto" w:fill="E7F1F5"/>
          </w:tcPr>
          <w:p>
            <w:pPr>
              <w:jc w:val="right"/>
              <w:ind w:right="13"/>
              <w:spacing w:after="0"/>
              <w:rPr>
                <w:sz w:val="20"/>
                <w:szCs w:val="20"/>
                <w:color w:val="auto"/>
              </w:rPr>
            </w:pPr>
            <w:r>
              <w:rPr>
                <w:rFonts w:ascii="Arial" w:cs="Arial" w:eastAsia="Arial" w:hAnsi="Arial"/>
                <w:sz w:val="13"/>
                <w:szCs w:val="13"/>
                <w:color w:val="0E191E"/>
              </w:rPr>
              <w:t>279,400</w:t>
            </w:r>
          </w:p>
        </w:tc>
        <w:tc>
          <w:tcPr>
            <w:tcW w:w="140" w:type="dxa"/>
            <w:vAlign w:val="bottom"/>
            <w:tcBorders>
              <w:bottom w:val="single" w:sz="8" w:color="0E191E"/>
            </w:tcBorders>
            <w:shd w:val="clear" w:color="auto" w:fill="E7F1F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E7F1F5"/>
          </w:tcPr>
          <w:p>
            <w:pPr>
              <w:ind w:left="260"/>
              <w:spacing w:after="0"/>
              <w:rPr>
                <w:sz w:val="20"/>
                <w:szCs w:val="20"/>
                <w:color w:val="auto"/>
              </w:rPr>
            </w:pPr>
            <w:r>
              <w:rPr>
                <w:rFonts w:ascii="Arial" w:cs="Arial" w:eastAsia="Arial" w:hAnsi="Arial"/>
                <w:sz w:val="13"/>
                <w:szCs w:val="13"/>
                <w:color w:val="0E191E"/>
              </w:rPr>
              <w:t>Time-Vesting RSUs</w:t>
            </w:r>
            <w:r>
              <w:rPr>
                <w:rFonts w:ascii="Arial" w:cs="Arial" w:eastAsia="Arial" w:hAnsi="Arial"/>
                <w:sz w:val="17"/>
                <w:szCs w:val="17"/>
                <w:color w:val="0E191E"/>
                <w:vertAlign w:val="superscript"/>
              </w:rPr>
              <w:t>(5)</w:t>
            </w:r>
          </w:p>
        </w:tc>
        <w:tc>
          <w:tcPr>
            <w:tcW w:w="96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9/9/2020</w:t>
            </w:r>
          </w:p>
        </w:tc>
        <w:tc>
          <w:tcPr>
            <w:tcW w:w="960" w:type="dxa"/>
            <w:vAlign w:val="bottom"/>
            <w:shd w:val="clear" w:color="auto" w:fill="E7F1F5"/>
          </w:tcPr>
          <w:p>
            <w:pPr>
              <w:spacing w:after="0"/>
              <w:rPr>
                <w:sz w:val="18"/>
                <w:szCs w:val="18"/>
                <w:color w:val="auto"/>
              </w:rPr>
            </w:pPr>
          </w:p>
        </w:tc>
        <w:tc>
          <w:tcPr>
            <w:tcW w:w="1060" w:type="dxa"/>
            <w:vAlign w:val="bottom"/>
            <w:shd w:val="clear" w:color="auto" w:fill="E7F1F5"/>
          </w:tcPr>
          <w:p>
            <w:pPr>
              <w:spacing w:after="0"/>
              <w:rPr>
                <w:sz w:val="18"/>
                <w:szCs w:val="18"/>
                <w:color w:val="auto"/>
              </w:rPr>
            </w:pPr>
          </w:p>
        </w:tc>
        <w:tc>
          <w:tcPr>
            <w:tcW w:w="840" w:type="dxa"/>
            <w:vAlign w:val="bottom"/>
            <w:tcBorders>
              <w:right w:val="single" w:sz="8" w:color="E7F1F5"/>
            </w:tcBorders>
            <w:shd w:val="clear" w:color="auto" w:fill="E7F1F5"/>
          </w:tcPr>
          <w:p>
            <w:pPr>
              <w:spacing w:after="0"/>
              <w:rPr>
                <w:sz w:val="18"/>
                <w:szCs w:val="18"/>
                <w:color w:val="auto"/>
              </w:rPr>
            </w:pPr>
          </w:p>
        </w:tc>
        <w:tc>
          <w:tcPr>
            <w:tcW w:w="820" w:type="dxa"/>
            <w:vAlign w:val="bottom"/>
            <w:shd w:val="clear" w:color="auto" w:fill="E7F1F5"/>
          </w:tcPr>
          <w:p>
            <w:pPr>
              <w:spacing w:after="0"/>
              <w:rPr>
                <w:sz w:val="18"/>
                <w:szCs w:val="18"/>
                <w:color w:val="auto"/>
              </w:rPr>
            </w:pPr>
          </w:p>
        </w:tc>
        <w:tc>
          <w:tcPr>
            <w:tcW w:w="920" w:type="dxa"/>
            <w:vAlign w:val="bottom"/>
            <w:shd w:val="clear" w:color="auto" w:fill="E7F1F5"/>
          </w:tcPr>
          <w:p>
            <w:pPr>
              <w:spacing w:after="0"/>
              <w:rPr>
                <w:sz w:val="18"/>
                <w:szCs w:val="18"/>
                <w:color w:val="auto"/>
              </w:rPr>
            </w:pPr>
          </w:p>
        </w:tc>
        <w:tc>
          <w:tcPr>
            <w:tcW w:w="840" w:type="dxa"/>
            <w:vAlign w:val="bottom"/>
            <w:shd w:val="clear" w:color="auto" w:fill="E7F1F5"/>
          </w:tcPr>
          <w:p>
            <w:pPr>
              <w:spacing w:after="0"/>
              <w:rPr>
                <w:sz w:val="18"/>
                <w:szCs w:val="18"/>
                <w:color w:val="auto"/>
              </w:rPr>
            </w:pPr>
          </w:p>
        </w:tc>
        <w:tc>
          <w:tcPr>
            <w:tcW w:w="108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5,000</w:t>
            </w:r>
          </w:p>
        </w:tc>
        <w:tc>
          <w:tcPr>
            <w:tcW w:w="1080" w:type="dxa"/>
            <w:vAlign w:val="bottom"/>
            <w:shd w:val="clear" w:color="auto" w:fill="E7F1F5"/>
          </w:tcPr>
          <w:p>
            <w:pPr>
              <w:jc w:val="right"/>
              <w:ind w:right="13"/>
              <w:spacing w:after="0"/>
              <w:rPr>
                <w:sz w:val="20"/>
                <w:szCs w:val="20"/>
                <w:color w:val="auto"/>
              </w:rPr>
            </w:pPr>
            <w:r>
              <w:rPr>
                <w:rFonts w:ascii="Arial" w:cs="Arial" w:eastAsia="Arial" w:hAnsi="Arial"/>
                <w:sz w:val="13"/>
                <w:szCs w:val="13"/>
                <w:color w:val="0E191E"/>
              </w:rPr>
              <w:t>558,800</w:t>
            </w:r>
          </w:p>
        </w:tc>
        <w:tc>
          <w:tcPr>
            <w:tcW w:w="140" w:type="dxa"/>
            <w:vAlign w:val="bottom"/>
            <w:shd w:val="clear" w:color="auto" w:fill="E7F1F5"/>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540" w:type="dxa"/>
            <w:vAlign w:val="bottom"/>
          </w:tcPr>
          <w:p>
            <w:pPr>
              <w:ind w:left="100"/>
              <w:spacing w:after="0"/>
              <w:rPr>
                <w:sz w:val="20"/>
                <w:szCs w:val="20"/>
                <w:color w:val="auto"/>
              </w:rPr>
            </w:pPr>
            <w:r>
              <w:rPr>
                <w:rFonts w:ascii="Arial" w:cs="Arial" w:eastAsia="Arial" w:hAnsi="Arial"/>
                <w:sz w:val="13"/>
                <w:szCs w:val="13"/>
                <w:b w:val="1"/>
                <w:bCs w:val="1"/>
                <w:color w:val="0E191E"/>
              </w:rPr>
              <w:t>Priscilla Hung</w:t>
            </w: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540" w:type="dxa"/>
            <w:vAlign w:val="bottom"/>
            <w:vMerge w:val="restart"/>
          </w:tcPr>
          <w:p>
            <w:pPr>
              <w:ind w:left="260"/>
              <w:spacing w:after="0"/>
              <w:rPr>
                <w:sz w:val="20"/>
                <w:szCs w:val="20"/>
                <w:color w:val="auto"/>
              </w:rPr>
            </w:pPr>
            <w:r>
              <w:rPr>
                <w:rFonts w:ascii="Arial" w:cs="Arial" w:eastAsia="Arial" w:hAnsi="Arial"/>
                <w:sz w:val="13"/>
                <w:szCs w:val="13"/>
                <w:color w:val="0E191E"/>
              </w:rPr>
              <w:t>Annual Bonus Opportunity</w:t>
            </w:r>
          </w:p>
        </w:tc>
        <w:tc>
          <w:tcPr>
            <w:tcW w:w="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54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E191E"/>
              </w:rPr>
              <w:t>151,875</w:t>
            </w:r>
          </w:p>
        </w:tc>
        <w:tc>
          <w:tcPr>
            <w:tcW w:w="1060" w:type="dxa"/>
            <w:vAlign w:val="bottom"/>
          </w:tcPr>
          <w:p>
            <w:pPr>
              <w:jc w:val="right"/>
              <w:ind w:right="153"/>
              <w:spacing w:after="0"/>
              <w:rPr>
                <w:sz w:val="20"/>
                <w:szCs w:val="20"/>
                <w:color w:val="auto"/>
              </w:rPr>
            </w:pPr>
            <w:r>
              <w:rPr>
                <w:rFonts w:ascii="Arial" w:cs="Arial" w:eastAsia="Arial" w:hAnsi="Arial"/>
                <w:sz w:val="13"/>
                <w:szCs w:val="13"/>
                <w:color w:val="0E191E"/>
              </w:rPr>
              <w:t>303,750</w:t>
            </w:r>
          </w:p>
        </w:tc>
        <w:tc>
          <w:tcPr>
            <w:tcW w:w="840" w:type="dxa"/>
            <w:vAlign w:val="bottom"/>
          </w:tcPr>
          <w:p>
            <w:pPr>
              <w:jc w:val="right"/>
              <w:ind w:right="33"/>
              <w:spacing w:after="0"/>
              <w:rPr>
                <w:sz w:val="20"/>
                <w:szCs w:val="20"/>
                <w:color w:val="auto"/>
              </w:rPr>
            </w:pPr>
            <w:r>
              <w:rPr>
                <w:rFonts w:ascii="Arial" w:cs="Arial" w:eastAsia="Arial" w:hAnsi="Arial"/>
                <w:sz w:val="13"/>
                <w:szCs w:val="13"/>
                <w:color w:val="0E191E"/>
              </w:rPr>
              <w:t>455,625</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540" w:type="dxa"/>
            <w:vAlign w:val="bottom"/>
            <w:vMerge w:val="restart"/>
          </w:tcPr>
          <w:p>
            <w:pPr>
              <w:ind w:left="260"/>
              <w:spacing w:after="0"/>
              <w:rPr>
                <w:sz w:val="20"/>
                <w:szCs w:val="20"/>
                <w:color w:val="auto"/>
              </w:rPr>
            </w:pPr>
            <w:r>
              <w:rPr>
                <w:rFonts w:ascii="Arial" w:cs="Arial" w:eastAsia="Arial" w:hAnsi="Arial"/>
                <w:sz w:val="13"/>
                <w:szCs w:val="13"/>
                <w:color w:val="0E191E"/>
              </w:rPr>
              <w:t>Performance-Vesting RSUs</w:t>
            </w:r>
            <w:r>
              <w:rPr>
                <w:rFonts w:ascii="Arial" w:cs="Arial" w:eastAsia="Arial" w:hAnsi="Arial"/>
                <w:sz w:val="17"/>
                <w:szCs w:val="17"/>
                <w:color w:val="0E191E"/>
                <w:vertAlign w:val="superscript"/>
              </w:rPr>
              <w:t>(3)</w:t>
            </w:r>
          </w:p>
        </w:tc>
        <w:tc>
          <w:tcPr>
            <w:tcW w:w="960" w:type="dxa"/>
            <w:vAlign w:val="bottom"/>
            <w:tcBorders>
              <w:bottom w:val="single" w:sz="8" w:color="0E191E"/>
            </w:tcBorders>
          </w:tcPr>
          <w:p>
            <w:pPr>
              <w:spacing w:after="0"/>
              <w:rPr>
                <w:sz w:val="2"/>
                <w:szCs w:val="2"/>
                <w:color w:val="auto"/>
              </w:rPr>
            </w:pPr>
          </w:p>
        </w:tc>
        <w:tc>
          <w:tcPr>
            <w:tcW w:w="960" w:type="dxa"/>
            <w:vAlign w:val="bottom"/>
            <w:tcBorders>
              <w:bottom w:val="single" w:sz="8" w:color="0E191E"/>
            </w:tcBorders>
          </w:tcPr>
          <w:p>
            <w:pPr>
              <w:spacing w:after="0"/>
              <w:rPr>
                <w:sz w:val="2"/>
                <w:szCs w:val="2"/>
                <w:color w:val="auto"/>
              </w:rPr>
            </w:pPr>
          </w:p>
        </w:tc>
        <w:tc>
          <w:tcPr>
            <w:tcW w:w="1060" w:type="dxa"/>
            <w:vAlign w:val="bottom"/>
            <w:tcBorders>
              <w:bottom w:val="single" w:sz="8" w:color="0E191E"/>
            </w:tcBorders>
          </w:tcPr>
          <w:p>
            <w:pPr>
              <w:spacing w:after="0"/>
              <w:rPr>
                <w:sz w:val="2"/>
                <w:szCs w:val="2"/>
                <w:color w:val="auto"/>
              </w:rPr>
            </w:pPr>
          </w:p>
        </w:tc>
        <w:tc>
          <w:tcPr>
            <w:tcW w:w="840" w:type="dxa"/>
            <w:vAlign w:val="bottom"/>
            <w:tcBorders>
              <w:bottom w:val="single" w:sz="8" w:color="0E191E"/>
            </w:tcBorders>
          </w:tcPr>
          <w:p>
            <w:pPr>
              <w:spacing w:after="0"/>
              <w:rPr>
                <w:sz w:val="2"/>
                <w:szCs w:val="2"/>
                <w:color w:val="auto"/>
              </w:rPr>
            </w:pPr>
          </w:p>
        </w:tc>
        <w:tc>
          <w:tcPr>
            <w:tcW w:w="820" w:type="dxa"/>
            <w:vAlign w:val="bottom"/>
            <w:tcBorders>
              <w:bottom w:val="single" w:sz="8" w:color="0E191E"/>
            </w:tcBorders>
          </w:tcPr>
          <w:p>
            <w:pPr>
              <w:spacing w:after="0"/>
              <w:rPr>
                <w:sz w:val="2"/>
                <w:szCs w:val="2"/>
                <w:color w:val="auto"/>
              </w:rPr>
            </w:pPr>
          </w:p>
        </w:tc>
        <w:tc>
          <w:tcPr>
            <w:tcW w:w="920" w:type="dxa"/>
            <w:vAlign w:val="bottom"/>
            <w:tcBorders>
              <w:bottom w:val="single" w:sz="8" w:color="0E191E"/>
            </w:tcBorders>
          </w:tcPr>
          <w:p>
            <w:pPr>
              <w:spacing w:after="0"/>
              <w:rPr>
                <w:sz w:val="2"/>
                <w:szCs w:val="2"/>
                <w:color w:val="auto"/>
              </w:rPr>
            </w:pPr>
          </w:p>
        </w:tc>
        <w:tc>
          <w:tcPr>
            <w:tcW w:w="840" w:type="dxa"/>
            <w:vAlign w:val="bottom"/>
            <w:tcBorders>
              <w:bottom w:val="single" w:sz="8" w:color="0E191E"/>
            </w:tcBorders>
          </w:tcPr>
          <w:p>
            <w:pPr>
              <w:spacing w:after="0"/>
              <w:rPr>
                <w:sz w:val="2"/>
                <w:szCs w:val="2"/>
                <w:color w:val="auto"/>
              </w:rPr>
            </w:pPr>
          </w:p>
        </w:tc>
        <w:tc>
          <w:tcPr>
            <w:tcW w:w="1080" w:type="dxa"/>
            <w:vAlign w:val="bottom"/>
            <w:tcBorders>
              <w:bottom w:val="single" w:sz="8" w:color="0E191E"/>
            </w:tcBorders>
          </w:tcPr>
          <w:p>
            <w:pPr>
              <w:spacing w:after="0"/>
              <w:rPr>
                <w:sz w:val="2"/>
                <w:szCs w:val="2"/>
                <w:color w:val="auto"/>
              </w:rPr>
            </w:pPr>
          </w:p>
        </w:tc>
        <w:tc>
          <w:tcPr>
            <w:tcW w:w="1080" w:type="dxa"/>
            <w:vAlign w:val="bottom"/>
            <w:tcBorders>
              <w:bottom w:val="single" w:sz="8" w:color="0E191E"/>
            </w:tcBorders>
          </w:tcPr>
          <w:p>
            <w:pPr>
              <w:spacing w:after="0"/>
              <w:rPr>
                <w:sz w:val="2"/>
                <w:szCs w:val="2"/>
                <w:color w:val="auto"/>
              </w:rPr>
            </w:pPr>
          </w:p>
        </w:tc>
        <w:tc>
          <w:tcPr>
            <w:tcW w:w="140" w:type="dxa"/>
            <w:vAlign w:val="bottom"/>
            <w:tcBorders>
              <w:bottom w:val="single" w:sz="8" w:color="0E191E"/>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40" w:type="dxa"/>
            <w:vAlign w:val="bottom"/>
            <w:vMerge w:val="continue"/>
          </w:tcPr>
          <w:p>
            <w:pPr>
              <w:spacing w:after="0"/>
              <w:rPr>
                <w:sz w:val="18"/>
                <w:szCs w:val="18"/>
                <w:color w:val="auto"/>
              </w:rPr>
            </w:pPr>
          </w:p>
        </w:tc>
        <w:tc>
          <w:tcPr>
            <w:tcW w:w="960" w:type="dxa"/>
            <w:vAlign w:val="bottom"/>
            <w:tcBorders>
              <w:bottom w:val="single" w:sz="8" w:color="0E191E"/>
            </w:tcBorders>
          </w:tcPr>
          <w:p>
            <w:pPr>
              <w:jc w:val="center"/>
              <w:spacing w:after="0"/>
              <w:rPr>
                <w:sz w:val="20"/>
                <w:szCs w:val="20"/>
                <w:color w:val="auto"/>
              </w:rPr>
            </w:pPr>
            <w:r>
              <w:rPr>
                <w:rFonts w:ascii="Arial" w:cs="Arial" w:eastAsia="Arial" w:hAnsi="Arial"/>
                <w:sz w:val="13"/>
                <w:szCs w:val="13"/>
                <w:color w:val="0E191E"/>
              </w:rPr>
              <w:t>9/9/2020</w:t>
            </w:r>
          </w:p>
        </w:tc>
        <w:tc>
          <w:tcPr>
            <w:tcW w:w="960" w:type="dxa"/>
            <w:vAlign w:val="bottom"/>
            <w:tcBorders>
              <w:bottom w:val="single" w:sz="8" w:color="0E191E"/>
            </w:tcBorders>
          </w:tcPr>
          <w:p>
            <w:pPr>
              <w:spacing w:after="0"/>
              <w:rPr>
                <w:sz w:val="18"/>
                <w:szCs w:val="18"/>
                <w:color w:val="auto"/>
              </w:rPr>
            </w:pPr>
          </w:p>
        </w:tc>
        <w:tc>
          <w:tcPr>
            <w:tcW w:w="1060" w:type="dxa"/>
            <w:vAlign w:val="bottom"/>
            <w:tcBorders>
              <w:bottom w:val="single" w:sz="8" w:color="0E191E"/>
            </w:tcBorders>
          </w:tcPr>
          <w:p>
            <w:pPr>
              <w:spacing w:after="0"/>
              <w:rPr>
                <w:sz w:val="18"/>
                <w:szCs w:val="18"/>
                <w:color w:val="auto"/>
              </w:rPr>
            </w:pPr>
          </w:p>
        </w:tc>
        <w:tc>
          <w:tcPr>
            <w:tcW w:w="840" w:type="dxa"/>
            <w:vAlign w:val="bottom"/>
            <w:tcBorders>
              <w:bottom w:val="single" w:sz="8" w:color="0E191E"/>
            </w:tcBorders>
          </w:tcPr>
          <w:p>
            <w:pPr>
              <w:spacing w:after="0"/>
              <w:rPr>
                <w:sz w:val="18"/>
                <w:szCs w:val="18"/>
                <w:color w:val="auto"/>
              </w:rPr>
            </w:pPr>
          </w:p>
        </w:tc>
        <w:tc>
          <w:tcPr>
            <w:tcW w:w="820" w:type="dxa"/>
            <w:vAlign w:val="bottom"/>
            <w:tcBorders>
              <w:bottom w:val="single" w:sz="8" w:color="0E191E"/>
            </w:tcBorders>
          </w:tcPr>
          <w:p>
            <w:pPr>
              <w:jc w:val="center"/>
              <w:ind w:left="13"/>
              <w:spacing w:after="0"/>
              <w:rPr>
                <w:sz w:val="20"/>
                <w:szCs w:val="20"/>
                <w:color w:val="auto"/>
              </w:rPr>
            </w:pPr>
            <w:r>
              <w:rPr>
                <w:rFonts w:ascii="Arial" w:cs="Arial" w:eastAsia="Arial" w:hAnsi="Arial"/>
                <w:sz w:val="13"/>
                <w:szCs w:val="13"/>
                <w:color w:val="0E191E"/>
              </w:rPr>
              <w:t>3,750</w:t>
            </w:r>
          </w:p>
        </w:tc>
        <w:tc>
          <w:tcPr>
            <w:tcW w:w="920" w:type="dxa"/>
            <w:vAlign w:val="bottom"/>
            <w:tcBorders>
              <w:bottom w:val="single" w:sz="8" w:color="0E191E"/>
            </w:tcBorders>
          </w:tcPr>
          <w:p>
            <w:pPr>
              <w:jc w:val="center"/>
              <w:spacing w:after="0"/>
              <w:rPr>
                <w:sz w:val="20"/>
                <w:szCs w:val="20"/>
                <w:color w:val="auto"/>
              </w:rPr>
            </w:pPr>
            <w:r>
              <w:rPr>
                <w:rFonts w:ascii="Arial" w:cs="Arial" w:eastAsia="Arial" w:hAnsi="Arial"/>
                <w:sz w:val="13"/>
                <w:szCs w:val="13"/>
                <w:color w:val="0E191E"/>
              </w:rPr>
              <w:t>7,500</w:t>
            </w:r>
          </w:p>
        </w:tc>
        <w:tc>
          <w:tcPr>
            <w:tcW w:w="840" w:type="dxa"/>
            <w:vAlign w:val="bottom"/>
            <w:tcBorders>
              <w:bottom w:val="single" w:sz="8" w:color="0E191E"/>
            </w:tcBorders>
          </w:tcPr>
          <w:p>
            <w:pPr>
              <w:jc w:val="center"/>
              <w:ind w:right="73"/>
              <w:spacing w:after="0"/>
              <w:rPr>
                <w:sz w:val="20"/>
                <w:szCs w:val="20"/>
                <w:color w:val="auto"/>
              </w:rPr>
            </w:pPr>
            <w:r>
              <w:rPr>
                <w:rFonts w:ascii="Arial" w:cs="Arial" w:eastAsia="Arial" w:hAnsi="Arial"/>
                <w:sz w:val="13"/>
                <w:szCs w:val="13"/>
                <w:color w:val="0E191E"/>
              </w:rPr>
              <w:t>11,250</w:t>
            </w:r>
          </w:p>
        </w:tc>
        <w:tc>
          <w:tcPr>
            <w:tcW w:w="1080" w:type="dxa"/>
            <w:vAlign w:val="bottom"/>
            <w:tcBorders>
              <w:bottom w:val="single" w:sz="8" w:color="0E191E"/>
            </w:tcBorders>
          </w:tcPr>
          <w:p>
            <w:pPr>
              <w:spacing w:after="0"/>
              <w:rPr>
                <w:sz w:val="18"/>
                <w:szCs w:val="18"/>
                <w:color w:val="auto"/>
              </w:rPr>
            </w:pPr>
          </w:p>
        </w:tc>
        <w:tc>
          <w:tcPr>
            <w:tcW w:w="1080" w:type="dxa"/>
            <w:vAlign w:val="bottom"/>
            <w:tcBorders>
              <w:bottom w:val="single" w:sz="8" w:color="0E191E"/>
            </w:tcBorders>
          </w:tcPr>
          <w:p>
            <w:pPr>
              <w:jc w:val="right"/>
              <w:ind w:right="13"/>
              <w:spacing w:after="0"/>
              <w:rPr>
                <w:sz w:val="20"/>
                <w:szCs w:val="20"/>
                <w:color w:val="auto"/>
              </w:rPr>
            </w:pPr>
            <w:r>
              <w:rPr>
                <w:rFonts w:ascii="Arial" w:cs="Arial" w:eastAsia="Arial" w:hAnsi="Arial"/>
                <w:sz w:val="13"/>
                <w:szCs w:val="13"/>
                <w:color w:val="0E191E"/>
              </w:rPr>
              <w:t>838,200</w:t>
            </w:r>
          </w:p>
        </w:tc>
        <w:tc>
          <w:tcPr>
            <w:tcW w:w="140" w:type="dxa"/>
            <w:vAlign w:val="bottom"/>
            <w:tcBorders>
              <w:bottom w:val="single" w:sz="8" w:color="0E191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260"/>
              <w:spacing w:after="0"/>
              <w:rPr>
                <w:sz w:val="20"/>
                <w:szCs w:val="20"/>
                <w:color w:val="auto"/>
              </w:rPr>
            </w:pPr>
            <w:r>
              <w:rPr>
                <w:rFonts w:ascii="Arial" w:cs="Arial" w:eastAsia="Arial" w:hAnsi="Arial"/>
                <w:sz w:val="13"/>
                <w:szCs w:val="13"/>
                <w:color w:val="0E191E"/>
              </w:rPr>
              <w:t>Performance-Vesting RSUs</w:t>
            </w:r>
            <w:r>
              <w:rPr>
                <w:rFonts w:ascii="Arial" w:cs="Arial" w:eastAsia="Arial" w:hAnsi="Arial"/>
                <w:sz w:val="17"/>
                <w:szCs w:val="17"/>
                <w:color w:val="0E191E"/>
                <w:vertAlign w:val="superscript"/>
              </w:rPr>
              <w:t>(4)</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E191E"/>
              </w:rPr>
              <w:t>9/9/2020</w:t>
            </w:r>
          </w:p>
        </w:tc>
        <w:tc>
          <w:tcPr>
            <w:tcW w:w="9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color w:val="0E191E"/>
              </w:rPr>
              <w:t>3,750</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E191E"/>
              </w:rPr>
              <w:t>7,500</w:t>
            </w:r>
          </w:p>
        </w:tc>
        <w:tc>
          <w:tcPr>
            <w:tcW w:w="84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color w:val="0E191E"/>
              </w:rPr>
              <w:t>11,250</w:t>
            </w:r>
          </w:p>
        </w:tc>
        <w:tc>
          <w:tcPr>
            <w:tcW w:w="10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0E191E"/>
              </w:rPr>
              <w:t>838,200</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Pr>
          <w:p>
            <w:pPr>
              <w:ind w:left="260"/>
              <w:spacing w:after="0"/>
              <w:rPr>
                <w:sz w:val="20"/>
                <w:szCs w:val="20"/>
                <w:color w:val="auto"/>
              </w:rPr>
            </w:pPr>
            <w:r>
              <w:rPr>
                <w:rFonts w:ascii="Arial" w:cs="Arial" w:eastAsia="Arial" w:hAnsi="Arial"/>
                <w:sz w:val="13"/>
                <w:szCs w:val="13"/>
                <w:color w:val="0E191E"/>
              </w:rPr>
              <w:t>Time-Vesting RSUs</w:t>
            </w:r>
            <w:r>
              <w:rPr>
                <w:rFonts w:ascii="Arial" w:cs="Arial" w:eastAsia="Arial" w:hAnsi="Arial"/>
                <w:sz w:val="17"/>
                <w:szCs w:val="17"/>
                <w:color w:val="0E191E"/>
                <w:vertAlign w:val="superscript"/>
              </w:rPr>
              <w:t>(5)</w:t>
            </w:r>
          </w:p>
        </w:tc>
        <w:tc>
          <w:tcPr>
            <w:tcW w:w="960" w:type="dxa"/>
            <w:vAlign w:val="bottom"/>
          </w:tcPr>
          <w:p>
            <w:pPr>
              <w:jc w:val="center"/>
              <w:spacing w:after="0"/>
              <w:rPr>
                <w:sz w:val="20"/>
                <w:szCs w:val="20"/>
                <w:color w:val="auto"/>
              </w:rPr>
            </w:pPr>
            <w:r>
              <w:rPr>
                <w:rFonts w:ascii="Arial" w:cs="Arial" w:eastAsia="Arial" w:hAnsi="Arial"/>
                <w:sz w:val="13"/>
                <w:szCs w:val="13"/>
                <w:color w:val="0E191E"/>
              </w:rPr>
              <w:t>9/9/2020</w:t>
            </w: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E191E"/>
              </w:rPr>
              <w:t>15,000</w:t>
            </w:r>
          </w:p>
        </w:tc>
        <w:tc>
          <w:tcPr>
            <w:tcW w:w="1080" w:type="dxa"/>
            <w:vAlign w:val="bottom"/>
          </w:tcPr>
          <w:p>
            <w:pPr>
              <w:jc w:val="right"/>
              <w:ind w:right="13"/>
              <w:spacing w:after="0"/>
              <w:rPr>
                <w:sz w:val="20"/>
                <w:szCs w:val="20"/>
                <w:color w:val="auto"/>
              </w:rPr>
            </w:pPr>
            <w:r>
              <w:rPr>
                <w:rFonts w:ascii="Arial" w:cs="Arial" w:eastAsia="Arial" w:hAnsi="Arial"/>
                <w:sz w:val="13"/>
                <w:szCs w:val="13"/>
                <w:color w:val="0E191E"/>
              </w:rPr>
              <w:t>1,676,400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540" w:type="dxa"/>
            <w:vAlign w:val="bottom"/>
            <w:tcBorders>
              <w:bottom w:val="single" w:sz="8" w:color="E7F1F5"/>
            </w:tcBorders>
            <w:shd w:val="clear" w:color="auto" w:fill="E7F1F5"/>
          </w:tcPr>
          <w:p>
            <w:pPr>
              <w:ind w:left="100"/>
              <w:spacing w:after="0"/>
              <w:rPr>
                <w:sz w:val="20"/>
                <w:szCs w:val="20"/>
                <w:color w:val="auto"/>
              </w:rPr>
            </w:pPr>
            <w:r>
              <w:rPr>
                <w:rFonts w:ascii="Arial" w:cs="Arial" w:eastAsia="Arial" w:hAnsi="Arial"/>
                <w:sz w:val="13"/>
                <w:szCs w:val="13"/>
                <w:b w:val="1"/>
                <w:bCs w:val="1"/>
                <w:color w:val="0E191E"/>
              </w:rPr>
              <w:t>Frank O'Dowd</w:t>
            </w:r>
          </w:p>
        </w:tc>
        <w:tc>
          <w:tcPr>
            <w:tcW w:w="960" w:type="dxa"/>
            <w:vAlign w:val="bottom"/>
            <w:tcBorders>
              <w:bottom w:val="single" w:sz="8" w:color="E7F1F5"/>
            </w:tcBorders>
            <w:shd w:val="clear" w:color="auto" w:fill="E7F1F5"/>
          </w:tcPr>
          <w:p>
            <w:pPr>
              <w:spacing w:after="0"/>
              <w:rPr>
                <w:sz w:val="18"/>
                <w:szCs w:val="18"/>
                <w:color w:val="auto"/>
              </w:rPr>
            </w:pPr>
          </w:p>
        </w:tc>
        <w:tc>
          <w:tcPr>
            <w:tcW w:w="960" w:type="dxa"/>
            <w:vAlign w:val="bottom"/>
            <w:tcBorders>
              <w:bottom w:val="single" w:sz="8" w:color="E7F1F5"/>
            </w:tcBorders>
            <w:shd w:val="clear" w:color="auto" w:fill="E7F1F5"/>
          </w:tcPr>
          <w:p>
            <w:pPr>
              <w:spacing w:after="0"/>
              <w:rPr>
                <w:sz w:val="18"/>
                <w:szCs w:val="18"/>
                <w:color w:val="auto"/>
              </w:rPr>
            </w:pPr>
          </w:p>
        </w:tc>
        <w:tc>
          <w:tcPr>
            <w:tcW w:w="1060" w:type="dxa"/>
            <w:vAlign w:val="bottom"/>
            <w:tcBorders>
              <w:bottom w:val="single" w:sz="8" w:color="E7F1F5"/>
            </w:tcBorders>
            <w:shd w:val="clear" w:color="auto" w:fill="E7F1F5"/>
          </w:tcPr>
          <w:p>
            <w:pPr>
              <w:spacing w:after="0"/>
              <w:rPr>
                <w:sz w:val="18"/>
                <w:szCs w:val="18"/>
                <w:color w:val="auto"/>
              </w:rPr>
            </w:pPr>
          </w:p>
        </w:tc>
        <w:tc>
          <w:tcPr>
            <w:tcW w:w="840" w:type="dxa"/>
            <w:vAlign w:val="bottom"/>
            <w:tcBorders>
              <w:bottom w:val="single" w:sz="8" w:color="E7F1F5"/>
              <w:right w:val="single" w:sz="8" w:color="E7F1F5"/>
            </w:tcBorders>
            <w:shd w:val="clear" w:color="auto" w:fill="E7F1F5"/>
          </w:tcPr>
          <w:p>
            <w:pPr>
              <w:spacing w:after="0"/>
              <w:rPr>
                <w:sz w:val="18"/>
                <w:szCs w:val="18"/>
                <w:color w:val="auto"/>
              </w:rPr>
            </w:pPr>
          </w:p>
        </w:tc>
        <w:tc>
          <w:tcPr>
            <w:tcW w:w="820" w:type="dxa"/>
            <w:vAlign w:val="bottom"/>
            <w:tcBorders>
              <w:bottom w:val="single" w:sz="8" w:color="E7F1F5"/>
            </w:tcBorders>
            <w:shd w:val="clear" w:color="auto" w:fill="E7F1F5"/>
          </w:tcPr>
          <w:p>
            <w:pPr>
              <w:spacing w:after="0"/>
              <w:rPr>
                <w:sz w:val="18"/>
                <w:szCs w:val="18"/>
                <w:color w:val="auto"/>
              </w:rPr>
            </w:pPr>
          </w:p>
        </w:tc>
        <w:tc>
          <w:tcPr>
            <w:tcW w:w="920" w:type="dxa"/>
            <w:vAlign w:val="bottom"/>
            <w:tcBorders>
              <w:bottom w:val="single" w:sz="8" w:color="E7F1F5"/>
            </w:tcBorders>
            <w:shd w:val="clear" w:color="auto" w:fill="E7F1F5"/>
          </w:tcPr>
          <w:p>
            <w:pPr>
              <w:spacing w:after="0"/>
              <w:rPr>
                <w:sz w:val="18"/>
                <w:szCs w:val="18"/>
                <w:color w:val="auto"/>
              </w:rPr>
            </w:pPr>
          </w:p>
        </w:tc>
        <w:tc>
          <w:tcPr>
            <w:tcW w:w="840" w:type="dxa"/>
            <w:vAlign w:val="bottom"/>
            <w:tcBorders>
              <w:bottom w:val="single" w:sz="8" w:color="E7F1F5"/>
            </w:tcBorders>
            <w:shd w:val="clear" w:color="auto" w:fill="E7F1F5"/>
          </w:tcPr>
          <w:p>
            <w:pPr>
              <w:spacing w:after="0"/>
              <w:rPr>
                <w:sz w:val="18"/>
                <w:szCs w:val="18"/>
                <w:color w:val="auto"/>
              </w:rPr>
            </w:pPr>
          </w:p>
        </w:tc>
        <w:tc>
          <w:tcPr>
            <w:tcW w:w="1080" w:type="dxa"/>
            <w:vAlign w:val="bottom"/>
            <w:tcBorders>
              <w:bottom w:val="single" w:sz="8" w:color="E7F1F5"/>
            </w:tcBorders>
            <w:shd w:val="clear" w:color="auto" w:fill="E7F1F5"/>
          </w:tcPr>
          <w:p>
            <w:pPr>
              <w:spacing w:after="0"/>
              <w:rPr>
                <w:sz w:val="18"/>
                <w:szCs w:val="18"/>
                <w:color w:val="auto"/>
              </w:rPr>
            </w:pPr>
          </w:p>
        </w:tc>
        <w:tc>
          <w:tcPr>
            <w:tcW w:w="1080" w:type="dxa"/>
            <w:vAlign w:val="bottom"/>
            <w:tcBorders>
              <w:bottom w:val="single" w:sz="8" w:color="E7F1F5"/>
            </w:tcBorders>
            <w:shd w:val="clear" w:color="auto" w:fill="E7F1F5"/>
          </w:tcPr>
          <w:p>
            <w:pPr>
              <w:spacing w:after="0"/>
              <w:rPr>
                <w:sz w:val="18"/>
                <w:szCs w:val="18"/>
                <w:color w:val="auto"/>
              </w:rPr>
            </w:pPr>
          </w:p>
        </w:tc>
        <w:tc>
          <w:tcPr>
            <w:tcW w:w="140" w:type="dxa"/>
            <w:vAlign w:val="bottom"/>
            <w:tcBorders>
              <w:bottom w:val="single" w:sz="8" w:color="E7F1F5"/>
            </w:tcBorders>
            <w:shd w:val="clear" w:color="auto" w:fill="E7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40" w:type="dxa"/>
            <w:vAlign w:val="bottom"/>
            <w:tcBorders>
              <w:top w:val="single" w:sz="8" w:color="E7F1F5"/>
              <w:bottom w:val="single" w:sz="8" w:color="E7F1F5"/>
            </w:tcBorders>
            <w:shd w:val="clear" w:color="auto" w:fill="E7F1F5"/>
          </w:tcPr>
          <w:p>
            <w:pPr>
              <w:ind w:left="260"/>
              <w:spacing w:after="0"/>
              <w:rPr>
                <w:sz w:val="20"/>
                <w:szCs w:val="20"/>
                <w:color w:val="auto"/>
              </w:rPr>
            </w:pPr>
            <w:r>
              <w:rPr>
                <w:rFonts w:ascii="Arial" w:cs="Arial" w:eastAsia="Arial" w:hAnsi="Arial"/>
                <w:sz w:val="13"/>
                <w:szCs w:val="13"/>
                <w:color w:val="0E191E"/>
              </w:rPr>
              <w:t>Annual Bonus Opportunity</w:t>
            </w:r>
          </w:p>
        </w:tc>
        <w:tc>
          <w:tcPr>
            <w:tcW w:w="960" w:type="dxa"/>
            <w:vAlign w:val="bottom"/>
            <w:tcBorders>
              <w:top w:val="single" w:sz="8" w:color="0E191E"/>
              <w:bottom w:val="single" w:sz="8" w:color="E7F1F5"/>
            </w:tcBorders>
            <w:shd w:val="clear" w:color="auto" w:fill="E7F1F5"/>
          </w:tcPr>
          <w:p>
            <w:pPr>
              <w:spacing w:after="0"/>
              <w:rPr>
                <w:sz w:val="18"/>
                <w:szCs w:val="18"/>
                <w:color w:val="auto"/>
              </w:rPr>
            </w:pPr>
          </w:p>
        </w:tc>
        <w:tc>
          <w:tcPr>
            <w:tcW w:w="960" w:type="dxa"/>
            <w:vAlign w:val="bottom"/>
            <w:tcBorders>
              <w:top w:val="single" w:sz="8" w:color="0E191E"/>
              <w:bottom w:val="single" w:sz="8" w:color="E7F1F5"/>
            </w:tcBorders>
            <w:shd w:val="clear" w:color="auto" w:fill="E7F1F5"/>
          </w:tcPr>
          <w:p>
            <w:pPr>
              <w:jc w:val="right"/>
              <w:spacing w:after="0"/>
              <w:rPr>
                <w:sz w:val="20"/>
                <w:szCs w:val="20"/>
                <w:color w:val="auto"/>
              </w:rPr>
            </w:pPr>
            <w:r>
              <w:rPr>
                <w:rFonts w:ascii="Arial" w:cs="Arial" w:eastAsia="Arial" w:hAnsi="Arial"/>
                <w:sz w:val="13"/>
                <w:szCs w:val="13"/>
                <w:color w:val="0E191E"/>
              </w:rPr>
              <w:t>129,750</w:t>
            </w:r>
          </w:p>
        </w:tc>
        <w:tc>
          <w:tcPr>
            <w:tcW w:w="1060" w:type="dxa"/>
            <w:vAlign w:val="bottom"/>
            <w:tcBorders>
              <w:top w:val="single" w:sz="8" w:color="0E191E"/>
              <w:bottom w:val="single" w:sz="8" w:color="E7F1F5"/>
            </w:tcBorders>
            <w:shd w:val="clear" w:color="auto" w:fill="E7F1F5"/>
          </w:tcPr>
          <w:p>
            <w:pPr>
              <w:jc w:val="right"/>
              <w:ind w:right="153"/>
              <w:spacing w:after="0"/>
              <w:rPr>
                <w:sz w:val="20"/>
                <w:szCs w:val="20"/>
                <w:color w:val="auto"/>
              </w:rPr>
            </w:pPr>
            <w:r>
              <w:rPr>
                <w:rFonts w:ascii="Arial" w:cs="Arial" w:eastAsia="Arial" w:hAnsi="Arial"/>
                <w:sz w:val="13"/>
                <w:szCs w:val="13"/>
                <w:color w:val="0E191E"/>
              </w:rPr>
              <w:t>259,500</w:t>
            </w:r>
          </w:p>
        </w:tc>
        <w:tc>
          <w:tcPr>
            <w:tcW w:w="840" w:type="dxa"/>
            <w:vAlign w:val="bottom"/>
            <w:tcBorders>
              <w:top w:val="single" w:sz="8" w:color="0E191E"/>
              <w:bottom w:val="single" w:sz="8" w:color="E7F1F5"/>
              <w:right w:val="single" w:sz="8" w:color="E7F1F5"/>
            </w:tcBorders>
            <w:shd w:val="clear" w:color="auto" w:fill="E7F1F5"/>
          </w:tcPr>
          <w:p>
            <w:pPr>
              <w:jc w:val="right"/>
              <w:ind w:right="33"/>
              <w:spacing w:after="0"/>
              <w:rPr>
                <w:sz w:val="20"/>
                <w:szCs w:val="20"/>
                <w:color w:val="auto"/>
              </w:rPr>
            </w:pPr>
            <w:r>
              <w:rPr>
                <w:rFonts w:ascii="Arial" w:cs="Arial" w:eastAsia="Arial" w:hAnsi="Arial"/>
                <w:sz w:val="13"/>
                <w:szCs w:val="13"/>
                <w:color w:val="0E191E"/>
              </w:rPr>
              <w:t>389,250</w:t>
            </w:r>
          </w:p>
        </w:tc>
        <w:tc>
          <w:tcPr>
            <w:tcW w:w="820" w:type="dxa"/>
            <w:vAlign w:val="bottom"/>
            <w:tcBorders>
              <w:top w:val="single" w:sz="8" w:color="0E191E"/>
              <w:bottom w:val="single" w:sz="8" w:color="E7F1F5"/>
            </w:tcBorders>
            <w:shd w:val="clear" w:color="auto" w:fill="E7F1F5"/>
          </w:tcPr>
          <w:p>
            <w:pPr>
              <w:spacing w:after="0"/>
              <w:rPr>
                <w:sz w:val="18"/>
                <w:szCs w:val="18"/>
                <w:color w:val="auto"/>
              </w:rPr>
            </w:pPr>
          </w:p>
        </w:tc>
        <w:tc>
          <w:tcPr>
            <w:tcW w:w="920" w:type="dxa"/>
            <w:vAlign w:val="bottom"/>
            <w:tcBorders>
              <w:top w:val="single" w:sz="8" w:color="0E191E"/>
              <w:bottom w:val="single" w:sz="8" w:color="E7F1F5"/>
            </w:tcBorders>
            <w:shd w:val="clear" w:color="auto" w:fill="E7F1F5"/>
          </w:tcPr>
          <w:p>
            <w:pPr>
              <w:spacing w:after="0"/>
              <w:rPr>
                <w:sz w:val="18"/>
                <w:szCs w:val="18"/>
                <w:color w:val="auto"/>
              </w:rPr>
            </w:pPr>
          </w:p>
        </w:tc>
        <w:tc>
          <w:tcPr>
            <w:tcW w:w="840" w:type="dxa"/>
            <w:vAlign w:val="bottom"/>
            <w:tcBorders>
              <w:top w:val="single" w:sz="8" w:color="0E191E"/>
              <w:bottom w:val="single" w:sz="8" w:color="E7F1F5"/>
            </w:tcBorders>
            <w:shd w:val="clear" w:color="auto" w:fill="E7F1F5"/>
          </w:tcPr>
          <w:p>
            <w:pPr>
              <w:spacing w:after="0"/>
              <w:rPr>
                <w:sz w:val="18"/>
                <w:szCs w:val="18"/>
                <w:color w:val="auto"/>
              </w:rPr>
            </w:pPr>
          </w:p>
        </w:tc>
        <w:tc>
          <w:tcPr>
            <w:tcW w:w="1080" w:type="dxa"/>
            <w:vAlign w:val="bottom"/>
            <w:tcBorders>
              <w:top w:val="single" w:sz="8" w:color="0E191E"/>
              <w:bottom w:val="single" w:sz="8" w:color="E7F1F5"/>
            </w:tcBorders>
            <w:shd w:val="clear" w:color="auto" w:fill="E7F1F5"/>
          </w:tcPr>
          <w:p>
            <w:pPr>
              <w:spacing w:after="0"/>
              <w:rPr>
                <w:sz w:val="18"/>
                <w:szCs w:val="18"/>
                <w:color w:val="auto"/>
              </w:rPr>
            </w:pPr>
          </w:p>
        </w:tc>
        <w:tc>
          <w:tcPr>
            <w:tcW w:w="1080" w:type="dxa"/>
            <w:vAlign w:val="bottom"/>
            <w:tcBorders>
              <w:top w:val="single" w:sz="8" w:color="0E191E"/>
              <w:bottom w:val="single" w:sz="8" w:color="E7F1F5"/>
            </w:tcBorders>
            <w:shd w:val="clear" w:color="auto" w:fill="E7F1F5"/>
          </w:tcPr>
          <w:p>
            <w:pPr>
              <w:spacing w:after="0"/>
              <w:rPr>
                <w:sz w:val="18"/>
                <w:szCs w:val="18"/>
                <w:color w:val="auto"/>
              </w:rPr>
            </w:pPr>
          </w:p>
        </w:tc>
        <w:tc>
          <w:tcPr>
            <w:tcW w:w="140" w:type="dxa"/>
            <w:vAlign w:val="bottom"/>
            <w:tcBorders>
              <w:top w:val="single" w:sz="8" w:color="0E191E"/>
              <w:bottom w:val="single" w:sz="8" w:color="E7F1F5"/>
            </w:tcBorders>
            <w:shd w:val="clear" w:color="auto" w:fill="E7F1F5"/>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40" w:type="dxa"/>
            <w:vAlign w:val="bottom"/>
            <w:tcBorders>
              <w:top w:val="single" w:sz="8" w:color="E7F1F5"/>
              <w:bottom w:val="single" w:sz="8" w:color="E7F1F5"/>
            </w:tcBorders>
            <w:shd w:val="clear" w:color="auto" w:fill="E7F1F5"/>
          </w:tcPr>
          <w:p>
            <w:pPr>
              <w:ind w:left="260"/>
              <w:spacing w:after="0"/>
              <w:rPr>
                <w:sz w:val="20"/>
                <w:szCs w:val="20"/>
                <w:color w:val="auto"/>
              </w:rPr>
            </w:pPr>
            <w:r>
              <w:rPr>
                <w:rFonts w:ascii="Arial" w:cs="Arial" w:eastAsia="Arial" w:hAnsi="Arial"/>
                <w:sz w:val="13"/>
                <w:szCs w:val="13"/>
                <w:color w:val="0E191E"/>
              </w:rPr>
              <w:t>Annual Commission Opportunity</w:t>
            </w:r>
          </w:p>
        </w:tc>
        <w:tc>
          <w:tcPr>
            <w:tcW w:w="960" w:type="dxa"/>
            <w:vAlign w:val="bottom"/>
            <w:tcBorders>
              <w:top w:val="single" w:sz="8" w:color="0E191E"/>
              <w:bottom w:val="single" w:sz="8" w:color="E7F1F5"/>
            </w:tcBorders>
            <w:shd w:val="clear" w:color="auto" w:fill="E7F1F5"/>
          </w:tcPr>
          <w:p>
            <w:pPr>
              <w:spacing w:after="0"/>
              <w:rPr>
                <w:sz w:val="18"/>
                <w:szCs w:val="18"/>
                <w:color w:val="auto"/>
              </w:rPr>
            </w:pPr>
          </w:p>
        </w:tc>
        <w:tc>
          <w:tcPr>
            <w:tcW w:w="960" w:type="dxa"/>
            <w:vAlign w:val="bottom"/>
            <w:tcBorders>
              <w:top w:val="single" w:sz="8" w:color="0E191E"/>
              <w:bottom w:val="single" w:sz="8" w:color="E7F1F5"/>
            </w:tcBorders>
            <w:shd w:val="clear" w:color="auto" w:fill="E7F1F5"/>
          </w:tcPr>
          <w:p>
            <w:pPr>
              <w:jc w:val="right"/>
              <w:spacing w:after="0"/>
              <w:rPr>
                <w:sz w:val="20"/>
                <w:szCs w:val="20"/>
                <w:color w:val="auto"/>
              </w:rPr>
            </w:pPr>
            <w:r>
              <w:rPr>
                <w:rFonts w:ascii="Arial" w:cs="Arial" w:eastAsia="Arial" w:hAnsi="Arial"/>
                <w:sz w:val="13"/>
                <w:szCs w:val="13"/>
                <w:color w:val="0E191E"/>
              </w:rPr>
              <w:t>—</w:t>
            </w:r>
          </w:p>
        </w:tc>
        <w:tc>
          <w:tcPr>
            <w:tcW w:w="1060" w:type="dxa"/>
            <w:vAlign w:val="bottom"/>
            <w:tcBorders>
              <w:top w:val="single" w:sz="8" w:color="0E191E"/>
              <w:bottom w:val="single" w:sz="8" w:color="E7F1F5"/>
            </w:tcBorders>
            <w:shd w:val="clear" w:color="auto" w:fill="E7F1F5"/>
          </w:tcPr>
          <w:p>
            <w:pPr>
              <w:jc w:val="right"/>
              <w:ind w:right="153"/>
              <w:spacing w:after="0"/>
              <w:rPr>
                <w:sz w:val="20"/>
                <w:szCs w:val="20"/>
                <w:color w:val="auto"/>
              </w:rPr>
            </w:pPr>
            <w:r>
              <w:rPr>
                <w:rFonts w:ascii="Arial" w:cs="Arial" w:eastAsia="Arial" w:hAnsi="Arial"/>
                <w:sz w:val="13"/>
                <w:szCs w:val="13"/>
                <w:color w:val="0E191E"/>
              </w:rPr>
              <w:t>259,500</w:t>
            </w:r>
          </w:p>
        </w:tc>
        <w:tc>
          <w:tcPr>
            <w:tcW w:w="840" w:type="dxa"/>
            <w:vAlign w:val="bottom"/>
            <w:tcBorders>
              <w:top w:val="single" w:sz="8" w:color="0E191E"/>
              <w:bottom w:val="single" w:sz="8" w:color="E7F1F5"/>
              <w:right w:val="single" w:sz="8" w:color="E7F1F5"/>
            </w:tcBorders>
            <w:shd w:val="clear" w:color="auto" w:fill="E7F1F5"/>
          </w:tcPr>
          <w:p>
            <w:pPr>
              <w:jc w:val="right"/>
              <w:ind w:right="33"/>
              <w:spacing w:after="0"/>
              <w:rPr>
                <w:sz w:val="20"/>
                <w:szCs w:val="20"/>
                <w:color w:val="auto"/>
              </w:rPr>
            </w:pPr>
            <w:r>
              <w:rPr>
                <w:rFonts w:ascii="Arial" w:cs="Arial" w:eastAsia="Arial" w:hAnsi="Arial"/>
                <w:sz w:val="13"/>
                <w:szCs w:val="13"/>
                <w:color w:val="0E191E"/>
              </w:rPr>
              <w:t>—</w:t>
            </w:r>
          </w:p>
        </w:tc>
        <w:tc>
          <w:tcPr>
            <w:tcW w:w="820" w:type="dxa"/>
            <w:vAlign w:val="bottom"/>
            <w:tcBorders>
              <w:top w:val="single" w:sz="8" w:color="0E191E"/>
              <w:bottom w:val="single" w:sz="8" w:color="E7F1F5"/>
            </w:tcBorders>
            <w:shd w:val="clear" w:color="auto" w:fill="E7F1F5"/>
          </w:tcPr>
          <w:p>
            <w:pPr>
              <w:spacing w:after="0"/>
              <w:rPr>
                <w:sz w:val="18"/>
                <w:szCs w:val="18"/>
                <w:color w:val="auto"/>
              </w:rPr>
            </w:pPr>
          </w:p>
        </w:tc>
        <w:tc>
          <w:tcPr>
            <w:tcW w:w="920" w:type="dxa"/>
            <w:vAlign w:val="bottom"/>
            <w:tcBorders>
              <w:top w:val="single" w:sz="8" w:color="0E191E"/>
              <w:bottom w:val="single" w:sz="8" w:color="E7F1F5"/>
            </w:tcBorders>
            <w:shd w:val="clear" w:color="auto" w:fill="E7F1F5"/>
          </w:tcPr>
          <w:p>
            <w:pPr>
              <w:spacing w:after="0"/>
              <w:rPr>
                <w:sz w:val="18"/>
                <w:szCs w:val="18"/>
                <w:color w:val="auto"/>
              </w:rPr>
            </w:pPr>
          </w:p>
        </w:tc>
        <w:tc>
          <w:tcPr>
            <w:tcW w:w="840" w:type="dxa"/>
            <w:vAlign w:val="bottom"/>
            <w:tcBorders>
              <w:top w:val="single" w:sz="8" w:color="0E191E"/>
              <w:bottom w:val="single" w:sz="8" w:color="E7F1F5"/>
            </w:tcBorders>
            <w:shd w:val="clear" w:color="auto" w:fill="E7F1F5"/>
          </w:tcPr>
          <w:p>
            <w:pPr>
              <w:spacing w:after="0"/>
              <w:rPr>
                <w:sz w:val="18"/>
                <w:szCs w:val="18"/>
                <w:color w:val="auto"/>
              </w:rPr>
            </w:pPr>
          </w:p>
        </w:tc>
        <w:tc>
          <w:tcPr>
            <w:tcW w:w="1080" w:type="dxa"/>
            <w:vAlign w:val="bottom"/>
            <w:tcBorders>
              <w:top w:val="single" w:sz="8" w:color="0E191E"/>
              <w:bottom w:val="single" w:sz="8" w:color="E7F1F5"/>
            </w:tcBorders>
            <w:shd w:val="clear" w:color="auto" w:fill="E7F1F5"/>
          </w:tcPr>
          <w:p>
            <w:pPr>
              <w:spacing w:after="0"/>
              <w:rPr>
                <w:sz w:val="18"/>
                <w:szCs w:val="18"/>
                <w:color w:val="auto"/>
              </w:rPr>
            </w:pPr>
          </w:p>
        </w:tc>
        <w:tc>
          <w:tcPr>
            <w:tcW w:w="1080" w:type="dxa"/>
            <w:vAlign w:val="bottom"/>
            <w:tcBorders>
              <w:top w:val="single" w:sz="8" w:color="0E191E"/>
              <w:bottom w:val="single" w:sz="8" w:color="E7F1F5"/>
            </w:tcBorders>
            <w:shd w:val="clear" w:color="auto" w:fill="E7F1F5"/>
          </w:tcPr>
          <w:p>
            <w:pPr>
              <w:spacing w:after="0"/>
              <w:rPr>
                <w:sz w:val="18"/>
                <w:szCs w:val="18"/>
                <w:color w:val="auto"/>
              </w:rPr>
            </w:pPr>
          </w:p>
        </w:tc>
        <w:tc>
          <w:tcPr>
            <w:tcW w:w="140" w:type="dxa"/>
            <w:vAlign w:val="bottom"/>
            <w:tcBorders>
              <w:top w:val="single" w:sz="8" w:color="0E191E"/>
              <w:bottom w:val="single" w:sz="8" w:color="E7F1F5"/>
            </w:tcBorders>
            <w:shd w:val="clear" w:color="auto" w:fill="E7F1F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Borders>
              <w:top w:val="single" w:sz="8" w:color="E7F1F5"/>
              <w:bottom w:val="single" w:sz="8" w:color="E7F1F5"/>
            </w:tcBorders>
            <w:shd w:val="clear" w:color="auto" w:fill="E7F1F5"/>
          </w:tcPr>
          <w:p>
            <w:pPr>
              <w:ind w:left="260"/>
              <w:spacing w:after="0"/>
              <w:rPr>
                <w:sz w:val="20"/>
                <w:szCs w:val="20"/>
                <w:color w:val="auto"/>
              </w:rPr>
            </w:pPr>
            <w:r>
              <w:rPr>
                <w:rFonts w:ascii="Arial" w:cs="Arial" w:eastAsia="Arial" w:hAnsi="Arial"/>
                <w:sz w:val="13"/>
                <w:szCs w:val="13"/>
                <w:color w:val="0E191E"/>
              </w:rPr>
              <w:t>Performance-Vesting RSUs</w:t>
            </w:r>
            <w:r>
              <w:rPr>
                <w:rFonts w:ascii="Arial" w:cs="Arial" w:eastAsia="Arial" w:hAnsi="Arial"/>
                <w:sz w:val="17"/>
                <w:szCs w:val="17"/>
                <w:color w:val="0E191E"/>
                <w:vertAlign w:val="superscript"/>
              </w:rPr>
              <w:t>(3)</w:t>
            </w:r>
          </w:p>
        </w:tc>
        <w:tc>
          <w:tcPr>
            <w:tcW w:w="960" w:type="dxa"/>
            <w:vAlign w:val="bottom"/>
            <w:tcBorders>
              <w:top w:val="single" w:sz="8" w:color="0E191E"/>
              <w:bottom w:val="single" w:sz="8" w:color="0E191E"/>
            </w:tcBorders>
            <w:shd w:val="clear" w:color="auto" w:fill="E7F1F5"/>
          </w:tcPr>
          <w:p>
            <w:pPr>
              <w:jc w:val="center"/>
              <w:spacing w:after="0"/>
              <w:rPr>
                <w:sz w:val="20"/>
                <w:szCs w:val="20"/>
                <w:color w:val="auto"/>
              </w:rPr>
            </w:pPr>
            <w:r>
              <w:rPr>
                <w:rFonts w:ascii="Arial" w:cs="Arial" w:eastAsia="Arial" w:hAnsi="Arial"/>
                <w:sz w:val="13"/>
                <w:szCs w:val="13"/>
                <w:color w:val="0E191E"/>
              </w:rPr>
              <w:t>9/9/2020</w:t>
            </w:r>
          </w:p>
        </w:tc>
        <w:tc>
          <w:tcPr>
            <w:tcW w:w="960" w:type="dxa"/>
            <w:vAlign w:val="bottom"/>
            <w:tcBorders>
              <w:top w:val="single" w:sz="8" w:color="0E191E"/>
              <w:bottom w:val="single" w:sz="8" w:color="0E191E"/>
            </w:tcBorders>
            <w:shd w:val="clear" w:color="auto" w:fill="E7F1F5"/>
          </w:tcPr>
          <w:p>
            <w:pPr>
              <w:spacing w:after="0"/>
              <w:rPr>
                <w:sz w:val="18"/>
                <w:szCs w:val="18"/>
                <w:color w:val="auto"/>
              </w:rPr>
            </w:pPr>
          </w:p>
        </w:tc>
        <w:tc>
          <w:tcPr>
            <w:tcW w:w="1060" w:type="dxa"/>
            <w:vAlign w:val="bottom"/>
            <w:tcBorders>
              <w:top w:val="single" w:sz="8" w:color="0E191E"/>
              <w:bottom w:val="single" w:sz="8" w:color="0E191E"/>
            </w:tcBorders>
            <w:shd w:val="clear" w:color="auto" w:fill="E7F1F5"/>
          </w:tcPr>
          <w:p>
            <w:pPr>
              <w:spacing w:after="0"/>
              <w:rPr>
                <w:sz w:val="18"/>
                <w:szCs w:val="18"/>
                <w:color w:val="auto"/>
              </w:rPr>
            </w:pPr>
          </w:p>
        </w:tc>
        <w:tc>
          <w:tcPr>
            <w:tcW w:w="840" w:type="dxa"/>
            <w:vAlign w:val="bottom"/>
            <w:tcBorders>
              <w:top w:val="single" w:sz="8" w:color="0E191E"/>
              <w:bottom w:val="single" w:sz="8" w:color="0E191E"/>
              <w:right w:val="single" w:sz="8" w:color="E7F1F5"/>
            </w:tcBorders>
            <w:shd w:val="clear" w:color="auto" w:fill="E7F1F5"/>
          </w:tcPr>
          <w:p>
            <w:pPr>
              <w:spacing w:after="0"/>
              <w:rPr>
                <w:sz w:val="18"/>
                <w:szCs w:val="18"/>
                <w:color w:val="auto"/>
              </w:rPr>
            </w:pPr>
          </w:p>
        </w:tc>
        <w:tc>
          <w:tcPr>
            <w:tcW w:w="820" w:type="dxa"/>
            <w:vAlign w:val="bottom"/>
            <w:tcBorders>
              <w:top w:val="single" w:sz="8" w:color="0E191E"/>
              <w:bottom w:val="single" w:sz="8" w:color="0E191E"/>
            </w:tcBorders>
            <w:shd w:val="clear" w:color="auto" w:fill="E7F1F5"/>
          </w:tcPr>
          <w:p>
            <w:pPr>
              <w:jc w:val="center"/>
              <w:ind w:left="13"/>
              <w:spacing w:after="0"/>
              <w:rPr>
                <w:sz w:val="20"/>
                <w:szCs w:val="20"/>
                <w:color w:val="auto"/>
              </w:rPr>
            </w:pPr>
            <w:r>
              <w:rPr>
                <w:rFonts w:ascii="Arial" w:cs="Arial" w:eastAsia="Arial" w:hAnsi="Arial"/>
                <w:sz w:val="13"/>
                <w:szCs w:val="13"/>
                <w:color w:val="0E191E"/>
              </w:rPr>
              <w:t>2,926</w:t>
            </w:r>
          </w:p>
        </w:tc>
        <w:tc>
          <w:tcPr>
            <w:tcW w:w="920" w:type="dxa"/>
            <w:vAlign w:val="bottom"/>
            <w:tcBorders>
              <w:top w:val="single" w:sz="8" w:color="0E191E"/>
              <w:bottom w:val="single" w:sz="8" w:color="0E191E"/>
            </w:tcBorders>
            <w:shd w:val="clear" w:color="auto" w:fill="E7F1F5"/>
          </w:tcPr>
          <w:p>
            <w:pPr>
              <w:jc w:val="center"/>
              <w:spacing w:after="0"/>
              <w:rPr>
                <w:sz w:val="20"/>
                <w:szCs w:val="20"/>
                <w:color w:val="auto"/>
              </w:rPr>
            </w:pPr>
            <w:r>
              <w:rPr>
                <w:rFonts w:ascii="Arial" w:cs="Arial" w:eastAsia="Arial" w:hAnsi="Arial"/>
                <w:sz w:val="13"/>
                <w:szCs w:val="13"/>
                <w:color w:val="0E191E"/>
              </w:rPr>
              <w:t>5,853</w:t>
            </w:r>
          </w:p>
        </w:tc>
        <w:tc>
          <w:tcPr>
            <w:tcW w:w="840" w:type="dxa"/>
            <w:vAlign w:val="bottom"/>
            <w:tcBorders>
              <w:top w:val="single" w:sz="8" w:color="0E191E"/>
              <w:bottom w:val="single" w:sz="8" w:color="0E191E"/>
            </w:tcBorders>
            <w:shd w:val="clear" w:color="auto" w:fill="E7F1F5"/>
          </w:tcPr>
          <w:p>
            <w:pPr>
              <w:jc w:val="center"/>
              <w:ind w:right="73"/>
              <w:spacing w:after="0"/>
              <w:rPr>
                <w:sz w:val="20"/>
                <w:szCs w:val="20"/>
                <w:color w:val="auto"/>
              </w:rPr>
            </w:pPr>
            <w:r>
              <w:rPr>
                <w:rFonts w:ascii="Arial" w:cs="Arial" w:eastAsia="Arial" w:hAnsi="Arial"/>
                <w:sz w:val="13"/>
                <w:szCs w:val="13"/>
                <w:color w:val="0E191E"/>
              </w:rPr>
              <w:t>8,779</w:t>
            </w:r>
          </w:p>
        </w:tc>
        <w:tc>
          <w:tcPr>
            <w:tcW w:w="1080" w:type="dxa"/>
            <w:vAlign w:val="bottom"/>
            <w:tcBorders>
              <w:top w:val="single" w:sz="8" w:color="0E191E"/>
              <w:bottom w:val="single" w:sz="8" w:color="0E191E"/>
            </w:tcBorders>
            <w:shd w:val="clear" w:color="auto" w:fill="E7F1F5"/>
          </w:tcPr>
          <w:p>
            <w:pPr>
              <w:spacing w:after="0"/>
              <w:rPr>
                <w:sz w:val="18"/>
                <w:szCs w:val="18"/>
                <w:color w:val="auto"/>
              </w:rPr>
            </w:pPr>
          </w:p>
        </w:tc>
        <w:tc>
          <w:tcPr>
            <w:tcW w:w="1080" w:type="dxa"/>
            <w:vAlign w:val="bottom"/>
            <w:tcBorders>
              <w:top w:val="single" w:sz="8" w:color="0E191E"/>
              <w:bottom w:val="single" w:sz="8" w:color="0E191E"/>
            </w:tcBorders>
            <w:shd w:val="clear" w:color="auto" w:fill="E7F1F5"/>
          </w:tcPr>
          <w:p>
            <w:pPr>
              <w:jc w:val="right"/>
              <w:ind w:right="13"/>
              <w:spacing w:after="0"/>
              <w:rPr>
                <w:sz w:val="20"/>
                <w:szCs w:val="20"/>
                <w:color w:val="auto"/>
              </w:rPr>
            </w:pPr>
            <w:r>
              <w:rPr>
                <w:rFonts w:ascii="Arial" w:cs="Arial" w:eastAsia="Arial" w:hAnsi="Arial"/>
                <w:sz w:val="13"/>
                <w:szCs w:val="13"/>
                <w:color w:val="0E191E"/>
              </w:rPr>
              <w:t>654,075</w:t>
            </w:r>
          </w:p>
        </w:tc>
        <w:tc>
          <w:tcPr>
            <w:tcW w:w="140" w:type="dxa"/>
            <w:vAlign w:val="bottom"/>
            <w:tcBorders>
              <w:top w:val="single" w:sz="8" w:color="0E191E"/>
              <w:bottom w:val="single" w:sz="8" w:color="0E191E"/>
            </w:tcBorders>
            <w:shd w:val="clear" w:color="auto" w:fill="E7F1F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Borders>
              <w:bottom w:val="single" w:sz="8" w:color="E7F1F5"/>
            </w:tcBorders>
            <w:shd w:val="clear" w:color="auto" w:fill="E7F1F5"/>
          </w:tcPr>
          <w:p>
            <w:pPr>
              <w:ind w:left="260"/>
              <w:spacing w:after="0"/>
              <w:rPr>
                <w:sz w:val="20"/>
                <w:szCs w:val="20"/>
                <w:color w:val="auto"/>
              </w:rPr>
            </w:pPr>
            <w:r>
              <w:rPr>
                <w:rFonts w:ascii="Arial" w:cs="Arial" w:eastAsia="Arial" w:hAnsi="Arial"/>
                <w:sz w:val="13"/>
                <w:szCs w:val="13"/>
                <w:color w:val="0E191E"/>
              </w:rPr>
              <w:t>Performance-Vesting RSUs</w:t>
            </w:r>
            <w:r>
              <w:rPr>
                <w:rFonts w:ascii="Arial" w:cs="Arial" w:eastAsia="Arial" w:hAnsi="Arial"/>
                <w:sz w:val="17"/>
                <w:szCs w:val="17"/>
                <w:color w:val="0E191E"/>
                <w:vertAlign w:val="superscript"/>
              </w:rPr>
              <w:t>(4)</w:t>
            </w:r>
          </w:p>
        </w:tc>
        <w:tc>
          <w:tcPr>
            <w:tcW w:w="960" w:type="dxa"/>
            <w:vAlign w:val="bottom"/>
            <w:tcBorders>
              <w:bottom w:val="single" w:sz="8" w:color="auto"/>
            </w:tcBorders>
            <w:shd w:val="clear" w:color="auto" w:fill="E7F1F5"/>
          </w:tcPr>
          <w:p>
            <w:pPr>
              <w:jc w:val="center"/>
              <w:spacing w:after="0"/>
              <w:rPr>
                <w:sz w:val="20"/>
                <w:szCs w:val="20"/>
                <w:color w:val="auto"/>
              </w:rPr>
            </w:pPr>
            <w:r>
              <w:rPr>
                <w:rFonts w:ascii="Arial" w:cs="Arial" w:eastAsia="Arial" w:hAnsi="Arial"/>
                <w:sz w:val="13"/>
                <w:szCs w:val="13"/>
                <w:color w:val="0E191E"/>
              </w:rPr>
              <w:t>9/9/2020</w:t>
            </w:r>
          </w:p>
        </w:tc>
        <w:tc>
          <w:tcPr>
            <w:tcW w:w="960" w:type="dxa"/>
            <w:vAlign w:val="bottom"/>
            <w:tcBorders>
              <w:bottom w:val="single" w:sz="8" w:color="auto"/>
            </w:tcBorders>
            <w:shd w:val="clear" w:color="auto" w:fill="E7F1F5"/>
          </w:tcPr>
          <w:p>
            <w:pPr>
              <w:spacing w:after="0"/>
              <w:rPr>
                <w:sz w:val="18"/>
                <w:szCs w:val="18"/>
                <w:color w:val="auto"/>
              </w:rPr>
            </w:pPr>
          </w:p>
        </w:tc>
        <w:tc>
          <w:tcPr>
            <w:tcW w:w="1060" w:type="dxa"/>
            <w:vAlign w:val="bottom"/>
            <w:tcBorders>
              <w:bottom w:val="single" w:sz="8" w:color="auto"/>
            </w:tcBorders>
            <w:shd w:val="clear" w:color="auto" w:fill="E7F1F5"/>
          </w:tcPr>
          <w:p>
            <w:pPr>
              <w:spacing w:after="0"/>
              <w:rPr>
                <w:sz w:val="18"/>
                <w:szCs w:val="18"/>
                <w:color w:val="auto"/>
              </w:rPr>
            </w:pPr>
          </w:p>
        </w:tc>
        <w:tc>
          <w:tcPr>
            <w:tcW w:w="840" w:type="dxa"/>
            <w:vAlign w:val="bottom"/>
            <w:tcBorders>
              <w:bottom w:val="single" w:sz="8" w:color="auto"/>
              <w:right w:val="single" w:sz="8" w:color="E7F1F5"/>
            </w:tcBorders>
            <w:shd w:val="clear" w:color="auto" w:fill="E7F1F5"/>
          </w:tcPr>
          <w:p>
            <w:pPr>
              <w:spacing w:after="0"/>
              <w:rPr>
                <w:sz w:val="18"/>
                <w:szCs w:val="18"/>
                <w:color w:val="auto"/>
              </w:rPr>
            </w:pPr>
          </w:p>
        </w:tc>
        <w:tc>
          <w:tcPr>
            <w:tcW w:w="820" w:type="dxa"/>
            <w:vAlign w:val="bottom"/>
            <w:tcBorders>
              <w:bottom w:val="single" w:sz="8" w:color="auto"/>
            </w:tcBorders>
            <w:shd w:val="clear" w:color="auto" w:fill="E7F1F5"/>
          </w:tcPr>
          <w:p>
            <w:pPr>
              <w:jc w:val="center"/>
              <w:ind w:left="13"/>
              <w:spacing w:after="0"/>
              <w:rPr>
                <w:sz w:val="20"/>
                <w:szCs w:val="20"/>
                <w:color w:val="auto"/>
              </w:rPr>
            </w:pPr>
            <w:r>
              <w:rPr>
                <w:rFonts w:ascii="Arial" w:cs="Arial" w:eastAsia="Arial" w:hAnsi="Arial"/>
                <w:sz w:val="13"/>
                <w:szCs w:val="13"/>
                <w:color w:val="0E191E"/>
              </w:rPr>
              <w:t>2,926</w:t>
            </w:r>
          </w:p>
        </w:tc>
        <w:tc>
          <w:tcPr>
            <w:tcW w:w="920" w:type="dxa"/>
            <w:vAlign w:val="bottom"/>
            <w:tcBorders>
              <w:bottom w:val="single" w:sz="8" w:color="auto"/>
            </w:tcBorders>
            <w:shd w:val="clear" w:color="auto" w:fill="E7F1F5"/>
          </w:tcPr>
          <w:p>
            <w:pPr>
              <w:jc w:val="center"/>
              <w:spacing w:after="0"/>
              <w:rPr>
                <w:sz w:val="20"/>
                <w:szCs w:val="20"/>
                <w:color w:val="auto"/>
              </w:rPr>
            </w:pPr>
            <w:r>
              <w:rPr>
                <w:rFonts w:ascii="Arial" w:cs="Arial" w:eastAsia="Arial" w:hAnsi="Arial"/>
                <w:sz w:val="13"/>
                <w:szCs w:val="13"/>
                <w:color w:val="0E191E"/>
              </w:rPr>
              <w:t>5,853</w:t>
            </w:r>
          </w:p>
        </w:tc>
        <w:tc>
          <w:tcPr>
            <w:tcW w:w="840" w:type="dxa"/>
            <w:vAlign w:val="bottom"/>
            <w:tcBorders>
              <w:bottom w:val="single" w:sz="8" w:color="auto"/>
            </w:tcBorders>
            <w:shd w:val="clear" w:color="auto" w:fill="E7F1F5"/>
          </w:tcPr>
          <w:p>
            <w:pPr>
              <w:jc w:val="center"/>
              <w:ind w:right="73"/>
              <w:spacing w:after="0"/>
              <w:rPr>
                <w:sz w:val="20"/>
                <w:szCs w:val="20"/>
                <w:color w:val="auto"/>
              </w:rPr>
            </w:pPr>
            <w:r>
              <w:rPr>
                <w:rFonts w:ascii="Arial" w:cs="Arial" w:eastAsia="Arial" w:hAnsi="Arial"/>
                <w:sz w:val="13"/>
                <w:szCs w:val="13"/>
                <w:color w:val="0E191E"/>
              </w:rPr>
              <w:t>8,779</w:t>
            </w:r>
          </w:p>
        </w:tc>
        <w:tc>
          <w:tcPr>
            <w:tcW w:w="1080" w:type="dxa"/>
            <w:vAlign w:val="bottom"/>
            <w:tcBorders>
              <w:bottom w:val="single" w:sz="8" w:color="auto"/>
            </w:tcBorders>
            <w:shd w:val="clear" w:color="auto" w:fill="E7F1F5"/>
          </w:tcPr>
          <w:p>
            <w:pPr>
              <w:spacing w:after="0"/>
              <w:rPr>
                <w:sz w:val="18"/>
                <w:szCs w:val="18"/>
                <w:color w:val="auto"/>
              </w:rPr>
            </w:pPr>
          </w:p>
        </w:tc>
        <w:tc>
          <w:tcPr>
            <w:tcW w:w="1080" w:type="dxa"/>
            <w:vAlign w:val="bottom"/>
            <w:tcBorders>
              <w:bottom w:val="single" w:sz="8" w:color="auto"/>
            </w:tcBorders>
            <w:shd w:val="clear" w:color="auto" w:fill="E7F1F5"/>
          </w:tcPr>
          <w:p>
            <w:pPr>
              <w:jc w:val="right"/>
              <w:ind w:right="13"/>
              <w:spacing w:after="0"/>
              <w:rPr>
                <w:sz w:val="20"/>
                <w:szCs w:val="20"/>
                <w:color w:val="auto"/>
              </w:rPr>
            </w:pPr>
            <w:r>
              <w:rPr>
                <w:rFonts w:ascii="Arial" w:cs="Arial" w:eastAsia="Arial" w:hAnsi="Arial"/>
                <w:sz w:val="13"/>
                <w:szCs w:val="13"/>
                <w:color w:val="0E191E"/>
              </w:rPr>
              <w:t>654,075</w:t>
            </w:r>
          </w:p>
        </w:tc>
        <w:tc>
          <w:tcPr>
            <w:tcW w:w="140" w:type="dxa"/>
            <w:vAlign w:val="bottom"/>
            <w:tcBorders>
              <w:bottom w:val="single" w:sz="8" w:color="auto"/>
            </w:tcBorders>
            <w:shd w:val="clear" w:color="auto" w:fill="E7F1F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shd w:val="clear" w:color="auto" w:fill="E7F1F5"/>
          </w:tcPr>
          <w:p>
            <w:pPr>
              <w:ind w:left="260"/>
              <w:spacing w:after="0"/>
              <w:rPr>
                <w:sz w:val="20"/>
                <w:szCs w:val="20"/>
                <w:color w:val="auto"/>
              </w:rPr>
            </w:pPr>
            <w:r>
              <w:rPr>
                <w:rFonts w:ascii="Arial" w:cs="Arial" w:eastAsia="Arial" w:hAnsi="Arial"/>
                <w:sz w:val="13"/>
                <w:szCs w:val="13"/>
                <w:color w:val="0E191E"/>
              </w:rPr>
              <w:t>Time-Vesting RSUs</w:t>
            </w:r>
            <w:r>
              <w:rPr>
                <w:rFonts w:ascii="Arial" w:cs="Arial" w:eastAsia="Arial" w:hAnsi="Arial"/>
                <w:sz w:val="17"/>
                <w:szCs w:val="17"/>
                <w:color w:val="0E191E"/>
                <w:vertAlign w:val="superscript"/>
              </w:rPr>
              <w:t>(5)</w:t>
            </w:r>
          </w:p>
        </w:tc>
        <w:tc>
          <w:tcPr>
            <w:tcW w:w="96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9/9/2020</w:t>
            </w:r>
          </w:p>
        </w:tc>
        <w:tc>
          <w:tcPr>
            <w:tcW w:w="960" w:type="dxa"/>
            <w:vAlign w:val="bottom"/>
            <w:shd w:val="clear" w:color="auto" w:fill="E7F1F5"/>
          </w:tcPr>
          <w:p>
            <w:pPr>
              <w:spacing w:after="0"/>
              <w:rPr>
                <w:sz w:val="18"/>
                <w:szCs w:val="18"/>
                <w:color w:val="auto"/>
              </w:rPr>
            </w:pPr>
          </w:p>
        </w:tc>
        <w:tc>
          <w:tcPr>
            <w:tcW w:w="1060" w:type="dxa"/>
            <w:vAlign w:val="bottom"/>
            <w:shd w:val="clear" w:color="auto" w:fill="E7F1F5"/>
          </w:tcPr>
          <w:p>
            <w:pPr>
              <w:spacing w:after="0"/>
              <w:rPr>
                <w:sz w:val="18"/>
                <w:szCs w:val="18"/>
                <w:color w:val="auto"/>
              </w:rPr>
            </w:pPr>
          </w:p>
        </w:tc>
        <w:tc>
          <w:tcPr>
            <w:tcW w:w="840" w:type="dxa"/>
            <w:vAlign w:val="bottom"/>
            <w:tcBorders>
              <w:right w:val="single" w:sz="8" w:color="E7F1F5"/>
            </w:tcBorders>
            <w:shd w:val="clear" w:color="auto" w:fill="E7F1F5"/>
          </w:tcPr>
          <w:p>
            <w:pPr>
              <w:spacing w:after="0"/>
              <w:rPr>
                <w:sz w:val="18"/>
                <w:szCs w:val="18"/>
                <w:color w:val="auto"/>
              </w:rPr>
            </w:pPr>
          </w:p>
        </w:tc>
        <w:tc>
          <w:tcPr>
            <w:tcW w:w="820" w:type="dxa"/>
            <w:vAlign w:val="bottom"/>
            <w:shd w:val="clear" w:color="auto" w:fill="E7F1F5"/>
          </w:tcPr>
          <w:p>
            <w:pPr>
              <w:spacing w:after="0"/>
              <w:rPr>
                <w:sz w:val="18"/>
                <w:szCs w:val="18"/>
                <w:color w:val="auto"/>
              </w:rPr>
            </w:pPr>
          </w:p>
        </w:tc>
        <w:tc>
          <w:tcPr>
            <w:tcW w:w="920" w:type="dxa"/>
            <w:vAlign w:val="bottom"/>
            <w:shd w:val="clear" w:color="auto" w:fill="E7F1F5"/>
          </w:tcPr>
          <w:p>
            <w:pPr>
              <w:spacing w:after="0"/>
              <w:rPr>
                <w:sz w:val="18"/>
                <w:szCs w:val="18"/>
                <w:color w:val="auto"/>
              </w:rPr>
            </w:pPr>
          </w:p>
        </w:tc>
        <w:tc>
          <w:tcPr>
            <w:tcW w:w="840" w:type="dxa"/>
            <w:vAlign w:val="bottom"/>
            <w:shd w:val="clear" w:color="auto" w:fill="E7F1F5"/>
          </w:tcPr>
          <w:p>
            <w:pPr>
              <w:spacing w:after="0"/>
              <w:rPr>
                <w:sz w:val="18"/>
                <w:szCs w:val="18"/>
                <w:color w:val="auto"/>
              </w:rPr>
            </w:pPr>
          </w:p>
        </w:tc>
        <w:tc>
          <w:tcPr>
            <w:tcW w:w="108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11,705</w:t>
            </w:r>
          </w:p>
        </w:tc>
        <w:tc>
          <w:tcPr>
            <w:tcW w:w="1080" w:type="dxa"/>
            <w:vAlign w:val="bottom"/>
            <w:shd w:val="clear" w:color="auto" w:fill="E7F1F5"/>
          </w:tcPr>
          <w:p>
            <w:pPr>
              <w:jc w:val="right"/>
              <w:ind w:right="13"/>
              <w:spacing w:after="0"/>
              <w:rPr>
                <w:sz w:val="20"/>
                <w:szCs w:val="20"/>
                <w:color w:val="auto"/>
              </w:rPr>
            </w:pPr>
            <w:r>
              <w:rPr>
                <w:rFonts w:ascii="Arial" w:cs="Arial" w:eastAsia="Arial" w:hAnsi="Arial"/>
                <w:sz w:val="13"/>
                <w:szCs w:val="13"/>
                <w:color w:val="0E191E"/>
              </w:rPr>
              <w:t>1,308,151</w:t>
            </w:r>
          </w:p>
        </w:tc>
        <w:tc>
          <w:tcPr>
            <w:tcW w:w="140" w:type="dxa"/>
            <w:vAlign w:val="bottom"/>
            <w:shd w:val="clear" w:color="auto" w:fill="E7F1F5"/>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540" w:type="dxa"/>
            <w:vAlign w:val="bottom"/>
          </w:tcPr>
          <w:p>
            <w:pPr>
              <w:ind w:left="100"/>
              <w:spacing w:after="0"/>
              <w:rPr>
                <w:sz w:val="20"/>
                <w:szCs w:val="20"/>
                <w:color w:val="auto"/>
              </w:rPr>
            </w:pPr>
            <w:r>
              <w:rPr>
                <w:rFonts w:ascii="Arial" w:cs="Arial" w:eastAsia="Arial" w:hAnsi="Arial"/>
                <w:sz w:val="13"/>
                <w:szCs w:val="13"/>
                <w:b w:val="1"/>
                <w:bCs w:val="1"/>
                <w:color w:val="0E191E"/>
              </w:rPr>
              <w:t>Winston King</w:t>
            </w: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540" w:type="dxa"/>
            <w:vAlign w:val="bottom"/>
            <w:vMerge w:val="restart"/>
          </w:tcPr>
          <w:p>
            <w:pPr>
              <w:ind w:left="260"/>
              <w:spacing w:after="0"/>
              <w:rPr>
                <w:sz w:val="20"/>
                <w:szCs w:val="20"/>
                <w:color w:val="auto"/>
              </w:rPr>
            </w:pPr>
            <w:r>
              <w:rPr>
                <w:rFonts w:ascii="Arial" w:cs="Arial" w:eastAsia="Arial" w:hAnsi="Arial"/>
                <w:sz w:val="13"/>
                <w:szCs w:val="13"/>
                <w:color w:val="0E191E"/>
              </w:rPr>
              <w:t>Annual Bonus Opportunity</w:t>
            </w:r>
          </w:p>
        </w:tc>
        <w:tc>
          <w:tcPr>
            <w:tcW w:w="960" w:type="dxa"/>
            <w:vAlign w:val="bottom"/>
            <w:tcBorders>
              <w:bottom w:val="single" w:sz="8" w:color="0E191E"/>
            </w:tcBorders>
          </w:tcPr>
          <w:p>
            <w:pPr>
              <w:spacing w:after="0"/>
              <w:rPr>
                <w:sz w:val="2"/>
                <w:szCs w:val="2"/>
                <w:color w:val="auto"/>
              </w:rPr>
            </w:pPr>
          </w:p>
        </w:tc>
        <w:tc>
          <w:tcPr>
            <w:tcW w:w="960" w:type="dxa"/>
            <w:vAlign w:val="bottom"/>
            <w:tcBorders>
              <w:bottom w:val="single" w:sz="8" w:color="0E191E"/>
            </w:tcBorders>
          </w:tcPr>
          <w:p>
            <w:pPr>
              <w:spacing w:after="0"/>
              <w:rPr>
                <w:sz w:val="2"/>
                <w:szCs w:val="2"/>
                <w:color w:val="auto"/>
              </w:rPr>
            </w:pPr>
          </w:p>
        </w:tc>
        <w:tc>
          <w:tcPr>
            <w:tcW w:w="1060" w:type="dxa"/>
            <w:vAlign w:val="bottom"/>
            <w:tcBorders>
              <w:bottom w:val="single" w:sz="8" w:color="0E191E"/>
            </w:tcBorders>
          </w:tcPr>
          <w:p>
            <w:pPr>
              <w:spacing w:after="0"/>
              <w:rPr>
                <w:sz w:val="2"/>
                <w:szCs w:val="2"/>
                <w:color w:val="auto"/>
              </w:rPr>
            </w:pPr>
          </w:p>
        </w:tc>
        <w:tc>
          <w:tcPr>
            <w:tcW w:w="840" w:type="dxa"/>
            <w:vAlign w:val="bottom"/>
            <w:tcBorders>
              <w:bottom w:val="single" w:sz="8" w:color="0E191E"/>
            </w:tcBorders>
          </w:tcPr>
          <w:p>
            <w:pPr>
              <w:spacing w:after="0"/>
              <w:rPr>
                <w:sz w:val="2"/>
                <w:szCs w:val="2"/>
                <w:color w:val="auto"/>
              </w:rPr>
            </w:pPr>
          </w:p>
        </w:tc>
        <w:tc>
          <w:tcPr>
            <w:tcW w:w="820" w:type="dxa"/>
            <w:vAlign w:val="bottom"/>
            <w:tcBorders>
              <w:bottom w:val="single" w:sz="8" w:color="0E191E"/>
            </w:tcBorders>
          </w:tcPr>
          <w:p>
            <w:pPr>
              <w:spacing w:after="0"/>
              <w:rPr>
                <w:sz w:val="2"/>
                <w:szCs w:val="2"/>
                <w:color w:val="auto"/>
              </w:rPr>
            </w:pPr>
          </w:p>
        </w:tc>
        <w:tc>
          <w:tcPr>
            <w:tcW w:w="920" w:type="dxa"/>
            <w:vAlign w:val="bottom"/>
            <w:tcBorders>
              <w:bottom w:val="single" w:sz="8" w:color="0E191E"/>
            </w:tcBorders>
          </w:tcPr>
          <w:p>
            <w:pPr>
              <w:spacing w:after="0"/>
              <w:rPr>
                <w:sz w:val="2"/>
                <w:szCs w:val="2"/>
                <w:color w:val="auto"/>
              </w:rPr>
            </w:pPr>
          </w:p>
        </w:tc>
        <w:tc>
          <w:tcPr>
            <w:tcW w:w="840" w:type="dxa"/>
            <w:vAlign w:val="bottom"/>
            <w:tcBorders>
              <w:bottom w:val="single" w:sz="8" w:color="0E191E"/>
            </w:tcBorders>
          </w:tcPr>
          <w:p>
            <w:pPr>
              <w:spacing w:after="0"/>
              <w:rPr>
                <w:sz w:val="2"/>
                <w:szCs w:val="2"/>
                <w:color w:val="auto"/>
              </w:rPr>
            </w:pPr>
          </w:p>
        </w:tc>
        <w:tc>
          <w:tcPr>
            <w:tcW w:w="1080" w:type="dxa"/>
            <w:vAlign w:val="bottom"/>
            <w:tcBorders>
              <w:bottom w:val="single" w:sz="8" w:color="0E191E"/>
            </w:tcBorders>
          </w:tcPr>
          <w:p>
            <w:pPr>
              <w:spacing w:after="0"/>
              <w:rPr>
                <w:sz w:val="2"/>
                <w:szCs w:val="2"/>
                <w:color w:val="auto"/>
              </w:rPr>
            </w:pPr>
          </w:p>
        </w:tc>
        <w:tc>
          <w:tcPr>
            <w:tcW w:w="1080" w:type="dxa"/>
            <w:vAlign w:val="bottom"/>
            <w:tcBorders>
              <w:bottom w:val="single" w:sz="8" w:color="0E191E"/>
            </w:tcBorders>
          </w:tcPr>
          <w:p>
            <w:pPr>
              <w:spacing w:after="0"/>
              <w:rPr>
                <w:sz w:val="2"/>
                <w:szCs w:val="2"/>
                <w:color w:val="auto"/>
              </w:rPr>
            </w:pPr>
          </w:p>
        </w:tc>
        <w:tc>
          <w:tcPr>
            <w:tcW w:w="140" w:type="dxa"/>
            <w:vAlign w:val="bottom"/>
            <w:tcBorders>
              <w:bottom w:val="single" w:sz="8" w:color="0E191E"/>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54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E191E"/>
              </w:rPr>
              <w:t>87,500</w:t>
            </w:r>
          </w:p>
        </w:tc>
        <w:tc>
          <w:tcPr>
            <w:tcW w:w="1060" w:type="dxa"/>
            <w:vAlign w:val="bottom"/>
          </w:tcPr>
          <w:p>
            <w:pPr>
              <w:jc w:val="right"/>
              <w:ind w:right="153"/>
              <w:spacing w:after="0"/>
              <w:rPr>
                <w:sz w:val="20"/>
                <w:szCs w:val="20"/>
                <w:color w:val="auto"/>
              </w:rPr>
            </w:pPr>
            <w:r>
              <w:rPr>
                <w:rFonts w:ascii="Arial" w:cs="Arial" w:eastAsia="Arial" w:hAnsi="Arial"/>
                <w:sz w:val="13"/>
                <w:szCs w:val="13"/>
                <w:color w:val="0E191E"/>
              </w:rPr>
              <w:t>175,000</w:t>
            </w:r>
          </w:p>
        </w:tc>
        <w:tc>
          <w:tcPr>
            <w:tcW w:w="840" w:type="dxa"/>
            <w:vAlign w:val="bottom"/>
          </w:tcPr>
          <w:p>
            <w:pPr>
              <w:jc w:val="right"/>
              <w:ind w:right="33"/>
              <w:spacing w:after="0"/>
              <w:rPr>
                <w:sz w:val="20"/>
                <w:szCs w:val="20"/>
                <w:color w:val="auto"/>
              </w:rPr>
            </w:pPr>
            <w:r>
              <w:rPr>
                <w:rFonts w:ascii="Arial" w:cs="Arial" w:eastAsia="Arial" w:hAnsi="Arial"/>
                <w:sz w:val="13"/>
                <w:szCs w:val="13"/>
                <w:color w:val="0E191E"/>
              </w:rPr>
              <w:t>262,500</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540" w:type="dxa"/>
            <w:vAlign w:val="bottom"/>
            <w:vMerge w:val="restart"/>
          </w:tcPr>
          <w:p>
            <w:pPr>
              <w:ind w:left="260"/>
              <w:spacing w:after="0"/>
              <w:rPr>
                <w:sz w:val="20"/>
                <w:szCs w:val="20"/>
                <w:color w:val="auto"/>
              </w:rPr>
            </w:pPr>
            <w:r>
              <w:rPr>
                <w:rFonts w:ascii="Arial" w:cs="Arial" w:eastAsia="Arial" w:hAnsi="Arial"/>
                <w:sz w:val="13"/>
                <w:szCs w:val="13"/>
                <w:color w:val="0E191E"/>
              </w:rPr>
              <w:t>Performance-Vesting RSUs</w:t>
            </w:r>
            <w:r>
              <w:rPr>
                <w:rFonts w:ascii="Arial" w:cs="Arial" w:eastAsia="Arial" w:hAnsi="Arial"/>
                <w:sz w:val="17"/>
                <w:szCs w:val="17"/>
                <w:color w:val="0E191E"/>
                <w:vertAlign w:val="superscript"/>
              </w:rPr>
              <w:t>(3)</w:t>
            </w:r>
          </w:p>
        </w:tc>
        <w:tc>
          <w:tcPr>
            <w:tcW w:w="960" w:type="dxa"/>
            <w:vAlign w:val="bottom"/>
            <w:tcBorders>
              <w:bottom w:val="single" w:sz="8" w:color="0E191E"/>
            </w:tcBorders>
          </w:tcPr>
          <w:p>
            <w:pPr>
              <w:spacing w:after="0"/>
              <w:rPr>
                <w:sz w:val="2"/>
                <w:szCs w:val="2"/>
                <w:color w:val="auto"/>
              </w:rPr>
            </w:pPr>
          </w:p>
        </w:tc>
        <w:tc>
          <w:tcPr>
            <w:tcW w:w="960" w:type="dxa"/>
            <w:vAlign w:val="bottom"/>
            <w:tcBorders>
              <w:bottom w:val="single" w:sz="8" w:color="0E191E"/>
            </w:tcBorders>
          </w:tcPr>
          <w:p>
            <w:pPr>
              <w:spacing w:after="0"/>
              <w:rPr>
                <w:sz w:val="2"/>
                <w:szCs w:val="2"/>
                <w:color w:val="auto"/>
              </w:rPr>
            </w:pPr>
          </w:p>
        </w:tc>
        <w:tc>
          <w:tcPr>
            <w:tcW w:w="1060" w:type="dxa"/>
            <w:vAlign w:val="bottom"/>
            <w:tcBorders>
              <w:bottom w:val="single" w:sz="8" w:color="0E191E"/>
            </w:tcBorders>
          </w:tcPr>
          <w:p>
            <w:pPr>
              <w:spacing w:after="0"/>
              <w:rPr>
                <w:sz w:val="2"/>
                <w:szCs w:val="2"/>
                <w:color w:val="auto"/>
              </w:rPr>
            </w:pPr>
          </w:p>
        </w:tc>
        <w:tc>
          <w:tcPr>
            <w:tcW w:w="840" w:type="dxa"/>
            <w:vAlign w:val="bottom"/>
            <w:tcBorders>
              <w:bottom w:val="single" w:sz="8" w:color="0E191E"/>
            </w:tcBorders>
          </w:tcPr>
          <w:p>
            <w:pPr>
              <w:spacing w:after="0"/>
              <w:rPr>
                <w:sz w:val="2"/>
                <w:szCs w:val="2"/>
                <w:color w:val="auto"/>
              </w:rPr>
            </w:pPr>
          </w:p>
        </w:tc>
        <w:tc>
          <w:tcPr>
            <w:tcW w:w="820" w:type="dxa"/>
            <w:vAlign w:val="bottom"/>
            <w:tcBorders>
              <w:bottom w:val="single" w:sz="8" w:color="0E191E"/>
            </w:tcBorders>
          </w:tcPr>
          <w:p>
            <w:pPr>
              <w:spacing w:after="0"/>
              <w:rPr>
                <w:sz w:val="2"/>
                <w:szCs w:val="2"/>
                <w:color w:val="auto"/>
              </w:rPr>
            </w:pPr>
          </w:p>
        </w:tc>
        <w:tc>
          <w:tcPr>
            <w:tcW w:w="920" w:type="dxa"/>
            <w:vAlign w:val="bottom"/>
            <w:tcBorders>
              <w:bottom w:val="single" w:sz="8" w:color="0E191E"/>
            </w:tcBorders>
          </w:tcPr>
          <w:p>
            <w:pPr>
              <w:spacing w:after="0"/>
              <w:rPr>
                <w:sz w:val="2"/>
                <w:szCs w:val="2"/>
                <w:color w:val="auto"/>
              </w:rPr>
            </w:pPr>
          </w:p>
        </w:tc>
        <w:tc>
          <w:tcPr>
            <w:tcW w:w="840" w:type="dxa"/>
            <w:vAlign w:val="bottom"/>
            <w:tcBorders>
              <w:bottom w:val="single" w:sz="8" w:color="0E191E"/>
            </w:tcBorders>
          </w:tcPr>
          <w:p>
            <w:pPr>
              <w:spacing w:after="0"/>
              <w:rPr>
                <w:sz w:val="2"/>
                <w:szCs w:val="2"/>
                <w:color w:val="auto"/>
              </w:rPr>
            </w:pPr>
          </w:p>
        </w:tc>
        <w:tc>
          <w:tcPr>
            <w:tcW w:w="1080" w:type="dxa"/>
            <w:vAlign w:val="bottom"/>
            <w:tcBorders>
              <w:bottom w:val="single" w:sz="8" w:color="0E191E"/>
            </w:tcBorders>
          </w:tcPr>
          <w:p>
            <w:pPr>
              <w:spacing w:after="0"/>
              <w:rPr>
                <w:sz w:val="2"/>
                <w:szCs w:val="2"/>
                <w:color w:val="auto"/>
              </w:rPr>
            </w:pPr>
          </w:p>
        </w:tc>
        <w:tc>
          <w:tcPr>
            <w:tcW w:w="1080" w:type="dxa"/>
            <w:vAlign w:val="bottom"/>
            <w:tcBorders>
              <w:bottom w:val="single" w:sz="8" w:color="0E191E"/>
            </w:tcBorders>
          </w:tcPr>
          <w:p>
            <w:pPr>
              <w:spacing w:after="0"/>
              <w:rPr>
                <w:sz w:val="2"/>
                <w:szCs w:val="2"/>
                <w:color w:val="auto"/>
              </w:rPr>
            </w:pPr>
          </w:p>
        </w:tc>
        <w:tc>
          <w:tcPr>
            <w:tcW w:w="140" w:type="dxa"/>
            <w:vAlign w:val="bottom"/>
            <w:tcBorders>
              <w:bottom w:val="single" w:sz="8" w:color="0E191E"/>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40" w:type="dxa"/>
            <w:vAlign w:val="bottom"/>
            <w:vMerge w:val="continue"/>
          </w:tcPr>
          <w:p>
            <w:pPr>
              <w:spacing w:after="0"/>
              <w:rPr>
                <w:sz w:val="18"/>
                <w:szCs w:val="18"/>
                <w:color w:val="auto"/>
              </w:rPr>
            </w:pPr>
          </w:p>
        </w:tc>
        <w:tc>
          <w:tcPr>
            <w:tcW w:w="960" w:type="dxa"/>
            <w:vAlign w:val="bottom"/>
            <w:tcBorders>
              <w:bottom w:val="single" w:sz="8" w:color="0E191E"/>
            </w:tcBorders>
          </w:tcPr>
          <w:p>
            <w:pPr>
              <w:jc w:val="center"/>
              <w:spacing w:after="0"/>
              <w:rPr>
                <w:sz w:val="20"/>
                <w:szCs w:val="20"/>
                <w:color w:val="auto"/>
              </w:rPr>
            </w:pPr>
            <w:r>
              <w:rPr>
                <w:rFonts w:ascii="Arial" w:cs="Arial" w:eastAsia="Arial" w:hAnsi="Arial"/>
                <w:sz w:val="13"/>
                <w:szCs w:val="13"/>
                <w:color w:val="0E191E"/>
              </w:rPr>
              <w:t>9/9/2020</w:t>
            </w:r>
          </w:p>
        </w:tc>
        <w:tc>
          <w:tcPr>
            <w:tcW w:w="960" w:type="dxa"/>
            <w:vAlign w:val="bottom"/>
            <w:tcBorders>
              <w:bottom w:val="single" w:sz="8" w:color="0E191E"/>
            </w:tcBorders>
          </w:tcPr>
          <w:p>
            <w:pPr>
              <w:spacing w:after="0"/>
              <w:rPr>
                <w:sz w:val="18"/>
                <w:szCs w:val="18"/>
                <w:color w:val="auto"/>
              </w:rPr>
            </w:pPr>
          </w:p>
        </w:tc>
        <w:tc>
          <w:tcPr>
            <w:tcW w:w="1060" w:type="dxa"/>
            <w:vAlign w:val="bottom"/>
            <w:tcBorders>
              <w:bottom w:val="single" w:sz="8" w:color="0E191E"/>
            </w:tcBorders>
          </w:tcPr>
          <w:p>
            <w:pPr>
              <w:spacing w:after="0"/>
              <w:rPr>
                <w:sz w:val="18"/>
                <w:szCs w:val="18"/>
                <w:color w:val="auto"/>
              </w:rPr>
            </w:pPr>
          </w:p>
        </w:tc>
        <w:tc>
          <w:tcPr>
            <w:tcW w:w="840" w:type="dxa"/>
            <w:vAlign w:val="bottom"/>
            <w:tcBorders>
              <w:bottom w:val="single" w:sz="8" w:color="0E191E"/>
            </w:tcBorders>
          </w:tcPr>
          <w:p>
            <w:pPr>
              <w:spacing w:after="0"/>
              <w:rPr>
                <w:sz w:val="18"/>
                <w:szCs w:val="18"/>
                <w:color w:val="auto"/>
              </w:rPr>
            </w:pPr>
          </w:p>
        </w:tc>
        <w:tc>
          <w:tcPr>
            <w:tcW w:w="820" w:type="dxa"/>
            <w:vAlign w:val="bottom"/>
            <w:tcBorders>
              <w:bottom w:val="single" w:sz="8" w:color="0E191E"/>
            </w:tcBorders>
          </w:tcPr>
          <w:p>
            <w:pPr>
              <w:jc w:val="center"/>
              <w:ind w:left="13"/>
              <w:spacing w:after="0"/>
              <w:rPr>
                <w:sz w:val="20"/>
                <w:szCs w:val="20"/>
                <w:color w:val="auto"/>
              </w:rPr>
            </w:pPr>
            <w:r>
              <w:rPr>
                <w:rFonts w:ascii="Arial" w:cs="Arial" w:eastAsia="Arial" w:hAnsi="Arial"/>
                <w:sz w:val="13"/>
                <w:szCs w:val="13"/>
                <w:color w:val="0E191E"/>
              </w:rPr>
              <w:t>2,250</w:t>
            </w:r>
          </w:p>
        </w:tc>
        <w:tc>
          <w:tcPr>
            <w:tcW w:w="920" w:type="dxa"/>
            <w:vAlign w:val="bottom"/>
            <w:tcBorders>
              <w:bottom w:val="single" w:sz="8" w:color="0E191E"/>
            </w:tcBorders>
          </w:tcPr>
          <w:p>
            <w:pPr>
              <w:jc w:val="center"/>
              <w:spacing w:after="0"/>
              <w:rPr>
                <w:sz w:val="20"/>
                <w:szCs w:val="20"/>
                <w:color w:val="auto"/>
              </w:rPr>
            </w:pPr>
            <w:r>
              <w:rPr>
                <w:rFonts w:ascii="Arial" w:cs="Arial" w:eastAsia="Arial" w:hAnsi="Arial"/>
                <w:sz w:val="13"/>
                <w:szCs w:val="13"/>
                <w:color w:val="0E191E"/>
              </w:rPr>
              <w:t>4,500</w:t>
            </w:r>
          </w:p>
        </w:tc>
        <w:tc>
          <w:tcPr>
            <w:tcW w:w="840" w:type="dxa"/>
            <w:vAlign w:val="bottom"/>
            <w:tcBorders>
              <w:bottom w:val="single" w:sz="8" w:color="0E191E"/>
            </w:tcBorders>
          </w:tcPr>
          <w:p>
            <w:pPr>
              <w:jc w:val="center"/>
              <w:ind w:right="73"/>
              <w:spacing w:after="0"/>
              <w:rPr>
                <w:sz w:val="20"/>
                <w:szCs w:val="20"/>
                <w:color w:val="auto"/>
              </w:rPr>
            </w:pPr>
            <w:r>
              <w:rPr>
                <w:rFonts w:ascii="Arial" w:cs="Arial" w:eastAsia="Arial" w:hAnsi="Arial"/>
                <w:sz w:val="13"/>
                <w:szCs w:val="13"/>
                <w:color w:val="0E191E"/>
              </w:rPr>
              <w:t>6,750</w:t>
            </w:r>
          </w:p>
        </w:tc>
        <w:tc>
          <w:tcPr>
            <w:tcW w:w="1080" w:type="dxa"/>
            <w:vAlign w:val="bottom"/>
            <w:tcBorders>
              <w:bottom w:val="single" w:sz="8" w:color="0E191E"/>
            </w:tcBorders>
          </w:tcPr>
          <w:p>
            <w:pPr>
              <w:spacing w:after="0"/>
              <w:rPr>
                <w:sz w:val="18"/>
                <w:szCs w:val="18"/>
                <w:color w:val="auto"/>
              </w:rPr>
            </w:pPr>
          </w:p>
        </w:tc>
        <w:tc>
          <w:tcPr>
            <w:tcW w:w="1080" w:type="dxa"/>
            <w:vAlign w:val="bottom"/>
            <w:tcBorders>
              <w:bottom w:val="single" w:sz="8" w:color="0E191E"/>
            </w:tcBorders>
          </w:tcPr>
          <w:p>
            <w:pPr>
              <w:jc w:val="right"/>
              <w:ind w:right="13"/>
              <w:spacing w:after="0"/>
              <w:rPr>
                <w:sz w:val="20"/>
                <w:szCs w:val="20"/>
                <w:color w:val="auto"/>
              </w:rPr>
            </w:pPr>
            <w:r>
              <w:rPr>
                <w:rFonts w:ascii="Arial" w:cs="Arial" w:eastAsia="Arial" w:hAnsi="Arial"/>
                <w:sz w:val="13"/>
                <w:szCs w:val="13"/>
                <w:color w:val="0E191E"/>
              </w:rPr>
              <w:t>502,920</w:t>
            </w:r>
          </w:p>
        </w:tc>
        <w:tc>
          <w:tcPr>
            <w:tcW w:w="140" w:type="dxa"/>
            <w:vAlign w:val="bottom"/>
            <w:tcBorders>
              <w:bottom w:val="single" w:sz="8" w:color="0E191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260"/>
              <w:spacing w:after="0"/>
              <w:rPr>
                <w:sz w:val="20"/>
                <w:szCs w:val="20"/>
                <w:color w:val="auto"/>
              </w:rPr>
            </w:pPr>
            <w:r>
              <w:rPr>
                <w:rFonts w:ascii="Arial" w:cs="Arial" w:eastAsia="Arial" w:hAnsi="Arial"/>
                <w:sz w:val="13"/>
                <w:szCs w:val="13"/>
                <w:color w:val="0E191E"/>
              </w:rPr>
              <w:t>Performance-Vesting RSUs</w:t>
            </w:r>
            <w:r>
              <w:rPr>
                <w:rFonts w:ascii="Arial" w:cs="Arial" w:eastAsia="Arial" w:hAnsi="Arial"/>
                <w:sz w:val="17"/>
                <w:szCs w:val="17"/>
                <w:color w:val="0E191E"/>
                <w:vertAlign w:val="superscript"/>
              </w:rPr>
              <w:t>(4)</w:t>
            </w:r>
          </w:p>
        </w:tc>
        <w:tc>
          <w:tcPr>
            <w:tcW w:w="960" w:type="dxa"/>
            <w:vAlign w:val="bottom"/>
            <w:tcBorders>
              <w:bottom w:val="single" w:sz="8" w:color="0E191E"/>
            </w:tcBorders>
          </w:tcPr>
          <w:p>
            <w:pPr>
              <w:jc w:val="center"/>
              <w:spacing w:after="0"/>
              <w:rPr>
                <w:sz w:val="20"/>
                <w:szCs w:val="20"/>
                <w:color w:val="auto"/>
              </w:rPr>
            </w:pPr>
            <w:r>
              <w:rPr>
                <w:rFonts w:ascii="Arial" w:cs="Arial" w:eastAsia="Arial" w:hAnsi="Arial"/>
                <w:sz w:val="13"/>
                <w:szCs w:val="13"/>
                <w:color w:val="0E191E"/>
              </w:rPr>
              <w:t>9/9/2020</w:t>
            </w:r>
          </w:p>
        </w:tc>
        <w:tc>
          <w:tcPr>
            <w:tcW w:w="960" w:type="dxa"/>
            <w:vAlign w:val="bottom"/>
            <w:tcBorders>
              <w:bottom w:val="single" w:sz="8" w:color="0E191E"/>
            </w:tcBorders>
          </w:tcPr>
          <w:p>
            <w:pPr>
              <w:spacing w:after="0"/>
              <w:rPr>
                <w:sz w:val="18"/>
                <w:szCs w:val="18"/>
                <w:color w:val="auto"/>
              </w:rPr>
            </w:pPr>
          </w:p>
        </w:tc>
        <w:tc>
          <w:tcPr>
            <w:tcW w:w="1060" w:type="dxa"/>
            <w:vAlign w:val="bottom"/>
            <w:tcBorders>
              <w:bottom w:val="single" w:sz="8" w:color="0E191E"/>
            </w:tcBorders>
          </w:tcPr>
          <w:p>
            <w:pPr>
              <w:spacing w:after="0"/>
              <w:rPr>
                <w:sz w:val="18"/>
                <w:szCs w:val="18"/>
                <w:color w:val="auto"/>
              </w:rPr>
            </w:pPr>
          </w:p>
        </w:tc>
        <w:tc>
          <w:tcPr>
            <w:tcW w:w="840" w:type="dxa"/>
            <w:vAlign w:val="bottom"/>
            <w:tcBorders>
              <w:bottom w:val="single" w:sz="8" w:color="0E191E"/>
            </w:tcBorders>
          </w:tcPr>
          <w:p>
            <w:pPr>
              <w:spacing w:after="0"/>
              <w:rPr>
                <w:sz w:val="18"/>
                <w:szCs w:val="18"/>
                <w:color w:val="auto"/>
              </w:rPr>
            </w:pPr>
          </w:p>
        </w:tc>
        <w:tc>
          <w:tcPr>
            <w:tcW w:w="820" w:type="dxa"/>
            <w:vAlign w:val="bottom"/>
            <w:tcBorders>
              <w:bottom w:val="single" w:sz="8" w:color="0E191E"/>
            </w:tcBorders>
          </w:tcPr>
          <w:p>
            <w:pPr>
              <w:jc w:val="center"/>
              <w:ind w:left="13"/>
              <w:spacing w:after="0"/>
              <w:rPr>
                <w:sz w:val="20"/>
                <w:szCs w:val="20"/>
                <w:color w:val="auto"/>
              </w:rPr>
            </w:pPr>
            <w:r>
              <w:rPr>
                <w:rFonts w:ascii="Arial" w:cs="Arial" w:eastAsia="Arial" w:hAnsi="Arial"/>
                <w:sz w:val="13"/>
                <w:szCs w:val="13"/>
                <w:color w:val="0E191E"/>
              </w:rPr>
              <w:t>2,250</w:t>
            </w:r>
          </w:p>
        </w:tc>
        <w:tc>
          <w:tcPr>
            <w:tcW w:w="920" w:type="dxa"/>
            <w:vAlign w:val="bottom"/>
            <w:tcBorders>
              <w:bottom w:val="single" w:sz="8" w:color="0E191E"/>
            </w:tcBorders>
          </w:tcPr>
          <w:p>
            <w:pPr>
              <w:jc w:val="center"/>
              <w:spacing w:after="0"/>
              <w:rPr>
                <w:sz w:val="20"/>
                <w:szCs w:val="20"/>
                <w:color w:val="auto"/>
              </w:rPr>
            </w:pPr>
            <w:r>
              <w:rPr>
                <w:rFonts w:ascii="Arial" w:cs="Arial" w:eastAsia="Arial" w:hAnsi="Arial"/>
                <w:sz w:val="13"/>
                <w:szCs w:val="13"/>
                <w:color w:val="0E191E"/>
              </w:rPr>
              <w:t>4,500</w:t>
            </w:r>
          </w:p>
        </w:tc>
        <w:tc>
          <w:tcPr>
            <w:tcW w:w="840" w:type="dxa"/>
            <w:vAlign w:val="bottom"/>
            <w:tcBorders>
              <w:bottom w:val="single" w:sz="8" w:color="0E191E"/>
            </w:tcBorders>
          </w:tcPr>
          <w:p>
            <w:pPr>
              <w:jc w:val="center"/>
              <w:ind w:right="73"/>
              <w:spacing w:after="0"/>
              <w:rPr>
                <w:sz w:val="20"/>
                <w:szCs w:val="20"/>
                <w:color w:val="auto"/>
              </w:rPr>
            </w:pPr>
            <w:r>
              <w:rPr>
                <w:rFonts w:ascii="Arial" w:cs="Arial" w:eastAsia="Arial" w:hAnsi="Arial"/>
                <w:sz w:val="13"/>
                <w:szCs w:val="13"/>
                <w:color w:val="0E191E"/>
              </w:rPr>
              <w:t>6,750</w:t>
            </w:r>
          </w:p>
        </w:tc>
        <w:tc>
          <w:tcPr>
            <w:tcW w:w="1080" w:type="dxa"/>
            <w:vAlign w:val="bottom"/>
            <w:tcBorders>
              <w:bottom w:val="single" w:sz="8" w:color="0E191E"/>
            </w:tcBorders>
          </w:tcPr>
          <w:p>
            <w:pPr>
              <w:spacing w:after="0"/>
              <w:rPr>
                <w:sz w:val="18"/>
                <w:szCs w:val="18"/>
                <w:color w:val="auto"/>
              </w:rPr>
            </w:pPr>
          </w:p>
        </w:tc>
        <w:tc>
          <w:tcPr>
            <w:tcW w:w="1080" w:type="dxa"/>
            <w:vAlign w:val="bottom"/>
            <w:tcBorders>
              <w:bottom w:val="single" w:sz="8" w:color="0E191E"/>
            </w:tcBorders>
          </w:tcPr>
          <w:p>
            <w:pPr>
              <w:jc w:val="right"/>
              <w:ind w:right="13"/>
              <w:spacing w:after="0"/>
              <w:rPr>
                <w:sz w:val="20"/>
                <w:szCs w:val="20"/>
                <w:color w:val="auto"/>
              </w:rPr>
            </w:pPr>
            <w:r>
              <w:rPr>
                <w:rFonts w:ascii="Arial" w:cs="Arial" w:eastAsia="Arial" w:hAnsi="Arial"/>
                <w:sz w:val="13"/>
                <w:szCs w:val="13"/>
                <w:color w:val="0E191E"/>
              </w:rPr>
              <w:t>502,920</w:t>
            </w:r>
          </w:p>
        </w:tc>
        <w:tc>
          <w:tcPr>
            <w:tcW w:w="140" w:type="dxa"/>
            <w:vAlign w:val="bottom"/>
            <w:tcBorders>
              <w:bottom w:val="single" w:sz="8" w:color="0E191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0E191E"/>
              </w:rPr>
              <w:t>Time-Vesting RSUs</w:t>
            </w:r>
            <w:r>
              <w:rPr>
                <w:rFonts w:ascii="Arial" w:cs="Arial" w:eastAsia="Arial" w:hAnsi="Arial"/>
                <w:sz w:val="17"/>
                <w:szCs w:val="17"/>
                <w:color w:val="0E191E"/>
                <w:vertAlign w:val="superscript"/>
              </w:rPr>
              <w:t>(5)</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E191E"/>
              </w:rPr>
              <w:t>9/9/2020</w:t>
            </w:r>
          </w:p>
        </w:tc>
        <w:tc>
          <w:tcPr>
            <w:tcW w:w="9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E191E"/>
              </w:rPr>
              <w:t>9,000</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0E191E"/>
              </w:rPr>
              <w:t>1,005,840</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960" w:type="dxa"/>
            <w:vAlign w:val="bottom"/>
            <w:tcBorders>
              <w:bottom w:val="single" w:sz="8" w:color="1EB7DF"/>
            </w:tcBorders>
          </w:tcPr>
          <w:p>
            <w:pPr>
              <w:spacing w:after="0"/>
              <w:rPr>
                <w:sz w:val="5"/>
                <w:szCs w:val="5"/>
                <w:color w:val="auto"/>
              </w:rPr>
            </w:pPr>
          </w:p>
        </w:tc>
        <w:tc>
          <w:tcPr>
            <w:tcW w:w="1060" w:type="dxa"/>
            <w:vAlign w:val="bottom"/>
            <w:tcBorders>
              <w:bottom w:val="single" w:sz="8" w:color="1EB7DF"/>
            </w:tcBorders>
          </w:tcPr>
          <w:p>
            <w:pPr>
              <w:spacing w:after="0"/>
              <w:rPr>
                <w:sz w:val="5"/>
                <w:szCs w:val="5"/>
                <w:color w:val="auto"/>
              </w:rPr>
            </w:pPr>
          </w:p>
        </w:tc>
        <w:tc>
          <w:tcPr>
            <w:tcW w:w="840" w:type="dxa"/>
            <w:vAlign w:val="bottom"/>
            <w:tcBorders>
              <w:bottom w:val="single" w:sz="8" w:color="1EB7DF"/>
            </w:tcBorders>
          </w:tcPr>
          <w:p>
            <w:pPr>
              <w:spacing w:after="0"/>
              <w:rPr>
                <w:sz w:val="5"/>
                <w:szCs w:val="5"/>
                <w:color w:val="auto"/>
              </w:rPr>
            </w:pPr>
          </w:p>
        </w:tc>
        <w:tc>
          <w:tcPr>
            <w:tcW w:w="820" w:type="dxa"/>
            <w:vAlign w:val="bottom"/>
            <w:tcBorders>
              <w:bottom w:val="single" w:sz="8" w:color="FFC000"/>
            </w:tcBorders>
          </w:tcPr>
          <w:p>
            <w:pPr>
              <w:spacing w:after="0"/>
              <w:rPr>
                <w:sz w:val="5"/>
                <w:szCs w:val="5"/>
                <w:color w:val="auto"/>
              </w:rPr>
            </w:pPr>
          </w:p>
        </w:tc>
        <w:tc>
          <w:tcPr>
            <w:tcW w:w="920" w:type="dxa"/>
            <w:vAlign w:val="bottom"/>
            <w:tcBorders>
              <w:bottom w:val="single" w:sz="8" w:color="FFC000"/>
            </w:tcBorders>
          </w:tcPr>
          <w:p>
            <w:pPr>
              <w:spacing w:after="0"/>
              <w:rPr>
                <w:sz w:val="5"/>
                <w:szCs w:val="5"/>
                <w:color w:val="auto"/>
              </w:rPr>
            </w:pPr>
          </w:p>
        </w:tc>
        <w:tc>
          <w:tcPr>
            <w:tcW w:w="840" w:type="dxa"/>
            <w:vAlign w:val="bottom"/>
            <w:tcBorders>
              <w:bottom w:val="single" w:sz="8" w:color="FFC000"/>
            </w:tcBorders>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-33655</wp:posOffset>
            </wp:positionV>
            <wp:extent cx="2540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pacing w:after="0" w:line="152" w:lineRule="exact"/>
        <w:rPr>
          <w:sz w:val="20"/>
          <w:szCs w:val="20"/>
          <w:color w:val="auto"/>
        </w:rPr>
      </w:pPr>
    </w:p>
    <w:p>
      <w:pPr>
        <w:ind w:left="460" w:hanging="234"/>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0E191E"/>
        </w:rPr>
        <w:t>Each grant was approved by our Compensation Committee on the grant date indicated.</w:t>
      </w:r>
    </w:p>
    <w:p>
      <w:pPr>
        <w:spacing w:after="0" w:line="200" w:lineRule="exact"/>
        <w:rPr>
          <w:sz w:val="20"/>
          <w:szCs w:val="20"/>
          <w:color w:val="auto"/>
        </w:rPr>
      </w:pPr>
    </w:p>
    <w:p>
      <w:pPr>
        <w:spacing w:after="0" w:line="312"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49</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53" w:name="page54"/>
    <w:bookmarkEnd w:id="53"/>
    <w:p>
      <w:pPr>
        <w:ind w:left="460" w:right="60" w:hanging="234"/>
        <w:spacing w:after="0" w:line="267"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0E191E"/>
        </w:rPr>
        <w:t>The amounts shown represent the threshold, target, and maximum amount of potential cash bonus awards provided for under the Bonus Plan (and the Sales Plan for Mr. O'Dowd). The target amounts are pre-established as a fixed dollar amount. The maximum amounts represent the greatest payout that could have been made if the pre-established performance level was exceeded. Under the Bonus Plan the maximum amount payable was equal to 150% of the target amount. If the threshold amount or less was achieved, then 50% of the target amount was payable and if the target amount was achieved, then 100% of the target amount was payable. The Sales Plan for Mr. O'Dowd does not provide for a threshold amount or a limit on the maximum amount payable.</w:t>
      </w:r>
    </w:p>
    <w:p>
      <w:pPr>
        <w:spacing w:after="0" w:line="39" w:lineRule="exact"/>
        <w:rPr>
          <w:rFonts w:ascii="Arial" w:cs="Arial" w:eastAsia="Arial" w:hAnsi="Arial"/>
          <w:sz w:val="15"/>
          <w:szCs w:val="15"/>
          <w:color w:val="auto"/>
        </w:rPr>
      </w:pPr>
    </w:p>
    <w:p>
      <w:pPr>
        <w:ind w:left="460" w:hanging="234"/>
        <w:spacing w:after="0" w:line="264"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0E191E"/>
        </w:rPr>
        <w:t>Represents awards of First Tranche Performance-Vesting RSUs granted under our 2011 Stock Plan. All First Tranche Performance-Vesting RSUs that are earned based on threshold, target or maximum attainment of certain performance conditions vest 33% on the first anniversary of the vesting commencement date of September 15, 2020 and the remaining vest in equal annual installments over the two years thereafter, subject to the executive officer's continued employment with the Company through each applicable vesting date. FY 21 Performance Conditions are based on FY 21 ARR as follows: (i) at the threshold FY 21 ARR amount, the number of First Tranche Performance-Vesting RSUs eligible to vest would equal the target number of First Tranche Performance-Vesting RSUs multiplied by 50%; (ii) at the target FY 21 ARR amount, the number of First Tranche Performance-Vesting RSUs eligible to vest would equal the target number of First Tranche Performance-Vesting RSUs multiplied by 100%; and (iii) at or above the maximum FY 21 ARR amount, the number of First Tranche Performance-Vesting RSUs eligible to vest would equal the target number of First Tranche Performance-Vesting RSUs multiplied by 150%. In addition, if the FY 21 ARR amount exceeds the applicable ceiling, then the number of First Tranche Performance-Vesting RSUs that vest would still be capped at 150% of the target number of First Tranche Performance-Vesting RSUs. In the case of First Tranche Performance-Vesting RSUs, the aggregate grant date fair value is reported for the probable outcome, which for this purpose is estimated as 100% target achievement.</w:t>
      </w:r>
    </w:p>
    <w:p>
      <w:pPr>
        <w:spacing w:after="0" w:line="45" w:lineRule="exact"/>
        <w:rPr>
          <w:rFonts w:ascii="Arial" w:cs="Arial" w:eastAsia="Arial" w:hAnsi="Arial"/>
          <w:sz w:val="15"/>
          <w:szCs w:val="15"/>
          <w:color w:val="auto"/>
        </w:rPr>
      </w:pPr>
    </w:p>
    <w:p>
      <w:pPr>
        <w:ind w:left="460" w:hanging="234"/>
        <w:spacing w:after="0" w:line="264"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0E191E"/>
        </w:rPr>
        <w:t>Represents awards of Second Tranche Performance-Vesting RSUs granted under our 2011 Stock Plan. All Second Tranche Performance-Vesting RSUs that are earned based on threshold, target or maximum attainment of certain performance conditions cliff vest on September 15, 2023, subject to the executive officer’s continued employment with the Company through such vesting date. FY 23 Performance Conditions are based on FY 23 ARR as follows: (i) at the threshold FY 23 ARR amount, the number of Second Tranche Performance-Vesting RSUs eligible to vest would equal the target number of Second Tranche Performance-Vesting RSUs multiplied by 50%; (ii) at the target FY 23 ARR amount, the number of Second Tranche Performance-Vesting RSUs eligible to vest would equal the target number of Second Tranche Performance-Vesting RSUs multiplied by 100%; and (iii) at or above the maximum FY 23 ARR amount, the number of Second Tranche Performance-Vesting RSUs eligible to vest would equal the target number of Second Tranche Performance-Vesting RSUs multiplied by 150%. In addition, if the FY 23 ARR amount exceeds the applicable ceiling, then the number of Second Tranche Performance-Vesting RSUs that vest would still be capped at 150% of the target number of Second Tranche Performance-Vesting RSUs. In the case of Second Tranche Performance-Vesting RSUs, the aggregate grant date fair value is reported for the probable outcome, which for this purpose is estimated as 100% target achievement.</w:t>
      </w:r>
    </w:p>
    <w:p>
      <w:pPr>
        <w:spacing w:after="0" w:line="46" w:lineRule="exact"/>
        <w:rPr>
          <w:rFonts w:ascii="Arial" w:cs="Arial" w:eastAsia="Arial" w:hAnsi="Arial"/>
          <w:sz w:val="15"/>
          <w:szCs w:val="15"/>
          <w:color w:val="auto"/>
        </w:rPr>
      </w:pPr>
    </w:p>
    <w:p>
      <w:pPr>
        <w:ind w:left="460" w:right="140" w:hanging="234"/>
        <w:spacing w:after="0" w:line="279"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0E191E"/>
        </w:rPr>
        <w:t>Time-Vesting RSUs granted under our 2011 Stock Plan generally vest quarterly over four years, subject to the executive officer's continued employment with the Company through each applicable vesting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Outstanding Equity Awards at Fiscal Year End</w:t>
      </w:r>
    </w:p>
    <w:p>
      <w:pPr>
        <w:spacing w:after="0" w:line="136" w:lineRule="exact"/>
        <w:rPr>
          <w:sz w:val="20"/>
          <w:szCs w:val="20"/>
          <w:color w:val="auto"/>
        </w:rPr>
      </w:pPr>
    </w:p>
    <w:p>
      <w:pPr>
        <w:ind w:right="240"/>
        <w:spacing w:after="0" w:line="317" w:lineRule="auto"/>
        <w:rPr>
          <w:sz w:val="20"/>
          <w:szCs w:val="20"/>
          <w:color w:val="auto"/>
        </w:rPr>
      </w:pPr>
      <w:r>
        <w:rPr>
          <w:rFonts w:ascii="Arial" w:cs="Arial" w:eastAsia="Arial" w:hAnsi="Arial"/>
          <w:sz w:val="15"/>
          <w:szCs w:val="15"/>
          <w:color w:val="0E191E"/>
        </w:rPr>
        <w:t>The following table provides information regarding outstanding equity awards, including stock options and RSUs, and applicable market values at the end of fiscal year 2021.</w:t>
      </w:r>
    </w:p>
    <w:p>
      <w:pPr>
        <w:spacing w:after="0" w:line="363"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50</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852" w:right="419" w:bottom="1440" w:gutter="0" w:footer="0" w:header="0"/>
        </w:sectPr>
      </w:pPr>
    </w:p>
    <w:bookmarkStart w:id="54" w:name="page55"/>
    <w:bookmarkEnd w:id="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3257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Borders>
              <w:bottom w:val="single" w:sz="8" w:color="1EB7DF"/>
            </w:tcBorders>
            <w:shd w:val="clear" w:color="auto" w:fill="1EB7DF"/>
          </w:tcPr>
          <w:p>
            <w:pPr>
              <w:spacing w:after="0"/>
              <w:rPr>
                <w:sz w:val="18"/>
                <w:szCs w:val="18"/>
                <w:color w:val="auto"/>
              </w:rPr>
            </w:pPr>
          </w:p>
        </w:tc>
        <w:tc>
          <w:tcPr>
            <w:tcW w:w="2160" w:type="dxa"/>
            <w:vAlign w:val="bottom"/>
            <w:tcBorders>
              <w:bottom w:val="single" w:sz="8" w:color="1EB7DF"/>
            </w:tcBorders>
            <w:gridSpan w:val="2"/>
            <w:shd w:val="clear" w:color="auto" w:fill="1EB7DF"/>
          </w:tcPr>
          <w:p>
            <w:pPr>
              <w:ind w:left="860"/>
              <w:spacing w:after="0"/>
              <w:rPr>
                <w:sz w:val="20"/>
                <w:szCs w:val="20"/>
                <w:color w:val="auto"/>
              </w:rPr>
            </w:pPr>
            <w:r>
              <w:rPr>
                <w:rFonts w:ascii="Arial" w:cs="Arial" w:eastAsia="Arial" w:hAnsi="Arial"/>
                <w:sz w:val="13"/>
                <w:szCs w:val="13"/>
                <w:b w:val="1"/>
                <w:bCs w:val="1"/>
                <w:color w:val="0E191E"/>
              </w:rPr>
              <w:t>Stock Awards</w:t>
            </w:r>
          </w:p>
        </w:tc>
        <w:tc>
          <w:tcPr>
            <w:tcW w:w="1360" w:type="dxa"/>
            <w:vAlign w:val="bottom"/>
            <w:tcBorders>
              <w:bottom w:val="single" w:sz="8" w:color="1EB7DF"/>
            </w:tcBorders>
            <w:shd w:val="clear" w:color="auto" w:fill="1EB7D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Borders>
              <w:bottom w:val="single" w:sz="8" w:color="FFC000"/>
            </w:tcBorders>
            <w:shd w:val="clear" w:color="auto" w:fill="FFC000"/>
          </w:tcPr>
          <w:p>
            <w:pPr>
              <w:spacing w:after="0"/>
              <w:rPr>
                <w:sz w:val="20"/>
                <w:szCs w:val="20"/>
                <w:color w:val="auto"/>
              </w:rPr>
            </w:pPr>
          </w:p>
        </w:tc>
        <w:tc>
          <w:tcPr>
            <w:tcW w:w="1680" w:type="dxa"/>
            <w:vAlign w:val="bottom"/>
            <w:tcBorders>
              <w:bottom w:val="single" w:sz="8" w:color="FFC000"/>
            </w:tcBorders>
            <w:shd w:val="clear" w:color="auto" w:fill="FFC000"/>
          </w:tcPr>
          <w:p>
            <w:pPr>
              <w:ind w:left="680"/>
              <w:spacing w:after="0"/>
              <w:rPr>
                <w:sz w:val="20"/>
                <w:szCs w:val="20"/>
                <w:color w:val="auto"/>
              </w:rPr>
            </w:pPr>
            <w:r>
              <w:rPr>
                <w:rFonts w:ascii="Arial" w:cs="Arial" w:eastAsia="Arial" w:hAnsi="Arial"/>
                <w:sz w:val="13"/>
                <w:szCs w:val="13"/>
                <w:b w:val="1"/>
                <w:bCs w:val="1"/>
                <w:color w:val="0E191E"/>
              </w:rPr>
              <w:t>Option Awards</w:t>
            </w:r>
          </w:p>
        </w:tc>
        <w:tc>
          <w:tcPr>
            <w:tcW w:w="560" w:type="dxa"/>
            <w:vAlign w:val="bottom"/>
            <w:tcBorders>
              <w:bottom w:val="single" w:sz="8" w:color="FFC000"/>
            </w:tcBorders>
            <w:shd w:val="clear" w:color="auto" w:fill="FFC000"/>
          </w:tcPr>
          <w:p>
            <w:pPr>
              <w:spacing w:after="0"/>
              <w:rPr>
                <w:sz w:val="20"/>
                <w:szCs w:val="20"/>
                <w:color w:val="auto"/>
              </w:rPr>
            </w:pPr>
          </w:p>
        </w:tc>
        <w:tc>
          <w:tcPr>
            <w:tcW w:w="1000" w:type="dxa"/>
            <w:vAlign w:val="bottom"/>
            <w:tcBorders>
              <w:bottom w:val="single" w:sz="8" w:color="FFC000"/>
            </w:tcBorders>
            <w:shd w:val="clear" w:color="auto" w:fill="FFC000"/>
          </w:tcPr>
          <w:p>
            <w:pPr>
              <w:spacing w:after="0"/>
              <w:rPr>
                <w:sz w:val="20"/>
                <w:szCs w:val="20"/>
                <w:color w:val="auto"/>
              </w:rPr>
            </w:pPr>
          </w:p>
        </w:tc>
        <w:tc>
          <w:tcPr>
            <w:tcW w:w="1920" w:type="dxa"/>
            <w:vAlign w:val="bottom"/>
            <w:tcBorders>
              <w:bottom w:val="single" w:sz="8" w:color="E7F1F5"/>
            </w:tcBorders>
            <w:gridSpan w:val="2"/>
            <w:shd w:val="clear" w:color="auto" w:fill="E7F1F5"/>
          </w:tcPr>
          <w:p>
            <w:pPr>
              <w:jc w:val="right"/>
              <w:ind w:right="493"/>
              <w:spacing w:after="0"/>
              <w:rPr>
                <w:sz w:val="20"/>
                <w:szCs w:val="20"/>
                <w:color w:val="auto"/>
              </w:rPr>
            </w:pPr>
            <w:r>
              <w:rPr>
                <w:rFonts w:ascii="Arial" w:cs="Arial" w:eastAsia="Arial" w:hAnsi="Arial"/>
                <w:sz w:val="13"/>
                <w:szCs w:val="13"/>
                <w:b w:val="1"/>
                <w:bCs w:val="1"/>
                <w:color w:val="0E191E"/>
              </w:rPr>
              <w:t>Time-Based</w:t>
            </w:r>
          </w:p>
        </w:tc>
        <w:tc>
          <w:tcPr>
            <w:tcW w:w="2540" w:type="dxa"/>
            <w:vAlign w:val="bottom"/>
            <w:tcBorders>
              <w:bottom w:val="single" w:sz="8" w:color="E7F1F5"/>
            </w:tcBorders>
            <w:gridSpan w:val="2"/>
            <w:shd w:val="clear" w:color="auto" w:fill="E7F1F5"/>
          </w:tcPr>
          <w:p>
            <w:pPr>
              <w:jc w:val="right"/>
              <w:ind w:right="555"/>
              <w:spacing w:after="0"/>
              <w:rPr>
                <w:sz w:val="20"/>
                <w:szCs w:val="20"/>
                <w:color w:val="auto"/>
              </w:rPr>
            </w:pPr>
            <w:r>
              <w:rPr>
                <w:rFonts w:ascii="Arial" w:cs="Arial" w:eastAsia="Arial" w:hAnsi="Arial"/>
                <w:sz w:val="13"/>
                <w:szCs w:val="13"/>
                <w:b w:val="1"/>
                <w:bCs w:val="1"/>
                <w:color w:val="0E191E"/>
              </w:rPr>
              <w:t>Performance-Based</w:t>
            </w:r>
          </w:p>
        </w:tc>
        <w:tc>
          <w:tcPr>
            <w:tcW w:w="0" w:type="dxa"/>
            <w:vAlign w:val="bottom"/>
          </w:tcPr>
          <w:p>
            <w:pPr>
              <w:spacing w:after="0"/>
              <w:rPr>
                <w:sz w:val="1"/>
                <w:szCs w:val="1"/>
                <w:color w:val="auto"/>
              </w:rPr>
            </w:pPr>
          </w:p>
        </w:tc>
      </w:tr>
      <w:tr>
        <w:trPr>
          <w:trHeight w:val="181"/>
        </w:trPr>
        <w:tc>
          <w:tcPr>
            <w:tcW w:w="1220" w:type="dxa"/>
            <w:vAlign w:val="bottom"/>
            <w:shd w:val="clear" w:color="auto" w:fill="00739D"/>
          </w:tcPr>
          <w:p>
            <w:pPr>
              <w:spacing w:after="0"/>
              <w:rPr>
                <w:sz w:val="15"/>
                <w:szCs w:val="15"/>
                <w:color w:val="auto"/>
              </w:rPr>
            </w:pPr>
          </w:p>
        </w:tc>
        <w:tc>
          <w:tcPr>
            <w:tcW w:w="900" w:type="dxa"/>
            <w:vAlign w:val="bottom"/>
            <w:shd w:val="clear" w:color="auto" w:fill="00739D"/>
          </w:tcPr>
          <w:p>
            <w:pPr>
              <w:spacing w:after="0"/>
              <w:rPr>
                <w:sz w:val="15"/>
                <w:szCs w:val="15"/>
                <w:color w:val="auto"/>
              </w:rPr>
            </w:pPr>
          </w:p>
        </w:tc>
        <w:tc>
          <w:tcPr>
            <w:tcW w:w="500" w:type="dxa"/>
            <w:vAlign w:val="bottom"/>
            <w:shd w:val="clear" w:color="auto" w:fill="00739D"/>
          </w:tcPr>
          <w:p>
            <w:pPr>
              <w:spacing w:after="0"/>
              <w:rPr>
                <w:sz w:val="15"/>
                <w:szCs w:val="15"/>
                <w:color w:val="auto"/>
              </w:rPr>
            </w:pPr>
          </w:p>
        </w:tc>
        <w:tc>
          <w:tcPr>
            <w:tcW w:w="920" w:type="dxa"/>
            <w:vAlign w:val="bottom"/>
            <w:shd w:val="clear" w:color="auto" w:fill="00739D"/>
          </w:tcPr>
          <w:p>
            <w:pPr>
              <w:spacing w:after="0"/>
              <w:rPr>
                <w:sz w:val="15"/>
                <w:szCs w:val="15"/>
                <w:color w:val="auto"/>
              </w:rPr>
            </w:pPr>
          </w:p>
        </w:tc>
        <w:tc>
          <w:tcPr>
            <w:tcW w:w="1680" w:type="dxa"/>
            <w:vAlign w:val="bottom"/>
            <w:shd w:val="clear" w:color="auto" w:fill="00739D"/>
          </w:tcPr>
          <w:p>
            <w:pPr>
              <w:spacing w:after="0"/>
              <w:rPr>
                <w:sz w:val="15"/>
                <w:szCs w:val="15"/>
                <w:color w:val="auto"/>
              </w:rPr>
            </w:pPr>
          </w:p>
        </w:tc>
        <w:tc>
          <w:tcPr>
            <w:tcW w:w="560" w:type="dxa"/>
            <w:vAlign w:val="bottom"/>
            <w:shd w:val="clear" w:color="auto" w:fill="00739D"/>
          </w:tcPr>
          <w:p>
            <w:pPr>
              <w:spacing w:after="0"/>
              <w:rPr>
                <w:sz w:val="15"/>
                <w:szCs w:val="15"/>
                <w:color w:val="auto"/>
              </w:rPr>
            </w:pPr>
          </w:p>
        </w:tc>
        <w:tc>
          <w:tcPr>
            <w:tcW w:w="1000" w:type="dxa"/>
            <w:vAlign w:val="bottom"/>
            <w:shd w:val="clear" w:color="auto" w:fill="00739D"/>
          </w:tcPr>
          <w:p>
            <w:pPr>
              <w:spacing w:after="0"/>
              <w:rPr>
                <w:sz w:val="15"/>
                <w:szCs w:val="15"/>
                <w:color w:val="auto"/>
              </w:rPr>
            </w:pPr>
          </w:p>
        </w:tc>
        <w:tc>
          <w:tcPr>
            <w:tcW w:w="940" w:type="dxa"/>
            <w:vAlign w:val="bottom"/>
            <w:shd w:val="clear" w:color="auto" w:fill="00739D"/>
          </w:tcPr>
          <w:p>
            <w:pPr>
              <w:spacing w:after="0"/>
              <w:rPr>
                <w:sz w:val="15"/>
                <w:szCs w:val="15"/>
                <w:color w:val="auto"/>
              </w:rPr>
            </w:pPr>
          </w:p>
        </w:tc>
        <w:tc>
          <w:tcPr>
            <w:tcW w:w="980" w:type="dxa"/>
            <w:vAlign w:val="bottom"/>
            <w:shd w:val="clear" w:color="auto" w:fill="00739D"/>
          </w:tcPr>
          <w:p>
            <w:pPr>
              <w:spacing w:after="0"/>
              <w:rPr>
                <w:sz w:val="15"/>
                <w:szCs w:val="15"/>
                <w:color w:val="auto"/>
              </w:rPr>
            </w:pPr>
          </w:p>
        </w:tc>
        <w:tc>
          <w:tcPr>
            <w:tcW w:w="11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Equity Incentive</w:t>
            </w:r>
          </w:p>
        </w:tc>
        <w:tc>
          <w:tcPr>
            <w:tcW w:w="1360" w:type="dxa"/>
            <w:vAlign w:val="bottom"/>
            <w:shd w:val="clear" w:color="auto" w:fill="00739D"/>
          </w:tcPr>
          <w:p>
            <w:pPr>
              <w:jc w:val="right"/>
              <w:ind w:right="95"/>
              <w:spacing w:after="0"/>
              <w:rPr>
                <w:sz w:val="20"/>
                <w:szCs w:val="20"/>
                <w:color w:val="auto"/>
              </w:rPr>
            </w:pPr>
            <w:r>
              <w:rPr>
                <w:rFonts w:ascii="Arial" w:cs="Arial" w:eastAsia="Arial" w:hAnsi="Arial"/>
                <w:sz w:val="13"/>
                <w:szCs w:val="13"/>
                <w:b w:val="1"/>
                <w:bCs w:val="1"/>
                <w:color w:val="FFFFFF"/>
              </w:rPr>
              <w:t>Equity Incentive</w:t>
            </w:r>
          </w:p>
        </w:tc>
        <w:tc>
          <w:tcPr>
            <w:tcW w:w="0" w:type="dxa"/>
            <w:vAlign w:val="bottom"/>
          </w:tcPr>
          <w:p>
            <w:pPr>
              <w:spacing w:after="0"/>
              <w:rPr>
                <w:sz w:val="1"/>
                <w:szCs w:val="1"/>
                <w:color w:val="auto"/>
              </w:rPr>
            </w:pPr>
          </w:p>
        </w:tc>
      </w:tr>
      <w:tr>
        <w:trPr>
          <w:trHeight w:val="148"/>
        </w:trPr>
        <w:tc>
          <w:tcPr>
            <w:tcW w:w="1220" w:type="dxa"/>
            <w:vAlign w:val="bottom"/>
            <w:shd w:val="clear" w:color="auto" w:fill="00739D"/>
          </w:tcPr>
          <w:p>
            <w:pPr>
              <w:spacing w:after="0"/>
              <w:rPr>
                <w:sz w:val="12"/>
                <w:szCs w:val="12"/>
                <w:color w:val="auto"/>
              </w:rPr>
            </w:pPr>
          </w:p>
        </w:tc>
        <w:tc>
          <w:tcPr>
            <w:tcW w:w="900" w:type="dxa"/>
            <w:vAlign w:val="bottom"/>
            <w:shd w:val="clear" w:color="auto" w:fill="00739D"/>
          </w:tcPr>
          <w:p>
            <w:pPr>
              <w:spacing w:after="0"/>
              <w:rPr>
                <w:sz w:val="12"/>
                <w:szCs w:val="12"/>
                <w:color w:val="auto"/>
              </w:rPr>
            </w:pPr>
          </w:p>
        </w:tc>
        <w:tc>
          <w:tcPr>
            <w:tcW w:w="500" w:type="dxa"/>
            <w:vAlign w:val="bottom"/>
            <w:shd w:val="clear" w:color="auto" w:fill="00739D"/>
          </w:tcPr>
          <w:p>
            <w:pPr>
              <w:spacing w:after="0"/>
              <w:rPr>
                <w:sz w:val="12"/>
                <w:szCs w:val="12"/>
                <w:color w:val="auto"/>
              </w:rPr>
            </w:pPr>
          </w:p>
        </w:tc>
        <w:tc>
          <w:tcPr>
            <w:tcW w:w="920" w:type="dxa"/>
            <w:vAlign w:val="bottom"/>
            <w:shd w:val="clear" w:color="auto" w:fill="00739D"/>
          </w:tcPr>
          <w:p>
            <w:pPr>
              <w:spacing w:after="0"/>
              <w:rPr>
                <w:sz w:val="12"/>
                <w:szCs w:val="12"/>
                <w:color w:val="auto"/>
              </w:rPr>
            </w:pPr>
          </w:p>
        </w:tc>
        <w:tc>
          <w:tcPr>
            <w:tcW w:w="1680" w:type="dxa"/>
            <w:vAlign w:val="bottom"/>
            <w:shd w:val="clear" w:color="auto" w:fill="00739D"/>
          </w:tcPr>
          <w:p>
            <w:pPr>
              <w:spacing w:after="0"/>
              <w:rPr>
                <w:sz w:val="12"/>
                <w:szCs w:val="12"/>
                <w:color w:val="auto"/>
              </w:rPr>
            </w:pPr>
          </w:p>
        </w:tc>
        <w:tc>
          <w:tcPr>
            <w:tcW w:w="560" w:type="dxa"/>
            <w:vAlign w:val="bottom"/>
            <w:shd w:val="clear" w:color="auto" w:fill="00739D"/>
          </w:tcPr>
          <w:p>
            <w:pPr>
              <w:spacing w:after="0"/>
              <w:rPr>
                <w:sz w:val="12"/>
                <w:szCs w:val="12"/>
                <w:color w:val="auto"/>
              </w:rPr>
            </w:pPr>
          </w:p>
        </w:tc>
        <w:tc>
          <w:tcPr>
            <w:tcW w:w="1000" w:type="dxa"/>
            <w:vAlign w:val="bottom"/>
            <w:shd w:val="clear" w:color="auto" w:fill="00739D"/>
          </w:tcPr>
          <w:p>
            <w:pPr>
              <w:spacing w:after="0"/>
              <w:rPr>
                <w:sz w:val="12"/>
                <w:szCs w:val="12"/>
                <w:color w:val="auto"/>
              </w:rPr>
            </w:pPr>
          </w:p>
        </w:tc>
        <w:tc>
          <w:tcPr>
            <w:tcW w:w="940" w:type="dxa"/>
            <w:vAlign w:val="bottom"/>
            <w:shd w:val="clear" w:color="auto" w:fill="00739D"/>
          </w:tcPr>
          <w:p>
            <w:pPr>
              <w:spacing w:after="0"/>
              <w:rPr>
                <w:sz w:val="12"/>
                <w:szCs w:val="12"/>
                <w:color w:val="auto"/>
              </w:rPr>
            </w:pPr>
          </w:p>
        </w:tc>
        <w:tc>
          <w:tcPr>
            <w:tcW w:w="980" w:type="dxa"/>
            <w:vAlign w:val="bottom"/>
            <w:shd w:val="clear" w:color="auto" w:fill="00739D"/>
          </w:tcPr>
          <w:p>
            <w:pPr>
              <w:spacing w:after="0"/>
              <w:rPr>
                <w:sz w:val="12"/>
                <w:szCs w:val="12"/>
                <w:color w:val="auto"/>
              </w:rPr>
            </w:pPr>
          </w:p>
        </w:tc>
        <w:tc>
          <w:tcPr>
            <w:tcW w:w="11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Plan</w:t>
            </w:r>
          </w:p>
        </w:tc>
        <w:tc>
          <w:tcPr>
            <w:tcW w:w="1360" w:type="dxa"/>
            <w:vAlign w:val="bottom"/>
            <w:shd w:val="clear" w:color="auto" w:fill="00739D"/>
          </w:tcPr>
          <w:p>
            <w:pPr>
              <w:jc w:val="right"/>
              <w:ind w:right="135"/>
              <w:spacing w:after="0"/>
              <w:rPr>
                <w:sz w:val="20"/>
                <w:szCs w:val="20"/>
                <w:color w:val="auto"/>
              </w:rPr>
            </w:pPr>
            <w:r>
              <w:rPr>
                <w:rFonts w:ascii="Arial" w:cs="Arial" w:eastAsia="Arial" w:hAnsi="Arial"/>
                <w:sz w:val="13"/>
                <w:szCs w:val="13"/>
                <w:b w:val="1"/>
                <w:bCs w:val="1"/>
                <w:color w:val="FFFFFF"/>
              </w:rPr>
              <w:t>Plan</w:t>
            </w:r>
          </w:p>
        </w:tc>
        <w:tc>
          <w:tcPr>
            <w:tcW w:w="0" w:type="dxa"/>
            <w:vAlign w:val="bottom"/>
          </w:tcPr>
          <w:p>
            <w:pPr>
              <w:spacing w:after="0"/>
              <w:rPr>
                <w:sz w:val="1"/>
                <w:szCs w:val="1"/>
                <w:color w:val="auto"/>
              </w:rPr>
            </w:pPr>
          </w:p>
        </w:tc>
      </w:tr>
      <w:tr>
        <w:trPr>
          <w:trHeight w:val="149"/>
        </w:trPr>
        <w:tc>
          <w:tcPr>
            <w:tcW w:w="1220" w:type="dxa"/>
            <w:vAlign w:val="bottom"/>
            <w:shd w:val="clear" w:color="auto" w:fill="00739D"/>
          </w:tcPr>
          <w:p>
            <w:pPr>
              <w:spacing w:after="0"/>
              <w:rPr>
                <w:sz w:val="12"/>
                <w:szCs w:val="12"/>
                <w:color w:val="auto"/>
              </w:rPr>
            </w:pPr>
          </w:p>
        </w:tc>
        <w:tc>
          <w:tcPr>
            <w:tcW w:w="900" w:type="dxa"/>
            <w:vAlign w:val="bottom"/>
            <w:shd w:val="clear" w:color="auto" w:fill="00739D"/>
          </w:tcPr>
          <w:p>
            <w:pPr>
              <w:spacing w:after="0"/>
              <w:rPr>
                <w:sz w:val="12"/>
                <w:szCs w:val="12"/>
                <w:color w:val="auto"/>
              </w:rPr>
            </w:pPr>
          </w:p>
        </w:tc>
        <w:tc>
          <w:tcPr>
            <w:tcW w:w="500" w:type="dxa"/>
            <w:vAlign w:val="bottom"/>
            <w:shd w:val="clear" w:color="auto" w:fill="00739D"/>
          </w:tcPr>
          <w:p>
            <w:pPr>
              <w:spacing w:after="0"/>
              <w:rPr>
                <w:sz w:val="12"/>
                <w:szCs w:val="12"/>
                <w:color w:val="auto"/>
              </w:rPr>
            </w:pPr>
          </w:p>
        </w:tc>
        <w:tc>
          <w:tcPr>
            <w:tcW w:w="920" w:type="dxa"/>
            <w:vAlign w:val="bottom"/>
            <w:shd w:val="clear" w:color="auto" w:fill="00739D"/>
          </w:tcPr>
          <w:p>
            <w:pPr>
              <w:spacing w:after="0"/>
              <w:rPr>
                <w:sz w:val="12"/>
                <w:szCs w:val="12"/>
                <w:color w:val="auto"/>
              </w:rPr>
            </w:pPr>
          </w:p>
        </w:tc>
        <w:tc>
          <w:tcPr>
            <w:tcW w:w="1680" w:type="dxa"/>
            <w:vAlign w:val="bottom"/>
            <w:shd w:val="clear" w:color="auto" w:fill="00739D"/>
          </w:tcPr>
          <w:p>
            <w:pPr>
              <w:spacing w:after="0"/>
              <w:rPr>
                <w:sz w:val="12"/>
                <w:szCs w:val="12"/>
                <w:color w:val="auto"/>
              </w:rPr>
            </w:pPr>
          </w:p>
        </w:tc>
        <w:tc>
          <w:tcPr>
            <w:tcW w:w="560" w:type="dxa"/>
            <w:vAlign w:val="bottom"/>
            <w:shd w:val="clear" w:color="auto" w:fill="00739D"/>
          </w:tcPr>
          <w:p>
            <w:pPr>
              <w:spacing w:after="0"/>
              <w:rPr>
                <w:sz w:val="12"/>
                <w:szCs w:val="12"/>
                <w:color w:val="auto"/>
              </w:rPr>
            </w:pPr>
          </w:p>
        </w:tc>
        <w:tc>
          <w:tcPr>
            <w:tcW w:w="1000" w:type="dxa"/>
            <w:vAlign w:val="bottom"/>
            <w:shd w:val="clear" w:color="auto" w:fill="00739D"/>
          </w:tcPr>
          <w:p>
            <w:pPr>
              <w:spacing w:after="0"/>
              <w:rPr>
                <w:sz w:val="12"/>
                <w:szCs w:val="12"/>
                <w:color w:val="auto"/>
              </w:rPr>
            </w:pPr>
          </w:p>
        </w:tc>
        <w:tc>
          <w:tcPr>
            <w:tcW w:w="940" w:type="dxa"/>
            <w:vAlign w:val="bottom"/>
            <w:shd w:val="clear" w:color="auto" w:fill="00739D"/>
          </w:tcPr>
          <w:p>
            <w:pPr>
              <w:spacing w:after="0"/>
              <w:rPr>
                <w:sz w:val="12"/>
                <w:szCs w:val="12"/>
                <w:color w:val="auto"/>
              </w:rPr>
            </w:pPr>
          </w:p>
        </w:tc>
        <w:tc>
          <w:tcPr>
            <w:tcW w:w="980" w:type="dxa"/>
            <w:vAlign w:val="bottom"/>
            <w:shd w:val="clear" w:color="auto" w:fill="00739D"/>
          </w:tcPr>
          <w:p>
            <w:pPr>
              <w:spacing w:after="0"/>
              <w:rPr>
                <w:sz w:val="12"/>
                <w:szCs w:val="12"/>
                <w:color w:val="auto"/>
              </w:rPr>
            </w:pPr>
          </w:p>
        </w:tc>
        <w:tc>
          <w:tcPr>
            <w:tcW w:w="11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Awards:</w:t>
            </w:r>
          </w:p>
        </w:tc>
        <w:tc>
          <w:tcPr>
            <w:tcW w:w="1360" w:type="dxa"/>
            <w:vAlign w:val="bottom"/>
            <w:shd w:val="clear" w:color="auto" w:fill="00739D"/>
          </w:tcPr>
          <w:p>
            <w:pPr>
              <w:jc w:val="right"/>
              <w:ind w:right="95"/>
              <w:spacing w:after="0"/>
              <w:rPr>
                <w:sz w:val="20"/>
                <w:szCs w:val="20"/>
                <w:color w:val="auto"/>
              </w:rPr>
            </w:pPr>
            <w:r>
              <w:rPr>
                <w:rFonts w:ascii="Arial" w:cs="Arial" w:eastAsia="Arial" w:hAnsi="Arial"/>
                <w:sz w:val="13"/>
                <w:szCs w:val="13"/>
                <w:b w:val="1"/>
                <w:bCs w:val="1"/>
                <w:color w:val="FFFFFF"/>
              </w:rPr>
              <w:t>Awards:</w:t>
            </w:r>
          </w:p>
        </w:tc>
        <w:tc>
          <w:tcPr>
            <w:tcW w:w="0" w:type="dxa"/>
            <w:vAlign w:val="bottom"/>
          </w:tcPr>
          <w:p>
            <w:pPr>
              <w:spacing w:after="0"/>
              <w:rPr>
                <w:sz w:val="1"/>
                <w:szCs w:val="1"/>
                <w:color w:val="auto"/>
              </w:rPr>
            </w:pPr>
          </w:p>
        </w:tc>
      </w:tr>
      <w:tr>
        <w:trPr>
          <w:trHeight w:val="148"/>
        </w:trPr>
        <w:tc>
          <w:tcPr>
            <w:tcW w:w="1220" w:type="dxa"/>
            <w:vAlign w:val="bottom"/>
            <w:shd w:val="clear" w:color="auto" w:fill="00739D"/>
          </w:tcPr>
          <w:p>
            <w:pPr>
              <w:spacing w:after="0"/>
              <w:rPr>
                <w:sz w:val="12"/>
                <w:szCs w:val="12"/>
                <w:color w:val="auto"/>
              </w:rPr>
            </w:pPr>
          </w:p>
        </w:tc>
        <w:tc>
          <w:tcPr>
            <w:tcW w:w="900" w:type="dxa"/>
            <w:vAlign w:val="bottom"/>
            <w:shd w:val="clear" w:color="auto" w:fill="00739D"/>
          </w:tcPr>
          <w:p>
            <w:pPr>
              <w:spacing w:after="0"/>
              <w:rPr>
                <w:sz w:val="12"/>
                <w:szCs w:val="12"/>
                <w:color w:val="auto"/>
              </w:rPr>
            </w:pPr>
          </w:p>
        </w:tc>
        <w:tc>
          <w:tcPr>
            <w:tcW w:w="500" w:type="dxa"/>
            <w:vAlign w:val="bottom"/>
            <w:shd w:val="clear" w:color="auto" w:fill="00739D"/>
          </w:tcPr>
          <w:p>
            <w:pPr>
              <w:spacing w:after="0"/>
              <w:rPr>
                <w:sz w:val="12"/>
                <w:szCs w:val="12"/>
                <w:color w:val="auto"/>
              </w:rPr>
            </w:pPr>
          </w:p>
        </w:tc>
        <w:tc>
          <w:tcPr>
            <w:tcW w:w="920" w:type="dxa"/>
            <w:vAlign w:val="bottom"/>
            <w:shd w:val="clear" w:color="auto" w:fill="00739D"/>
          </w:tcPr>
          <w:p>
            <w:pPr>
              <w:jc w:val="center"/>
              <w:ind w:left="117"/>
              <w:spacing w:after="0"/>
              <w:rPr>
                <w:sz w:val="20"/>
                <w:szCs w:val="20"/>
                <w:color w:val="auto"/>
              </w:rPr>
            </w:pPr>
            <w:r>
              <w:rPr>
                <w:rFonts w:ascii="Arial" w:cs="Arial" w:eastAsia="Arial" w:hAnsi="Arial"/>
                <w:sz w:val="13"/>
                <w:szCs w:val="13"/>
                <w:b w:val="1"/>
                <w:bCs w:val="1"/>
                <w:color w:val="FFFFFF"/>
                <w:w w:val="95"/>
              </w:rPr>
              <w:t>Number of</w:t>
            </w:r>
          </w:p>
        </w:tc>
        <w:tc>
          <w:tcPr>
            <w:tcW w:w="1680" w:type="dxa"/>
            <w:vAlign w:val="bottom"/>
            <w:shd w:val="clear" w:color="auto" w:fill="00739D"/>
          </w:tcPr>
          <w:p>
            <w:pPr>
              <w:jc w:val="center"/>
              <w:ind w:right="36"/>
              <w:spacing w:after="0"/>
              <w:rPr>
                <w:sz w:val="20"/>
                <w:szCs w:val="20"/>
                <w:color w:val="auto"/>
              </w:rPr>
            </w:pPr>
            <w:r>
              <w:rPr>
                <w:rFonts w:ascii="Arial" w:cs="Arial" w:eastAsia="Arial" w:hAnsi="Arial"/>
                <w:sz w:val="13"/>
                <w:szCs w:val="13"/>
                <w:b w:val="1"/>
                <w:bCs w:val="1"/>
                <w:color w:val="FFFFFF"/>
                <w:w w:val="95"/>
              </w:rPr>
              <w:t>Number of</w:t>
            </w:r>
          </w:p>
        </w:tc>
        <w:tc>
          <w:tcPr>
            <w:tcW w:w="560" w:type="dxa"/>
            <w:vAlign w:val="bottom"/>
            <w:shd w:val="clear" w:color="auto" w:fill="00739D"/>
          </w:tcPr>
          <w:p>
            <w:pPr>
              <w:spacing w:after="0"/>
              <w:rPr>
                <w:sz w:val="12"/>
                <w:szCs w:val="12"/>
                <w:color w:val="auto"/>
              </w:rPr>
            </w:pPr>
          </w:p>
        </w:tc>
        <w:tc>
          <w:tcPr>
            <w:tcW w:w="1000" w:type="dxa"/>
            <w:vAlign w:val="bottom"/>
            <w:shd w:val="clear" w:color="auto" w:fill="00739D"/>
          </w:tcPr>
          <w:p>
            <w:pPr>
              <w:spacing w:after="0"/>
              <w:rPr>
                <w:sz w:val="12"/>
                <w:szCs w:val="12"/>
                <w:color w:val="auto"/>
              </w:rPr>
            </w:pPr>
          </w:p>
        </w:tc>
        <w:tc>
          <w:tcPr>
            <w:tcW w:w="9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980" w:type="dxa"/>
            <w:vAlign w:val="bottom"/>
            <w:shd w:val="clear" w:color="auto" w:fill="00739D"/>
          </w:tcPr>
          <w:p>
            <w:pPr>
              <w:jc w:val="right"/>
              <w:spacing w:after="0"/>
              <w:rPr>
                <w:sz w:val="20"/>
                <w:szCs w:val="20"/>
                <w:color w:val="auto"/>
              </w:rPr>
            </w:pPr>
            <w:r>
              <w:rPr>
                <w:rFonts w:ascii="Arial" w:cs="Arial" w:eastAsia="Arial" w:hAnsi="Arial"/>
                <w:sz w:val="13"/>
                <w:szCs w:val="13"/>
                <w:b w:val="1"/>
                <w:bCs w:val="1"/>
                <w:color w:val="FFFFFF"/>
                <w:w w:val="97"/>
              </w:rPr>
              <w:t>Market Value of</w:t>
            </w:r>
          </w:p>
        </w:tc>
        <w:tc>
          <w:tcPr>
            <w:tcW w:w="11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360" w:type="dxa"/>
            <w:vAlign w:val="bottom"/>
            <w:shd w:val="clear" w:color="auto" w:fill="00739D"/>
          </w:tcPr>
          <w:p>
            <w:pPr>
              <w:jc w:val="right"/>
              <w:ind w:right="95"/>
              <w:spacing w:after="0"/>
              <w:rPr>
                <w:sz w:val="20"/>
                <w:szCs w:val="20"/>
                <w:color w:val="auto"/>
              </w:rPr>
            </w:pPr>
            <w:r>
              <w:rPr>
                <w:rFonts w:ascii="Arial" w:cs="Arial" w:eastAsia="Arial" w:hAnsi="Arial"/>
                <w:sz w:val="13"/>
                <w:szCs w:val="13"/>
                <w:b w:val="1"/>
                <w:bCs w:val="1"/>
                <w:color w:val="FFFFFF"/>
              </w:rPr>
              <w:t>Market or Payout</w:t>
            </w:r>
          </w:p>
        </w:tc>
        <w:tc>
          <w:tcPr>
            <w:tcW w:w="0" w:type="dxa"/>
            <w:vAlign w:val="bottom"/>
          </w:tcPr>
          <w:p>
            <w:pPr>
              <w:spacing w:after="0"/>
              <w:rPr>
                <w:sz w:val="1"/>
                <w:szCs w:val="1"/>
                <w:color w:val="auto"/>
              </w:rPr>
            </w:pPr>
          </w:p>
        </w:tc>
      </w:tr>
      <w:tr>
        <w:trPr>
          <w:trHeight w:val="148"/>
        </w:trPr>
        <w:tc>
          <w:tcPr>
            <w:tcW w:w="1220" w:type="dxa"/>
            <w:vAlign w:val="bottom"/>
            <w:shd w:val="clear" w:color="auto" w:fill="00739D"/>
          </w:tcPr>
          <w:p>
            <w:pPr>
              <w:spacing w:after="0"/>
              <w:rPr>
                <w:sz w:val="12"/>
                <w:szCs w:val="12"/>
                <w:color w:val="auto"/>
              </w:rPr>
            </w:pPr>
          </w:p>
        </w:tc>
        <w:tc>
          <w:tcPr>
            <w:tcW w:w="900" w:type="dxa"/>
            <w:vAlign w:val="bottom"/>
            <w:shd w:val="clear" w:color="auto" w:fill="00739D"/>
          </w:tcPr>
          <w:p>
            <w:pPr>
              <w:spacing w:after="0"/>
              <w:rPr>
                <w:sz w:val="12"/>
                <w:szCs w:val="12"/>
                <w:color w:val="auto"/>
              </w:rPr>
            </w:pPr>
          </w:p>
        </w:tc>
        <w:tc>
          <w:tcPr>
            <w:tcW w:w="500" w:type="dxa"/>
            <w:vAlign w:val="bottom"/>
            <w:shd w:val="clear" w:color="auto" w:fill="00739D"/>
          </w:tcPr>
          <w:p>
            <w:pPr>
              <w:spacing w:after="0"/>
              <w:rPr>
                <w:sz w:val="12"/>
                <w:szCs w:val="12"/>
                <w:color w:val="auto"/>
              </w:rPr>
            </w:pPr>
          </w:p>
        </w:tc>
        <w:tc>
          <w:tcPr>
            <w:tcW w:w="920" w:type="dxa"/>
            <w:vAlign w:val="bottom"/>
            <w:shd w:val="clear" w:color="auto" w:fill="00739D"/>
          </w:tcPr>
          <w:p>
            <w:pPr>
              <w:jc w:val="center"/>
              <w:ind w:left="97"/>
              <w:spacing w:after="0"/>
              <w:rPr>
                <w:sz w:val="20"/>
                <w:szCs w:val="20"/>
                <w:color w:val="auto"/>
              </w:rPr>
            </w:pPr>
            <w:r>
              <w:rPr>
                <w:rFonts w:ascii="Arial" w:cs="Arial" w:eastAsia="Arial" w:hAnsi="Arial"/>
                <w:sz w:val="13"/>
                <w:szCs w:val="13"/>
                <w:b w:val="1"/>
                <w:bCs w:val="1"/>
                <w:color w:val="FFFFFF"/>
                <w:w w:val="96"/>
              </w:rPr>
              <w:t>Securities</w:t>
            </w:r>
          </w:p>
        </w:tc>
        <w:tc>
          <w:tcPr>
            <w:tcW w:w="1680" w:type="dxa"/>
            <w:vAlign w:val="bottom"/>
            <w:shd w:val="clear" w:color="auto" w:fill="00739D"/>
          </w:tcPr>
          <w:p>
            <w:pPr>
              <w:jc w:val="center"/>
              <w:ind w:right="16"/>
              <w:spacing w:after="0"/>
              <w:rPr>
                <w:sz w:val="20"/>
                <w:szCs w:val="20"/>
                <w:color w:val="auto"/>
              </w:rPr>
            </w:pPr>
            <w:r>
              <w:rPr>
                <w:rFonts w:ascii="Arial" w:cs="Arial" w:eastAsia="Arial" w:hAnsi="Arial"/>
                <w:sz w:val="13"/>
                <w:szCs w:val="13"/>
                <w:b w:val="1"/>
                <w:bCs w:val="1"/>
                <w:color w:val="FFFFFF"/>
                <w:w w:val="96"/>
              </w:rPr>
              <w:t>Securities</w:t>
            </w:r>
          </w:p>
        </w:tc>
        <w:tc>
          <w:tcPr>
            <w:tcW w:w="560" w:type="dxa"/>
            <w:vAlign w:val="bottom"/>
            <w:shd w:val="clear" w:color="auto" w:fill="00739D"/>
          </w:tcPr>
          <w:p>
            <w:pPr>
              <w:spacing w:after="0"/>
              <w:rPr>
                <w:sz w:val="12"/>
                <w:szCs w:val="12"/>
                <w:color w:val="auto"/>
              </w:rPr>
            </w:pPr>
          </w:p>
        </w:tc>
        <w:tc>
          <w:tcPr>
            <w:tcW w:w="1000" w:type="dxa"/>
            <w:vAlign w:val="bottom"/>
            <w:shd w:val="clear" w:color="auto" w:fill="00739D"/>
          </w:tcPr>
          <w:p>
            <w:pPr>
              <w:spacing w:after="0"/>
              <w:rPr>
                <w:sz w:val="12"/>
                <w:szCs w:val="12"/>
                <w:color w:val="auto"/>
              </w:rPr>
            </w:pPr>
          </w:p>
        </w:tc>
        <w:tc>
          <w:tcPr>
            <w:tcW w:w="9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Shares or</w:t>
            </w:r>
          </w:p>
        </w:tc>
        <w:tc>
          <w:tcPr>
            <w:tcW w:w="980" w:type="dxa"/>
            <w:vAlign w:val="bottom"/>
            <w:shd w:val="clear" w:color="auto" w:fill="00739D"/>
          </w:tcPr>
          <w:p>
            <w:pPr>
              <w:jc w:val="right"/>
              <w:spacing w:after="0"/>
              <w:rPr>
                <w:sz w:val="20"/>
                <w:szCs w:val="20"/>
                <w:color w:val="auto"/>
              </w:rPr>
            </w:pPr>
            <w:r>
              <w:rPr>
                <w:rFonts w:ascii="Arial" w:cs="Arial" w:eastAsia="Arial" w:hAnsi="Arial"/>
                <w:sz w:val="13"/>
                <w:szCs w:val="13"/>
                <w:b w:val="1"/>
                <w:bCs w:val="1"/>
                <w:color w:val="FFFFFF"/>
                <w:w w:val="97"/>
              </w:rPr>
              <w:t>Shares or Units</w:t>
            </w:r>
          </w:p>
        </w:tc>
        <w:tc>
          <w:tcPr>
            <w:tcW w:w="11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Unearned Shares,</w:t>
            </w:r>
          </w:p>
        </w:tc>
        <w:tc>
          <w:tcPr>
            <w:tcW w:w="1360" w:type="dxa"/>
            <w:vAlign w:val="bottom"/>
            <w:shd w:val="clear" w:color="auto" w:fill="00739D"/>
          </w:tcPr>
          <w:p>
            <w:pPr>
              <w:jc w:val="right"/>
              <w:ind w:right="95"/>
              <w:spacing w:after="0"/>
              <w:rPr>
                <w:sz w:val="20"/>
                <w:szCs w:val="20"/>
                <w:color w:val="auto"/>
              </w:rPr>
            </w:pPr>
            <w:r>
              <w:rPr>
                <w:rFonts w:ascii="Arial" w:cs="Arial" w:eastAsia="Arial" w:hAnsi="Arial"/>
                <w:sz w:val="13"/>
                <w:szCs w:val="13"/>
                <w:b w:val="1"/>
                <w:bCs w:val="1"/>
                <w:color w:val="FFFFFF"/>
              </w:rPr>
              <w:t>Value of Unearned</w:t>
            </w:r>
          </w:p>
        </w:tc>
        <w:tc>
          <w:tcPr>
            <w:tcW w:w="0" w:type="dxa"/>
            <w:vAlign w:val="bottom"/>
          </w:tcPr>
          <w:p>
            <w:pPr>
              <w:spacing w:after="0"/>
              <w:rPr>
                <w:sz w:val="1"/>
                <w:szCs w:val="1"/>
                <w:color w:val="auto"/>
              </w:rPr>
            </w:pPr>
          </w:p>
        </w:tc>
      </w:tr>
      <w:tr>
        <w:trPr>
          <w:trHeight w:val="148"/>
        </w:trPr>
        <w:tc>
          <w:tcPr>
            <w:tcW w:w="1220" w:type="dxa"/>
            <w:vAlign w:val="bottom"/>
            <w:shd w:val="clear" w:color="auto" w:fill="00739D"/>
          </w:tcPr>
          <w:p>
            <w:pPr>
              <w:spacing w:after="0"/>
              <w:rPr>
                <w:sz w:val="12"/>
                <w:szCs w:val="12"/>
                <w:color w:val="auto"/>
              </w:rPr>
            </w:pPr>
          </w:p>
        </w:tc>
        <w:tc>
          <w:tcPr>
            <w:tcW w:w="900" w:type="dxa"/>
            <w:vAlign w:val="bottom"/>
            <w:shd w:val="clear" w:color="auto" w:fill="00739D"/>
          </w:tcPr>
          <w:p>
            <w:pPr>
              <w:spacing w:after="0"/>
              <w:rPr>
                <w:sz w:val="12"/>
                <w:szCs w:val="12"/>
                <w:color w:val="auto"/>
              </w:rPr>
            </w:pPr>
          </w:p>
        </w:tc>
        <w:tc>
          <w:tcPr>
            <w:tcW w:w="500" w:type="dxa"/>
            <w:vAlign w:val="bottom"/>
            <w:shd w:val="clear" w:color="auto" w:fill="00739D"/>
          </w:tcPr>
          <w:p>
            <w:pPr>
              <w:spacing w:after="0"/>
              <w:rPr>
                <w:sz w:val="12"/>
                <w:szCs w:val="12"/>
                <w:color w:val="auto"/>
              </w:rPr>
            </w:pPr>
          </w:p>
        </w:tc>
        <w:tc>
          <w:tcPr>
            <w:tcW w:w="920" w:type="dxa"/>
            <w:vAlign w:val="bottom"/>
            <w:shd w:val="clear" w:color="auto" w:fill="00739D"/>
          </w:tcPr>
          <w:p>
            <w:pPr>
              <w:jc w:val="center"/>
              <w:ind w:left="117"/>
              <w:spacing w:after="0"/>
              <w:rPr>
                <w:sz w:val="20"/>
                <w:szCs w:val="20"/>
                <w:color w:val="auto"/>
              </w:rPr>
            </w:pPr>
            <w:r>
              <w:rPr>
                <w:rFonts w:ascii="Arial" w:cs="Arial" w:eastAsia="Arial" w:hAnsi="Arial"/>
                <w:sz w:val="13"/>
                <w:szCs w:val="13"/>
                <w:b w:val="1"/>
                <w:bCs w:val="1"/>
                <w:color w:val="FFFFFF"/>
                <w:w w:val="97"/>
              </w:rPr>
              <w:t>Underlying</w:t>
            </w:r>
          </w:p>
        </w:tc>
        <w:tc>
          <w:tcPr>
            <w:tcW w:w="1680" w:type="dxa"/>
            <w:vAlign w:val="bottom"/>
            <w:shd w:val="clear" w:color="auto" w:fill="00739D"/>
          </w:tcPr>
          <w:p>
            <w:pPr>
              <w:jc w:val="center"/>
              <w:ind w:right="36"/>
              <w:spacing w:after="0"/>
              <w:rPr>
                <w:sz w:val="20"/>
                <w:szCs w:val="20"/>
                <w:color w:val="auto"/>
              </w:rPr>
            </w:pPr>
            <w:r>
              <w:rPr>
                <w:rFonts w:ascii="Arial" w:cs="Arial" w:eastAsia="Arial" w:hAnsi="Arial"/>
                <w:sz w:val="13"/>
                <w:szCs w:val="13"/>
                <w:b w:val="1"/>
                <w:bCs w:val="1"/>
                <w:color w:val="FFFFFF"/>
                <w:w w:val="97"/>
              </w:rPr>
              <w:t>Underlying</w:t>
            </w:r>
          </w:p>
        </w:tc>
        <w:tc>
          <w:tcPr>
            <w:tcW w:w="560" w:type="dxa"/>
            <w:vAlign w:val="bottom"/>
            <w:shd w:val="clear" w:color="auto" w:fill="00739D"/>
          </w:tcPr>
          <w:p>
            <w:pPr>
              <w:jc w:val="right"/>
              <w:spacing w:after="0"/>
              <w:rPr>
                <w:sz w:val="20"/>
                <w:szCs w:val="20"/>
                <w:color w:val="auto"/>
              </w:rPr>
            </w:pPr>
            <w:r>
              <w:rPr>
                <w:rFonts w:ascii="Arial" w:cs="Arial" w:eastAsia="Arial" w:hAnsi="Arial"/>
                <w:sz w:val="13"/>
                <w:szCs w:val="13"/>
                <w:b w:val="1"/>
                <w:bCs w:val="1"/>
                <w:color w:val="FFFFFF"/>
              </w:rPr>
              <w:t>Option</w:t>
            </w:r>
          </w:p>
        </w:tc>
        <w:tc>
          <w:tcPr>
            <w:tcW w:w="1000" w:type="dxa"/>
            <w:vAlign w:val="bottom"/>
            <w:shd w:val="clear" w:color="auto" w:fill="00739D"/>
          </w:tcPr>
          <w:p>
            <w:pPr>
              <w:spacing w:after="0"/>
              <w:rPr>
                <w:sz w:val="12"/>
                <w:szCs w:val="12"/>
                <w:color w:val="auto"/>
              </w:rPr>
            </w:pPr>
          </w:p>
        </w:tc>
        <w:tc>
          <w:tcPr>
            <w:tcW w:w="9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Units of Stock</w:t>
            </w:r>
          </w:p>
        </w:tc>
        <w:tc>
          <w:tcPr>
            <w:tcW w:w="980" w:type="dxa"/>
            <w:vAlign w:val="bottom"/>
            <w:shd w:val="clear" w:color="auto" w:fill="00739D"/>
          </w:tcPr>
          <w:p>
            <w:pPr>
              <w:jc w:val="right"/>
              <w:spacing w:after="0"/>
              <w:rPr>
                <w:sz w:val="20"/>
                <w:szCs w:val="20"/>
                <w:color w:val="auto"/>
              </w:rPr>
            </w:pPr>
            <w:r>
              <w:rPr>
                <w:rFonts w:ascii="Arial" w:cs="Arial" w:eastAsia="Arial" w:hAnsi="Arial"/>
                <w:sz w:val="13"/>
                <w:szCs w:val="13"/>
                <w:b w:val="1"/>
                <w:bCs w:val="1"/>
                <w:color w:val="FFFFFF"/>
              </w:rPr>
              <w:t>of Stock that</w:t>
            </w:r>
          </w:p>
        </w:tc>
        <w:tc>
          <w:tcPr>
            <w:tcW w:w="11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Units or Other</w:t>
            </w:r>
          </w:p>
        </w:tc>
        <w:tc>
          <w:tcPr>
            <w:tcW w:w="1360" w:type="dxa"/>
            <w:vAlign w:val="bottom"/>
            <w:shd w:val="clear" w:color="auto" w:fill="00739D"/>
          </w:tcPr>
          <w:p>
            <w:pPr>
              <w:jc w:val="right"/>
              <w:ind w:right="95"/>
              <w:spacing w:after="0"/>
              <w:rPr>
                <w:sz w:val="20"/>
                <w:szCs w:val="20"/>
                <w:color w:val="auto"/>
              </w:rPr>
            </w:pPr>
            <w:r>
              <w:rPr>
                <w:rFonts w:ascii="Arial" w:cs="Arial" w:eastAsia="Arial" w:hAnsi="Arial"/>
                <w:sz w:val="13"/>
                <w:szCs w:val="13"/>
                <w:b w:val="1"/>
                <w:bCs w:val="1"/>
                <w:color w:val="FFFFFF"/>
              </w:rPr>
              <w:t>Shares, Units or</w:t>
            </w:r>
          </w:p>
        </w:tc>
        <w:tc>
          <w:tcPr>
            <w:tcW w:w="0" w:type="dxa"/>
            <w:vAlign w:val="bottom"/>
          </w:tcPr>
          <w:p>
            <w:pPr>
              <w:spacing w:after="0"/>
              <w:rPr>
                <w:sz w:val="1"/>
                <w:szCs w:val="1"/>
                <w:color w:val="auto"/>
              </w:rPr>
            </w:pPr>
          </w:p>
        </w:tc>
      </w:tr>
      <w:tr>
        <w:trPr>
          <w:trHeight w:val="148"/>
        </w:trPr>
        <w:tc>
          <w:tcPr>
            <w:tcW w:w="1220" w:type="dxa"/>
            <w:vAlign w:val="bottom"/>
            <w:shd w:val="clear" w:color="auto" w:fill="00739D"/>
          </w:tcPr>
          <w:p>
            <w:pPr>
              <w:spacing w:after="0"/>
              <w:rPr>
                <w:sz w:val="12"/>
                <w:szCs w:val="12"/>
                <w:color w:val="auto"/>
              </w:rPr>
            </w:pPr>
          </w:p>
        </w:tc>
        <w:tc>
          <w:tcPr>
            <w:tcW w:w="900" w:type="dxa"/>
            <w:vAlign w:val="bottom"/>
            <w:shd w:val="clear" w:color="auto" w:fill="00739D"/>
          </w:tcPr>
          <w:p>
            <w:pPr>
              <w:spacing w:after="0"/>
              <w:rPr>
                <w:sz w:val="12"/>
                <w:szCs w:val="12"/>
                <w:color w:val="auto"/>
              </w:rPr>
            </w:pPr>
          </w:p>
        </w:tc>
        <w:tc>
          <w:tcPr>
            <w:tcW w:w="500" w:type="dxa"/>
            <w:vAlign w:val="bottom"/>
            <w:shd w:val="clear" w:color="auto" w:fill="00739D"/>
          </w:tcPr>
          <w:p>
            <w:pPr>
              <w:spacing w:after="0"/>
              <w:rPr>
                <w:sz w:val="12"/>
                <w:szCs w:val="12"/>
                <w:color w:val="auto"/>
              </w:rPr>
            </w:pPr>
          </w:p>
        </w:tc>
        <w:tc>
          <w:tcPr>
            <w:tcW w:w="920" w:type="dxa"/>
            <w:vAlign w:val="bottom"/>
            <w:shd w:val="clear" w:color="auto" w:fill="00739D"/>
          </w:tcPr>
          <w:p>
            <w:pPr>
              <w:jc w:val="center"/>
              <w:ind w:left="117"/>
              <w:spacing w:after="0"/>
              <w:rPr>
                <w:sz w:val="20"/>
                <w:szCs w:val="20"/>
                <w:color w:val="auto"/>
              </w:rPr>
            </w:pPr>
            <w:r>
              <w:rPr>
                <w:rFonts w:ascii="Arial" w:cs="Arial" w:eastAsia="Arial" w:hAnsi="Arial"/>
                <w:sz w:val="13"/>
                <w:szCs w:val="13"/>
                <w:b w:val="1"/>
                <w:bCs w:val="1"/>
                <w:color w:val="FFFFFF"/>
                <w:w w:val="95"/>
              </w:rPr>
              <w:t>Unexercised</w:t>
            </w:r>
          </w:p>
        </w:tc>
        <w:tc>
          <w:tcPr>
            <w:tcW w:w="1680" w:type="dxa"/>
            <w:vAlign w:val="bottom"/>
            <w:shd w:val="clear" w:color="auto" w:fill="00739D"/>
          </w:tcPr>
          <w:p>
            <w:pPr>
              <w:jc w:val="center"/>
              <w:ind w:right="36"/>
              <w:spacing w:after="0"/>
              <w:rPr>
                <w:sz w:val="20"/>
                <w:szCs w:val="20"/>
                <w:color w:val="auto"/>
              </w:rPr>
            </w:pPr>
            <w:r>
              <w:rPr>
                <w:rFonts w:ascii="Arial" w:cs="Arial" w:eastAsia="Arial" w:hAnsi="Arial"/>
                <w:sz w:val="13"/>
                <w:szCs w:val="13"/>
                <w:b w:val="1"/>
                <w:bCs w:val="1"/>
                <w:color w:val="FFFFFF"/>
                <w:w w:val="95"/>
              </w:rPr>
              <w:t>Unexercised</w:t>
            </w:r>
          </w:p>
        </w:tc>
        <w:tc>
          <w:tcPr>
            <w:tcW w:w="560" w:type="dxa"/>
            <w:vAlign w:val="bottom"/>
            <w:shd w:val="clear" w:color="auto" w:fill="00739D"/>
          </w:tcPr>
          <w:p>
            <w:pPr>
              <w:jc w:val="right"/>
              <w:spacing w:after="0"/>
              <w:rPr>
                <w:sz w:val="20"/>
                <w:szCs w:val="20"/>
                <w:color w:val="auto"/>
              </w:rPr>
            </w:pPr>
            <w:r>
              <w:rPr>
                <w:rFonts w:ascii="Arial" w:cs="Arial" w:eastAsia="Arial" w:hAnsi="Arial"/>
                <w:sz w:val="13"/>
                <w:szCs w:val="13"/>
                <w:b w:val="1"/>
                <w:bCs w:val="1"/>
                <w:color w:val="FFFFFF"/>
                <w:w w:val="97"/>
              </w:rPr>
              <w:t>Exercise</w:t>
            </w:r>
          </w:p>
        </w:tc>
        <w:tc>
          <w:tcPr>
            <w:tcW w:w="10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9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5"/>
              </w:rPr>
              <w:t>that Have Not</w:t>
            </w:r>
          </w:p>
        </w:tc>
        <w:tc>
          <w:tcPr>
            <w:tcW w:w="980" w:type="dxa"/>
            <w:vAlign w:val="bottom"/>
            <w:shd w:val="clear" w:color="auto" w:fill="00739D"/>
          </w:tcPr>
          <w:p>
            <w:pPr>
              <w:jc w:val="right"/>
              <w:spacing w:after="0"/>
              <w:rPr>
                <w:sz w:val="20"/>
                <w:szCs w:val="20"/>
                <w:color w:val="auto"/>
              </w:rPr>
            </w:pPr>
            <w:r>
              <w:rPr>
                <w:rFonts w:ascii="Arial" w:cs="Arial" w:eastAsia="Arial" w:hAnsi="Arial"/>
                <w:sz w:val="13"/>
                <w:szCs w:val="13"/>
                <w:b w:val="1"/>
                <w:bCs w:val="1"/>
                <w:color w:val="FFFFFF"/>
              </w:rPr>
              <w:t>Have Not</w:t>
            </w:r>
          </w:p>
        </w:tc>
        <w:tc>
          <w:tcPr>
            <w:tcW w:w="11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Rights That Have</w:t>
            </w:r>
          </w:p>
        </w:tc>
        <w:tc>
          <w:tcPr>
            <w:tcW w:w="1360" w:type="dxa"/>
            <w:vAlign w:val="bottom"/>
            <w:shd w:val="clear" w:color="auto" w:fill="00739D"/>
          </w:tcPr>
          <w:p>
            <w:pPr>
              <w:jc w:val="right"/>
              <w:ind w:right="95"/>
              <w:spacing w:after="0"/>
              <w:rPr>
                <w:sz w:val="20"/>
                <w:szCs w:val="20"/>
                <w:color w:val="auto"/>
              </w:rPr>
            </w:pPr>
            <w:r>
              <w:rPr>
                <w:rFonts w:ascii="Arial" w:cs="Arial" w:eastAsia="Arial" w:hAnsi="Arial"/>
                <w:sz w:val="13"/>
                <w:szCs w:val="13"/>
                <w:b w:val="1"/>
                <w:bCs w:val="1"/>
                <w:color w:val="FFFFFF"/>
              </w:rPr>
              <w:t>Other Rights That</w:t>
            </w:r>
          </w:p>
        </w:tc>
        <w:tc>
          <w:tcPr>
            <w:tcW w:w="0" w:type="dxa"/>
            <w:vAlign w:val="bottom"/>
          </w:tcPr>
          <w:p>
            <w:pPr>
              <w:spacing w:after="0"/>
              <w:rPr>
                <w:sz w:val="1"/>
                <w:szCs w:val="1"/>
                <w:color w:val="auto"/>
              </w:rPr>
            </w:pPr>
          </w:p>
        </w:tc>
      </w:tr>
      <w:tr>
        <w:trPr>
          <w:trHeight w:val="149"/>
        </w:trPr>
        <w:tc>
          <w:tcPr>
            <w:tcW w:w="1220" w:type="dxa"/>
            <w:vAlign w:val="bottom"/>
            <w:shd w:val="clear" w:color="auto" w:fill="00739D"/>
          </w:tcPr>
          <w:p>
            <w:pPr>
              <w:spacing w:after="0"/>
              <w:rPr>
                <w:sz w:val="12"/>
                <w:szCs w:val="12"/>
                <w:color w:val="auto"/>
              </w:rPr>
            </w:pPr>
          </w:p>
        </w:tc>
        <w:tc>
          <w:tcPr>
            <w:tcW w:w="900" w:type="dxa"/>
            <w:vAlign w:val="bottom"/>
            <w:shd w:val="clear" w:color="auto" w:fill="00739D"/>
          </w:tcPr>
          <w:p>
            <w:pPr>
              <w:spacing w:after="0"/>
              <w:rPr>
                <w:sz w:val="12"/>
                <w:szCs w:val="12"/>
                <w:color w:val="auto"/>
              </w:rPr>
            </w:pPr>
          </w:p>
        </w:tc>
        <w:tc>
          <w:tcPr>
            <w:tcW w:w="500" w:type="dxa"/>
            <w:vAlign w:val="bottom"/>
            <w:shd w:val="clear" w:color="auto" w:fill="00739D"/>
          </w:tcPr>
          <w:p>
            <w:pPr>
              <w:spacing w:after="0"/>
              <w:rPr>
                <w:sz w:val="12"/>
                <w:szCs w:val="12"/>
                <w:color w:val="auto"/>
              </w:rPr>
            </w:pPr>
          </w:p>
        </w:tc>
        <w:tc>
          <w:tcPr>
            <w:tcW w:w="920" w:type="dxa"/>
            <w:vAlign w:val="bottom"/>
            <w:shd w:val="clear" w:color="auto" w:fill="00739D"/>
          </w:tcPr>
          <w:p>
            <w:pPr>
              <w:jc w:val="center"/>
              <w:ind w:left="117"/>
              <w:spacing w:after="0"/>
              <w:rPr>
                <w:sz w:val="20"/>
                <w:szCs w:val="20"/>
                <w:color w:val="auto"/>
              </w:rPr>
            </w:pPr>
            <w:r>
              <w:rPr>
                <w:rFonts w:ascii="Arial" w:cs="Arial" w:eastAsia="Arial" w:hAnsi="Arial"/>
                <w:sz w:val="13"/>
                <w:szCs w:val="13"/>
                <w:b w:val="1"/>
                <w:bCs w:val="1"/>
                <w:color w:val="FFFFFF"/>
                <w:w w:val="96"/>
              </w:rPr>
              <w:t>Options (#)</w:t>
            </w:r>
          </w:p>
        </w:tc>
        <w:tc>
          <w:tcPr>
            <w:tcW w:w="1680" w:type="dxa"/>
            <w:vAlign w:val="bottom"/>
            <w:shd w:val="clear" w:color="auto" w:fill="00739D"/>
          </w:tcPr>
          <w:p>
            <w:pPr>
              <w:jc w:val="center"/>
              <w:ind w:right="36"/>
              <w:spacing w:after="0"/>
              <w:rPr>
                <w:sz w:val="20"/>
                <w:szCs w:val="20"/>
                <w:color w:val="auto"/>
              </w:rPr>
            </w:pPr>
            <w:r>
              <w:rPr>
                <w:rFonts w:ascii="Arial" w:cs="Arial" w:eastAsia="Arial" w:hAnsi="Arial"/>
                <w:sz w:val="13"/>
                <w:szCs w:val="13"/>
                <w:b w:val="1"/>
                <w:bCs w:val="1"/>
                <w:color w:val="FFFFFF"/>
                <w:w w:val="96"/>
              </w:rPr>
              <w:t>Options (#)</w:t>
            </w:r>
          </w:p>
        </w:tc>
        <w:tc>
          <w:tcPr>
            <w:tcW w:w="560" w:type="dxa"/>
            <w:vAlign w:val="bottom"/>
            <w:shd w:val="clear" w:color="auto" w:fill="00739D"/>
          </w:tcPr>
          <w:p>
            <w:pPr>
              <w:jc w:val="right"/>
              <w:spacing w:after="0"/>
              <w:rPr>
                <w:sz w:val="20"/>
                <w:szCs w:val="20"/>
                <w:color w:val="auto"/>
              </w:rPr>
            </w:pPr>
            <w:r>
              <w:rPr>
                <w:rFonts w:ascii="Arial" w:cs="Arial" w:eastAsia="Arial" w:hAnsi="Arial"/>
                <w:sz w:val="13"/>
                <w:szCs w:val="13"/>
                <w:b w:val="1"/>
                <w:bCs w:val="1"/>
                <w:color w:val="FFFFFF"/>
              </w:rPr>
              <w:t>Price</w:t>
            </w:r>
          </w:p>
        </w:tc>
        <w:tc>
          <w:tcPr>
            <w:tcW w:w="10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Expiration</w:t>
            </w:r>
          </w:p>
        </w:tc>
        <w:tc>
          <w:tcPr>
            <w:tcW w:w="9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3"/>
              </w:rPr>
              <w:t>Vested</w:t>
            </w:r>
          </w:p>
        </w:tc>
        <w:tc>
          <w:tcPr>
            <w:tcW w:w="980" w:type="dxa"/>
            <w:vAlign w:val="bottom"/>
            <w:shd w:val="clear" w:color="auto" w:fill="00739D"/>
          </w:tcPr>
          <w:p>
            <w:pPr>
              <w:jc w:val="right"/>
              <w:spacing w:after="0" w:line="148" w:lineRule="exact"/>
              <w:rPr>
                <w:sz w:val="20"/>
                <w:szCs w:val="20"/>
                <w:color w:val="auto"/>
              </w:rPr>
            </w:pPr>
            <w:r>
              <w:rPr>
                <w:rFonts w:ascii="Arial" w:cs="Arial" w:eastAsia="Arial" w:hAnsi="Arial"/>
                <w:sz w:val="13"/>
                <w:szCs w:val="13"/>
                <w:b w:val="1"/>
                <w:bCs w:val="1"/>
                <w:color w:val="FFFFFF"/>
              </w:rPr>
              <w:t>Vested</w:t>
            </w:r>
            <w:r>
              <w:rPr>
                <w:rFonts w:ascii="Arial" w:cs="Arial" w:eastAsia="Arial" w:hAnsi="Arial"/>
                <w:sz w:val="16"/>
                <w:szCs w:val="16"/>
                <w:b w:val="1"/>
                <w:bCs w:val="1"/>
                <w:color w:val="FFFFFF"/>
                <w:vertAlign w:val="superscript"/>
              </w:rPr>
              <w:t>(13)</w:t>
            </w:r>
          </w:p>
        </w:tc>
        <w:tc>
          <w:tcPr>
            <w:tcW w:w="11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4"/>
              </w:rPr>
              <w:t>Not Vested</w:t>
            </w:r>
          </w:p>
        </w:tc>
        <w:tc>
          <w:tcPr>
            <w:tcW w:w="1360" w:type="dxa"/>
            <w:vAlign w:val="bottom"/>
            <w:shd w:val="clear" w:color="auto" w:fill="00739D"/>
          </w:tcPr>
          <w:p>
            <w:pPr>
              <w:jc w:val="right"/>
              <w:ind w:right="95"/>
              <w:spacing w:after="0" w:line="148" w:lineRule="exact"/>
              <w:rPr>
                <w:sz w:val="20"/>
                <w:szCs w:val="20"/>
                <w:color w:val="auto"/>
              </w:rPr>
            </w:pPr>
            <w:r>
              <w:rPr>
                <w:rFonts w:ascii="Arial" w:cs="Arial" w:eastAsia="Arial" w:hAnsi="Arial"/>
                <w:sz w:val="13"/>
                <w:szCs w:val="13"/>
                <w:b w:val="1"/>
                <w:bCs w:val="1"/>
                <w:color w:val="FFFFFF"/>
                <w:w w:val="97"/>
              </w:rPr>
              <w:t>Have Not Vested</w:t>
            </w:r>
            <w:r>
              <w:rPr>
                <w:rFonts w:ascii="Arial" w:cs="Arial" w:eastAsia="Arial" w:hAnsi="Arial"/>
                <w:sz w:val="16"/>
                <w:szCs w:val="16"/>
                <w:b w:val="1"/>
                <w:bCs w:val="1"/>
                <w:color w:val="FFFFFF"/>
                <w:w w:val="97"/>
                <w:vertAlign w:val="superscript"/>
              </w:rPr>
              <w:t>(14)</w:t>
            </w:r>
          </w:p>
        </w:tc>
        <w:tc>
          <w:tcPr>
            <w:tcW w:w="0" w:type="dxa"/>
            <w:vAlign w:val="bottom"/>
          </w:tcPr>
          <w:p>
            <w:pPr>
              <w:spacing w:after="0"/>
              <w:rPr>
                <w:sz w:val="1"/>
                <w:szCs w:val="1"/>
                <w:color w:val="auto"/>
              </w:rPr>
            </w:pPr>
          </w:p>
        </w:tc>
      </w:tr>
      <w:tr>
        <w:trPr>
          <w:trHeight w:val="168"/>
        </w:trPr>
        <w:tc>
          <w:tcPr>
            <w:tcW w:w="122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w:t>
            </w:r>
          </w:p>
        </w:tc>
        <w:tc>
          <w:tcPr>
            <w:tcW w:w="900" w:type="dxa"/>
            <w:vAlign w:val="bottom"/>
            <w:shd w:val="clear" w:color="auto" w:fill="00739D"/>
          </w:tcPr>
          <w:p>
            <w:pPr>
              <w:ind w:left="140"/>
              <w:spacing w:after="0"/>
              <w:rPr>
                <w:sz w:val="20"/>
                <w:szCs w:val="20"/>
                <w:color w:val="auto"/>
              </w:rPr>
            </w:pPr>
            <w:r>
              <w:rPr>
                <w:rFonts w:ascii="Arial" w:cs="Arial" w:eastAsia="Arial" w:hAnsi="Arial"/>
                <w:sz w:val="13"/>
                <w:szCs w:val="13"/>
                <w:b w:val="1"/>
                <w:bCs w:val="1"/>
                <w:color w:val="FFFFFF"/>
              </w:rPr>
              <w:t>Grant Date</w:t>
            </w:r>
          </w:p>
        </w:tc>
        <w:tc>
          <w:tcPr>
            <w:tcW w:w="500" w:type="dxa"/>
            <w:vAlign w:val="bottom"/>
            <w:shd w:val="clear" w:color="auto" w:fill="00739D"/>
          </w:tcPr>
          <w:p>
            <w:pPr>
              <w:spacing w:after="0"/>
              <w:rPr>
                <w:sz w:val="14"/>
                <w:szCs w:val="14"/>
                <w:color w:val="auto"/>
              </w:rPr>
            </w:pPr>
          </w:p>
        </w:tc>
        <w:tc>
          <w:tcPr>
            <w:tcW w:w="920" w:type="dxa"/>
            <w:vAlign w:val="bottom"/>
            <w:shd w:val="clear" w:color="auto" w:fill="00739D"/>
          </w:tcPr>
          <w:p>
            <w:pPr>
              <w:jc w:val="center"/>
              <w:ind w:left="117"/>
              <w:spacing w:after="0"/>
              <w:rPr>
                <w:sz w:val="20"/>
                <w:szCs w:val="20"/>
                <w:color w:val="auto"/>
              </w:rPr>
            </w:pPr>
            <w:r>
              <w:rPr>
                <w:rFonts w:ascii="Arial" w:cs="Arial" w:eastAsia="Arial" w:hAnsi="Arial"/>
                <w:sz w:val="13"/>
                <w:szCs w:val="13"/>
                <w:b w:val="1"/>
                <w:bCs w:val="1"/>
                <w:color w:val="FFFFFF"/>
                <w:w w:val="96"/>
              </w:rPr>
              <w:t>Exercisable</w:t>
            </w:r>
          </w:p>
        </w:tc>
        <w:tc>
          <w:tcPr>
            <w:tcW w:w="1680" w:type="dxa"/>
            <w:vAlign w:val="bottom"/>
            <w:shd w:val="clear" w:color="auto" w:fill="00739D"/>
          </w:tcPr>
          <w:p>
            <w:pPr>
              <w:jc w:val="center"/>
              <w:ind w:right="36"/>
              <w:spacing w:after="0"/>
              <w:rPr>
                <w:sz w:val="20"/>
                <w:szCs w:val="20"/>
                <w:color w:val="auto"/>
              </w:rPr>
            </w:pPr>
            <w:r>
              <w:rPr>
                <w:rFonts w:ascii="Arial" w:cs="Arial" w:eastAsia="Arial" w:hAnsi="Arial"/>
                <w:sz w:val="13"/>
                <w:szCs w:val="13"/>
                <w:b w:val="1"/>
                <w:bCs w:val="1"/>
                <w:color w:val="FFFFFF"/>
                <w:w w:val="97"/>
              </w:rPr>
              <w:t>Unexercisable</w:t>
            </w:r>
          </w:p>
        </w:tc>
        <w:tc>
          <w:tcPr>
            <w:tcW w:w="560" w:type="dxa"/>
            <w:vAlign w:val="bottom"/>
            <w:shd w:val="clear" w:color="auto" w:fill="00739D"/>
          </w:tcPr>
          <w:p>
            <w:pPr>
              <w:jc w:val="right"/>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9"/>
              </w:rPr>
              <w:t>Date</w:t>
            </w:r>
          </w:p>
        </w:tc>
        <w:tc>
          <w:tcPr>
            <w:tcW w:w="9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t>
            </w:r>
          </w:p>
        </w:tc>
        <w:tc>
          <w:tcPr>
            <w:tcW w:w="980" w:type="dxa"/>
            <w:vAlign w:val="bottom"/>
            <w:shd w:val="clear" w:color="auto" w:fill="00739D"/>
          </w:tcPr>
          <w:p>
            <w:pPr>
              <w:jc w:val="right"/>
              <w:spacing w:after="0"/>
              <w:rPr>
                <w:sz w:val="20"/>
                <w:szCs w:val="20"/>
                <w:color w:val="auto"/>
              </w:rPr>
            </w:pPr>
            <w:r>
              <w:rPr>
                <w:rFonts w:ascii="Arial" w:cs="Arial" w:eastAsia="Arial" w:hAnsi="Arial"/>
                <w:sz w:val="13"/>
                <w:szCs w:val="13"/>
                <w:b w:val="1"/>
                <w:bCs w:val="1"/>
                <w:color w:val="FFFFFF"/>
              </w:rPr>
              <w:t>($)</w:t>
            </w:r>
          </w:p>
        </w:tc>
        <w:tc>
          <w:tcPr>
            <w:tcW w:w="11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t>
            </w:r>
          </w:p>
        </w:tc>
        <w:tc>
          <w:tcPr>
            <w:tcW w:w="1360" w:type="dxa"/>
            <w:vAlign w:val="bottom"/>
            <w:shd w:val="clear" w:color="auto" w:fill="00739D"/>
          </w:tcPr>
          <w:p>
            <w:pPr>
              <w:jc w:val="right"/>
              <w:ind w:right="95"/>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83"/>
        </w:trPr>
        <w:tc>
          <w:tcPr>
            <w:tcW w:w="1220" w:type="dxa"/>
            <w:vAlign w:val="bottom"/>
            <w:shd w:val="clear" w:color="auto" w:fill="00739D"/>
          </w:tcPr>
          <w:p>
            <w:pPr>
              <w:spacing w:after="0"/>
              <w:rPr>
                <w:sz w:val="7"/>
                <w:szCs w:val="7"/>
                <w:color w:val="auto"/>
              </w:rPr>
            </w:pPr>
          </w:p>
        </w:tc>
        <w:tc>
          <w:tcPr>
            <w:tcW w:w="900" w:type="dxa"/>
            <w:vAlign w:val="bottom"/>
            <w:shd w:val="clear" w:color="auto" w:fill="00739D"/>
          </w:tcPr>
          <w:p>
            <w:pPr>
              <w:spacing w:after="0"/>
              <w:rPr>
                <w:sz w:val="7"/>
                <w:szCs w:val="7"/>
                <w:color w:val="auto"/>
              </w:rPr>
            </w:pPr>
          </w:p>
        </w:tc>
        <w:tc>
          <w:tcPr>
            <w:tcW w:w="500" w:type="dxa"/>
            <w:vAlign w:val="bottom"/>
            <w:shd w:val="clear" w:color="auto" w:fill="00739D"/>
          </w:tcPr>
          <w:p>
            <w:pPr>
              <w:spacing w:after="0"/>
              <w:rPr>
                <w:sz w:val="7"/>
                <w:szCs w:val="7"/>
                <w:color w:val="auto"/>
              </w:rPr>
            </w:pPr>
          </w:p>
        </w:tc>
        <w:tc>
          <w:tcPr>
            <w:tcW w:w="920" w:type="dxa"/>
            <w:vAlign w:val="bottom"/>
            <w:shd w:val="clear" w:color="auto" w:fill="00739D"/>
          </w:tcPr>
          <w:p>
            <w:pPr>
              <w:spacing w:after="0"/>
              <w:rPr>
                <w:sz w:val="7"/>
                <w:szCs w:val="7"/>
                <w:color w:val="auto"/>
              </w:rPr>
            </w:pPr>
          </w:p>
        </w:tc>
        <w:tc>
          <w:tcPr>
            <w:tcW w:w="1680" w:type="dxa"/>
            <w:vAlign w:val="bottom"/>
            <w:shd w:val="clear" w:color="auto" w:fill="00739D"/>
          </w:tcPr>
          <w:p>
            <w:pPr>
              <w:spacing w:after="0"/>
              <w:rPr>
                <w:sz w:val="7"/>
                <w:szCs w:val="7"/>
                <w:color w:val="auto"/>
              </w:rPr>
            </w:pPr>
          </w:p>
        </w:tc>
        <w:tc>
          <w:tcPr>
            <w:tcW w:w="560" w:type="dxa"/>
            <w:vAlign w:val="bottom"/>
            <w:shd w:val="clear" w:color="auto" w:fill="00739D"/>
          </w:tcPr>
          <w:p>
            <w:pPr>
              <w:spacing w:after="0"/>
              <w:rPr>
                <w:sz w:val="7"/>
                <w:szCs w:val="7"/>
                <w:color w:val="auto"/>
              </w:rPr>
            </w:pPr>
          </w:p>
        </w:tc>
        <w:tc>
          <w:tcPr>
            <w:tcW w:w="1000" w:type="dxa"/>
            <w:vAlign w:val="bottom"/>
            <w:shd w:val="clear" w:color="auto" w:fill="00739D"/>
          </w:tcPr>
          <w:p>
            <w:pPr>
              <w:spacing w:after="0"/>
              <w:rPr>
                <w:sz w:val="7"/>
                <w:szCs w:val="7"/>
                <w:color w:val="auto"/>
              </w:rPr>
            </w:pPr>
          </w:p>
        </w:tc>
        <w:tc>
          <w:tcPr>
            <w:tcW w:w="940" w:type="dxa"/>
            <w:vAlign w:val="bottom"/>
            <w:shd w:val="clear" w:color="auto" w:fill="00739D"/>
          </w:tcPr>
          <w:p>
            <w:pPr>
              <w:spacing w:after="0"/>
              <w:rPr>
                <w:sz w:val="7"/>
                <w:szCs w:val="7"/>
                <w:color w:val="auto"/>
              </w:rPr>
            </w:pPr>
          </w:p>
        </w:tc>
        <w:tc>
          <w:tcPr>
            <w:tcW w:w="980" w:type="dxa"/>
            <w:vAlign w:val="bottom"/>
            <w:shd w:val="clear" w:color="auto" w:fill="00739D"/>
          </w:tcPr>
          <w:p>
            <w:pPr>
              <w:spacing w:after="0"/>
              <w:rPr>
                <w:sz w:val="7"/>
                <w:szCs w:val="7"/>
                <w:color w:val="auto"/>
              </w:rPr>
            </w:pPr>
          </w:p>
        </w:tc>
        <w:tc>
          <w:tcPr>
            <w:tcW w:w="1180" w:type="dxa"/>
            <w:vAlign w:val="bottom"/>
            <w:shd w:val="clear" w:color="auto" w:fill="00739D"/>
          </w:tcPr>
          <w:p>
            <w:pPr>
              <w:spacing w:after="0"/>
              <w:rPr>
                <w:sz w:val="7"/>
                <w:szCs w:val="7"/>
                <w:color w:val="auto"/>
              </w:rPr>
            </w:pPr>
          </w:p>
        </w:tc>
        <w:tc>
          <w:tcPr>
            <w:tcW w:w="1360" w:type="dxa"/>
            <w:vAlign w:val="bottom"/>
            <w:shd w:val="clear" w:color="auto" w:fill="00739D"/>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2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9/6/2019</w:t>
            </w:r>
          </w:p>
        </w:tc>
        <w:tc>
          <w:tcPr>
            <w:tcW w:w="500" w:type="dxa"/>
            <w:vAlign w:val="bottom"/>
          </w:tcPr>
          <w:p>
            <w:pPr>
              <w:ind w:left="20"/>
              <w:spacing w:after="0"/>
              <w:rPr>
                <w:sz w:val="20"/>
                <w:szCs w:val="20"/>
                <w:color w:val="auto"/>
              </w:rPr>
            </w:pPr>
            <w:r>
              <w:rPr>
                <w:rFonts w:ascii="Arial" w:cs="Arial" w:eastAsia="Arial" w:hAnsi="Arial"/>
                <w:sz w:val="15"/>
                <w:szCs w:val="15"/>
                <w:color w:val="0E191E"/>
              </w:rPr>
              <w:t>(1)</w:t>
            </w:r>
          </w:p>
        </w:tc>
        <w:tc>
          <w:tcPr>
            <w:tcW w:w="9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0E191E"/>
              </w:rPr>
              <w:t>41,454</w:t>
            </w:r>
          </w:p>
        </w:tc>
        <w:tc>
          <w:tcPr>
            <w:tcW w:w="980" w:type="dxa"/>
            <w:vAlign w:val="bottom"/>
          </w:tcPr>
          <w:p>
            <w:pPr>
              <w:jc w:val="right"/>
              <w:spacing w:after="0"/>
              <w:rPr>
                <w:sz w:val="20"/>
                <w:szCs w:val="20"/>
                <w:color w:val="auto"/>
              </w:rPr>
            </w:pPr>
            <w:r>
              <w:rPr>
                <w:rFonts w:ascii="Arial" w:cs="Arial" w:eastAsia="Arial" w:hAnsi="Arial"/>
                <w:sz w:val="13"/>
                <w:szCs w:val="13"/>
                <w:color w:val="0E191E"/>
              </w:rPr>
              <w:t>4,775,501</w:t>
            </w:r>
          </w:p>
        </w:tc>
        <w:tc>
          <w:tcPr>
            <w:tcW w:w="1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1220" w:type="dxa"/>
            <w:vAlign w:val="bottom"/>
          </w:tcPr>
          <w:p>
            <w:pPr>
              <w:spacing w:after="0"/>
              <w:rPr>
                <w:sz w:val="5"/>
                <w:szCs w:val="5"/>
                <w:color w:val="auto"/>
              </w:rPr>
            </w:pPr>
          </w:p>
        </w:tc>
        <w:tc>
          <w:tcPr>
            <w:tcW w:w="900" w:type="dxa"/>
            <w:vAlign w:val="bottom"/>
            <w:tcBorders>
              <w:bottom w:val="single" w:sz="8" w:color="0E191E"/>
            </w:tcBorders>
          </w:tcPr>
          <w:p>
            <w:pPr>
              <w:spacing w:after="0"/>
              <w:rPr>
                <w:sz w:val="5"/>
                <w:szCs w:val="5"/>
                <w:color w:val="auto"/>
              </w:rPr>
            </w:pPr>
          </w:p>
        </w:tc>
        <w:tc>
          <w:tcPr>
            <w:tcW w:w="500" w:type="dxa"/>
            <w:vAlign w:val="bottom"/>
            <w:tcBorders>
              <w:bottom w:val="single" w:sz="8" w:color="0E191E"/>
            </w:tcBorders>
          </w:tcPr>
          <w:p>
            <w:pPr>
              <w:spacing w:after="0"/>
              <w:rPr>
                <w:sz w:val="5"/>
                <w:szCs w:val="5"/>
                <w:color w:val="auto"/>
              </w:rPr>
            </w:pPr>
          </w:p>
        </w:tc>
        <w:tc>
          <w:tcPr>
            <w:tcW w:w="920" w:type="dxa"/>
            <w:vAlign w:val="bottom"/>
            <w:tcBorders>
              <w:bottom w:val="single" w:sz="8" w:color="0E191E"/>
            </w:tcBorders>
          </w:tcPr>
          <w:p>
            <w:pPr>
              <w:spacing w:after="0"/>
              <w:rPr>
                <w:sz w:val="5"/>
                <w:szCs w:val="5"/>
                <w:color w:val="auto"/>
              </w:rPr>
            </w:pPr>
          </w:p>
        </w:tc>
        <w:tc>
          <w:tcPr>
            <w:tcW w:w="1680" w:type="dxa"/>
            <w:vAlign w:val="bottom"/>
            <w:tcBorders>
              <w:bottom w:val="single" w:sz="8" w:color="0E191E"/>
            </w:tcBorders>
          </w:tcPr>
          <w:p>
            <w:pPr>
              <w:spacing w:after="0"/>
              <w:rPr>
                <w:sz w:val="5"/>
                <w:szCs w:val="5"/>
                <w:color w:val="auto"/>
              </w:rPr>
            </w:pPr>
          </w:p>
        </w:tc>
        <w:tc>
          <w:tcPr>
            <w:tcW w:w="560" w:type="dxa"/>
            <w:vAlign w:val="bottom"/>
            <w:tcBorders>
              <w:bottom w:val="single" w:sz="8" w:color="0E191E"/>
            </w:tcBorders>
          </w:tcPr>
          <w:p>
            <w:pPr>
              <w:spacing w:after="0"/>
              <w:rPr>
                <w:sz w:val="5"/>
                <w:szCs w:val="5"/>
                <w:color w:val="auto"/>
              </w:rPr>
            </w:pPr>
          </w:p>
        </w:tc>
        <w:tc>
          <w:tcPr>
            <w:tcW w:w="100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80" w:type="dxa"/>
            <w:vAlign w:val="bottom"/>
            <w:tcBorders>
              <w:bottom w:val="single" w:sz="8" w:color="0E191E"/>
            </w:tcBorders>
          </w:tcPr>
          <w:p>
            <w:pPr>
              <w:spacing w:after="0"/>
              <w:rPr>
                <w:sz w:val="5"/>
                <w:szCs w:val="5"/>
                <w:color w:val="auto"/>
              </w:rPr>
            </w:pPr>
          </w:p>
        </w:tc>
        <w:tc>
          <w:tcPr>
            <w:tcW w:w="118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9/6/2019</w:t>
            </w:r>
          </w:p>
        </w:tc>
        <w:tc>
          <w:tcPr>
            <w:tcW w:w="500" w:type="dxa"/>
            <w:vAlign w:val="bottom"/>
          </w:tcPr>
          <w:p>
            <w:pPr>
              <w:ind w:left="20"/>
              <w:spacing w:after="0"/>
              <w:rPr>
                <w:sz w:val="20"/>
                <w:szCs w:val="20"/>
                <w:color w:val="auto"/>
              </w:rPr>
            </w:pPr>
            <w:r>
              <w:rPr>
                <w:rFonts w:ascii="Arial" w:cs="Arial" w:eastAsia="Arial" w:hAnsi="Arial"/>
                <w:sz w:val="15"/>
                <w:szCs w:val="15"/>
                <w:color w:val="0E191E"/>
              </w:rPr>
              <w:t>(2)</w:t>
            </w:r>
          </w:p>
        </w:tc>
        <w:tc>
          <w:tcPr>
            <w:tcW w:w="9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0E191E"/>
              </w:rPr>
              <w:t>22,997</w:t>
            </w:r>
          </w:p>
        </w:tc>
        <w:tc>
          <w:tcPr>
            <w:tcW w:w="980" w:type="dxa"/>
            <w:vAlign w:val="bottom"/>
          </w:tcPr>
          <w:p>
            <w:pPr>
              <w:jc w:val="right"/>
              <w:spacing w:after="0"/>
              <w:rPr>
                <w:sz w:val="20"/>
                <w:szCs w:val="20"/>
                <w:color w:val="auto"/>
              </w:rPr>
            </w:pPr>
            <w:r>
              <w:rPr>
                <w:rFonts w:ascii="Arial" w:cs="Arial" w:eastAsia="Arial" w:hAnsi="Arial"/>
                <w:sz w:val="13"/>
                <w:szCs w:val="13"/>
                <w:color w:val="0E191E"/>
              </w:rPr>
              <w:t>2,649,254</w:t>
            </w:r>
          </w:p>
        </w:tc>
        <w:tc>
          <w:tcPr>
            <w:tcW w:w="1180" w:type="dxa"/>
            <w:vAlign w:val="bottom"/>
          </w:tcPr>
          <w:p>
            <w:pPr>
              <w:spacing w:after="0"/>
              <w:rPr>
                <w:sz w:val="21"/>
                <w:szCs w:val="21"/>
                <w:color w:val="auto"/>
              </w:rPr>
            </w:pPr>
          </w:p>
        </w:tc>
        <w:tc>
          <w:tcPr>
            <w:tcW w:w="1360" w:type="dxa"/>
            <w:vAlign w:val="bottom"/>
          </w:tcPr>
          <w:p>
            <w:pPr>
              <w:jc w:val="right"/>
              <w:ind w:right="155"/>
              <w:spacing w:after="0"/>
              <w:rPr>
                <w:sz w:val="20"/>
                <w:szCs w:val="20"/>
                <w:color w:val="auto"/>
              </w:rPr>
            </w:pPr>
            <w:r>
              <w:rPr>
                <w:rFonts w:ascii="Arial" w:cs="Arial" w:eastAsia="Arial" w:hAnsi="Arial"/>
                <w:sz w:val="13"/>
                <w:szCs w:val="13"/>
                <w:color w:val="0E191E"/>
              </w:rPr>
              <w:t>123,155</w:t>
            </w:r>
          </w:p>
        </w:tc>
        <w:tc>
          <w:tcPr>
            <w:tcW w:w="0" w:type="dxa"/>
            <w:vAlign w:val="bottom"/>
          </w:tcPr>
          <w:p>
            <w:pPr>
              <w:spacing w:after="0"/>
              <w:rPr>
                <w:sz w:val="1"/>
                <w:szCs w:val="1"/>
                <w:color w:val="auto"/>
              </w:rPr>
            </w:pPr>
          </w:p>
        </w:tc>
      </w:tr>
      <w:tr>
        <w:trPr>
          <w:trHeight w:val="62"/>
        </w:trPr>
        <w:tc>
          <w:tcPr>
            <w:tcW w:w="122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Mike</w:t>
            </w:r>
          </w:p>
        </w:tc>
        <w:tc>
          <w:tcPr>
            <w:tcW w:w="900" w:type="dxa"/>
            <w:vAlign w:val="bottom"/>
            <w:tcBorders>
              <w:bottom w:val="single" w:sz="8" w:color="0E191E"/>
            </w:tcBorders>
          </w:tcPr>
          <w:p>
            <w:pPr>
              <w:spacing w:after="0"/>
              <w:rPr>
                <w:sz w:val="5"/>
                <w:szCs w:val="5"/>
                <w:color w:val="auto"/>
              </w:rPr>
            </w:pPr>
          </w:p>
        </w:tc>
        <w:tc>
          <w:tcPr>
            <w:tcW w:w="500" w:type="dxa"/>
            <w:vAlign w:val="bottom"/>
            <w:tcBorders>
              <w:bottom w:val="single" w:sz="8" w:color="0E191E"/>
            </w:tcBorders>
          </w:tcPr>
          <w:p>
            <w:pPr>
              <w:spacing w:after="0"/>
              <w:rPr>
                <w:sz w:val="5"/>
                <w:szCs w:val="5"/>
                <w:color w:val="auto"/>
              </w:rPr>
            </w:pPr>
          </w:p>
        </w:tc>
        <w:tc>
          <w:tcPr>
            <w:tcW w:w="920" w:type="dxa"/>
            <w:vAlign w:val="bottom"/>
            <w:tcBorders>
              <w:bottom w:val="single" w:sz="8" w:color="0E191E"/>
            </w:tcBorders>
          </w:tcPr>
          <w:p>
            <w:pPr>
              <w:spacing w:after="0"/>
              <w:rPr>
                <w:sz w:val="5"/>
                <w:szCs w:val="5"/>
                <w:color w:val="auto"/>
              </w:rPr>
            </w:pPr>
          </w:p>
        </w:tc>
        <w:tc>
          <w:tcPr>
            <w:tcW w:w="1680" w:type="dxa"/>
            <w:vAlign w:val="bottom"/>
            <w:tcBorders>
              <w:bottom w:val="single" w:sz="8" w:color="0E191E"/>
            </w:tcBorders>
          </w:tcPr>
          <w:p>
            <w:pPr>
              <w:spacing w:after="0"/>
              <w:rPr>
                <w:sz w:val="5"/>
                <w:szCs w:val="5"/>
                <w:color w:val="auto"/>
              </w:rPr>
            </w:pPr>
          </w:p>
        </w:tc>
        <w:tc>
          <w:tcPr>
            <w:tcW w:w="560" w:type="dxa"/>
            <w:vAlign w:val="bottom"/>
            <w:tcBorders>
              <w:bottom w:val="single" w:sz="8" w:color="0E191E"/>
            </w:tcBorders>
          </w:tcPr>
          <w:p>
            <w:pPr>
              <w:spacing w:after="0"/>
              <w:rPr>
                <w:sz w:val="5"/>
                <w:szCs w:val="5"/>
                <w:color w:val="auto"/>
              </w:rPr>
            </w:pPr>
          </w:p>
        </w:tc>
        <w:tc>
          <w:tcPr>
            <w:tcW w:w="100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80" w:type="dxa"/>
            <w:vAlign w:val="bottom"/>
            <w:tcBorders>
              <w:bottom w:val="single" w:sz="8" w:color="0E191E"/>
            </w:tcBorders>
          </w:tcPr>
          <w:p>
            <w:pPr>
              <w:spacing w:after="0"/>
              <w:rPr>
                <w:sz w:val="5"/>
                <w:szCs w:val="5"/>
                <w:color w:val="auto"/>
              </w:rPr>
            </w:pPr>
          </w:p>
        </w:tc>
        <w:tc>
          <w:tcPr>
            <w:tcW w:w="118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2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0E191E"/>
              </w:rPr>
              <w:t>9/6/2019</w:t>
            </w:r>
          </w:p>
        </w:tc>
        <w:tc>
          <w:tcPr>
            <w:tcW w:w="500" w:type="dxa"/>
            <w:vAlign w:val="bottom"/>
            <w:vMerge w:val="restart"/>
          </w:tcPr>
          <w:p>
            <w:pPr>
              <w:ind w:left="20"/>
              <w:spacing w:after="0"/>
              <w:rPr>
                <w:sz w:val="20"/>
                <w:szCs w:val="20"/>
                <w:color w:val="auto"/>
              </w:rPr>
            </w:pPr>
            <w:r>
              <w:rPr>
                <w:rFonts w:ascii="Arial" w:cs="Arial" w:eastAsia="Arial" w:hAnsi="Arial"/>
                <w:sz w:val="15"/>
                <w:szCs w:val="15"/>
                <w:color w:val="0E191E"/>
              </w:rPr>
              <w:t>(3)</w:t>
            </w:r>
          </w:p>
        </w:tc>
        <w:tc>
          <w:tcPr>
            <w:tcW w:w="9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color w:val="0E191E"/>
              </w:rPr>
              <w:t>37,340</w:t>
            </w:r>
          </w:p>
        </w:tc>
        <w:tc>
          <w:tcPr>
            <w:tcW w:w="1360" w:type="dxa"/>
            <w:vAlign w:val="bottom"/>
            <w:vMerge w:val="restart"/>
          </w:tcPr>
          <w:p>
            <w:pPr>
              <w:jc w:val="right"/>
              <w:ind w:right="155"/>
              <w:spacing w:after="0"/>
              <w:rPr>
                <w:sz w:val="20"/>
                <w:szCs w:val="20"/>
                <w:color w:val="auto"/>
              </w:rPr>
            </w:pPr>
            <w:r>
              <w:rPr>
                <w:rFonts w:ascii="Arial" w:cs="Arial" w:eastAsia="Arial" w:hAnsi="Arial"/>
                <w:sz w:val="13"/>
                <w:szCs w:val="13"/>
                <w:color w:val="0E191E"/>
              </w:rPr>
              <w:t>4,301,568</w:t>
            </w:r>
          </w:p>
        </w:tc>
        <w:tc>
          <w:tcPr>
            <w:tcW w:w="0" w:type="dxa"/>
            <w:vAlign w:val="bottom"/>
          </w:tcPr>
          <w:p>
            <w:pPr>
              <w:spacing w:after="0"/>
              <w:rPr>
                <w:sz w:val="1"/>
                <w:szCs w:val="1"/>
                <w:color w:val="auto"/>
              </w:rPr>
            </w:pPr>
          </w:p>
        </w:tc>
      </w:tr>
      <w:tr>
        <w:trPr>
          <w:trHeight w:val="117"/>
        </w:trPr>
        <w:tc>
          <w:tcPr>
            <w:tcW w:w="122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Rosenbaum</w:t>
            </w:r>
          </w:p>
        </w:tc>
        <w:tc>
          <w:tcPr>
            <w:tcW w:w="9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220" w:type="dxa"/>
            <w:vAlign w:val="bottom"/>
            <w:vMerge w:val="continue"/>
          </w:tcPr>
          <w:p>
            <w:pPr>
              <w:spacing w:after="0"/>
              <w:rPr>
                <w:sz w:val="5"/>
                <w:szCs w:val="5"/>
                <w:color w:val="auto"/>
              </w:rPr>
            </w:pPr>
          </w:p>
        </w:tc>
        <w:tc>
          <w:tcPr>
            <w:tcW w:w="900" w:type="dxa"/>
            <w:vAlign w:val="bottom"/>
            <w:tcBorders>
              <w:bottom w:val="single" w:sz="8" w:color="0E191E"/>
            </w:tcBorders>
          </w:tcPr>
          <w:p>
            <w:pPr>
              <w:spacing w:after="0"/>
              <w:rPr>
                <w:sz w:val="5"/>
                <w:szCs w:val="5"/>
                <w:color w:val="auto"/>
              </w:rPr>
            </w:pPr>
          </w:p>
        </w:tc>
        <w:tc>
          <w:tcPr>
            <w:tcW w:w="500" w:type="dxa"/>
            <w:vAlign w:val="bottom"/>
            <w:tcBorders>
              <w:bottom w:val="single" w:sz="8" w:color="0E191E"/>
            </w:tcBorders>
          </w:tcPr>
          <w:p>
            <w:pPr>
              <w:spacing w:after="0"/>
              <w:rPr>
                <w:sz w:val="5"/>
                <w:szCs w:val="5"/>
                <w:color w:val="auto"/>
              </w:rPr>
            </w:pPr>
          </w:p>
        </w:tc>
        <w:tc>
          <w:tcPr>
            <w:tcW w:w="920" w:type="dxa"/>
            <w:vAlign w:val="bottom"/>
            <w:tcBorders>
              <w:bottom w:val="single" w:sz="8" w:color="0E191E"/>
            </w:tcBorders>
          </w:tcPr>
          <w:p>
            <w:pPr>
              <w:spacing w:after="0"/>
              <w:rPr>
                <w:sz w:val="5"/>
                <w:szCs w:val="5"/>
                <w:color w:val="auto"/>
              </w:rPr>
            </w:pPr>
          </w:p>
        </w:tc>
        <w:tc>
          <w:tcPr>
            <w:tcW w:w="1680" w:type="dxa"/>
            <w:vAlign w:val="bottom"/>
            <w:tcBorders>
              <w:bottom w:val="single" w:sz="8" w:color="0E191E"/>
            </w:tcBorders>
          </w:tcPr>
          <w:p>
            <w:pPr>
              <w:spacing w:after="0"/>
              <w:rPr>
                <w:sz w:val="5"/>
                <w:szCs w:val="5"/>
                <w:color w:val="auto"/>
              </w:rPr>
            </w:pPr>
          </w:p>
        </w:tc>
        <w:tc>
          <w:tcPr>
            <w:tcW w:w="560" w:type="dxa"/>
            <w:vAlign w:val="bottom"/>
            <w:tcBorders>
              <w:bottom w:val="single" w:sz="8" w:color="0E191E"/>
            </w:tcBorders>
          </w:tcPr>
          <w:p>
            <w:pPr>
              <w:spacing w:after="0"/>
              <w:rPr>
                <w:sz w:val="5"/>
                <w:szCs w:val="5"/>
                <w:color w:val="auto"/>
              </w:rPr>
            </w:pPr>
          </w:p>
        </w:tc>
        <w:tc>
          <w:tcPr>
            <w:tcW w:w="100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80" w:type="dxa"/>
            <w:vAlign w:val="bottom"/>
            <w:tcBorders>
              <w:bottom w:val="single" w:sz="8" w:color="0E191E"/>
            </w:tcBorders>
          </w:tcPr>
          <w:p>
            <w:pPr>
              <w:spacing w:after="0"/>
              <w:rPr>
                <w:sz w:val="5"/>
                <w:szCs w:val="5"/>
                <w:color w:val="auto"/>
              </w:rPr>
            </w:pPr>
          </w:p>
        </w:tc>
        <w:tc>
          <w:tcPr>
            <w:tcW w:w="118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9/9/2020</w:t>
            </w:r>
          </w:p>
        </w:tc>
        <w:tc>
          <w:tcPr>
            <w:tcW w:w="500" w:type="dxa"/>
            <w:vAlign w:val="bottom"/>
          </w:tcPr>
          <w:p>
            <w:pPr>
              <w:ind w:left="20"/>
              <w:spacing w:after="0"/>
              <w:rPr>
                <w:sz w:val="20"/>
                <w:szCs w:val="20"/>
                <w:color w:val="auto"/>
              </w:rPr>
            </w:pPr>
            <w:r>
              <w:rPr>
                <w:rFonts w:ascii="Arial" w:cs="Arial" w:eastAsia="Arial" w:hAnsi="Arial"/>
                <w:sz w:val="15"/>
                <w:szCs w:val="15"/>
                <w:color w:val="0E191E"/>
              </w:rPr>
              <w:t>(4)</w:t>
            </w:r>
          </w:p>
        </w:tc>
        <w:tc>
          <w:tcPr>
            <w:tcW w:w="9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0E191E"/>
              </w:rPr>
              <w:t>24,726</w:t>
            </w:r>
          </w:p>
        </w:tc>
        <w:tc>
          <w:tcPr>
            <w:tcW w:w="980" w:type="dxa"/>
            <w:vAlign w:val="bottom"/>
          </w:tcPr>
          <w:p>
            <w:pPr>
              <w:jc w:val="right"/>
              <w:spacing w:after="0"/>
              <w:rPr>
                <w:sz w:val="20"/>
                <w:szCs w:val="20"/>
                <w:color w:val="auto"/>
              </w:rPr>
            </w:pPr>
            <w:r>
              <w:rPr>
                <w:rFonts w:ascii="Arial" w:cs="Arial" w:eastAsia="Arial" w:hAnsi="Arial"/>
                <w:sz w:val="13"/>
                <w:szCs w:val="13"/>
                <w:color w:val="0E191E"/>
              </w:rPr>
              <w:t>2,848,435</w:t>
            </w: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2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9/9/2020</w:t>
            </w:r>
          </w:p>
        </w:tc>
        <w:tc>
          <w:tcPr>
            <w:tcW w:w="500" w:type="dxa"/>
            <w:vAlign w:val="bottom"/>
          </w:tcPr>
          <w:p>
            <w:pPr>
              <w:ind w:left="20"/>
              <w:spacing w:after="0"/>
              <w:rPr>
                <w:sz w:val="20"/>
                <w:szCs w:val="20"/>
                <w:color w:val="auto"/>
              </w:rPr>
            </w:pPr>
            <w:r>
              <w:rPr>
                <w:rFonts w:ascii="Arial" w:cs="Arial" w:eastAsia="Arial" w:hAnsi="Arial"/>
                <w:sz w:val="15"/>
                <w:szCs w:val="15"/>
                <w:color w:val="0E191E"/>
              </w:rPr>
              <w:t>(5)</w:t>
            </w:r>
          </w:p>
        </w:tc>
        <w:tc>
          <w:tcPr>
            <w:tcW w:w="9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0E191E"/>
              </w:rPr>
              <w:t>15,869</w:t>
            </w:r>
          </w:p>
        </w:tc>
        <w:tc>
          <w:tcPr>
            <w:tcW w:w="980" w:type="dxa"/>
            <w:vAlign w:val="bottom"/>
          </w:tcPr>
          <w:p>
            <w:pPr>
              <w:jc w:val="right"/>
              <w:spacing w:after="0"/>
              <w:rPr>
                <w:sz w:val="20"/>
                <w:szCs w:val="20"/>
                <w:color w:val="auto"/>
              </w:rPr>
            </w:pPr>
            <w:r>
              <w:rPr>
                <w:rFonts w:ascii="Arial" w:cs="Arial" w:eastAsia="Arial" w:hAnsi="Arial"/>
                <w:sz w:val="13"/>
                <w:szCs w:val="13"/>
                <w:color w:val="0E191E"/>
              </w:rPr>
              <w:t>1,828,109</w:t>
            </w:r>
          </w:p>
        </w:tc>
        <w:tc>
          <w:tcPr>
            <w:tcW w:w="1180" w:type="dxa"/>
            <w:vAlign w:val="bottom"/>
          </w:tcPr>
          <w:p>
            <w:pPr>
              <w:jc w:val="center"/>
              <w:spacing w:after="0"/>
              <w:rPr>
                <w:sz w:val="20"/>
                <w:szCs w:val="20"/>
                <w:color w:val="auto"/>
              </w:rPr>
            </w:pPr>
            <w:r>
              <w:rPr>
                <w:rFonts w:ascii="Arial" w:cs="Arial" w:eastAsia="Arial" w:hAnsi="Arial"/>
                <w:sz w:val="13"/>
                <w:szCs w:val="13"/>
                <w:color w:val="0E191E"/>
              </w:rPr>
              <w:t>15,216</w:t>
            </w:r>
          </w:p>
        </w:tc>
        <w:tc>
          <w:tcPr>
            <w:tcW w:w="1360" w:type="dxa"/>
            <w:vAlign w:val="bottom"/>
          </w:tcPr>
          <w:p>
            <w:pPr>
              <w:jc w:val="right"/>
              <w:ind w:right="155"/>
              <w:spacing w:after="0"/>
              <w:rPr>
                <w:sz w:val="20"/>
                <w:szCs w:val="20"/>
                <w:color w:val="auto"/>
              </w:rPr>
            </w:pPr>
            <w:r>
              <w:rPr>
                <w:rFonts w:ascii="Arial" w:cs="Arial" w:eastAsia="Arial" w:hAnsi="Arial"/>
                <w:sz w:val="13"/>
                <w:szCs w:val="13"/>
                <w:color w:val="0E191E"/>
              </w:rPr>
              <w:t>1,752,883</w:t>
            </w:r>
          </w:p>
        </w:tc>
        <w:tc>
          <w:tcPr>
            <w:tcW w:w="0" w:type="dxa"/>
            <w:vAlign w:val="bottom"/>
          </w:tcPr>
          <w:p>
            <w:pPr>
              <w:spacing w:after="0"/>
              <w:rPr>
                <w:sz w:val="1"/>
                <w:szCs w:val="1"/>
                <w:color w:val="auto"/>
              </w:rPr>
            </w:pPr>
          </w:p>
        </w:tc>
      </w:tr>
      <w:tr>
        <w:trPr>
          <w:trHeight w:val="62"/>
        </w:trPr>
        <w:tc>
          <w:tcPr>
            <w:tcW w:w="1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220" w:type="dxa"/>
            <w:vAlign w:val="bottom"/>
            <w:shd w:val="clear" w:color="auto" w:fill="E5F1F5"/>
          </w:tcPr>
          <w:p>
            <w:pPr>
              <w:spacing w:after="0"/>
              <w:rPr>
                <w:sz w:val="22"/>
                <w:szCs w:val="22"/>
                <w:color w:val="auto"/>
              </w:rPr>
            </w:pPr>
          </w:p>
        </w:tc>
        <w:tc>
          <w:tcPr>
            <w:tcW w:w="90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12/5/2017</w:t>
            </w:r>
          </w:p>
        </w:tc>
        <w:tc>
          <w:tcPr>
            <w:tcW w:w="500" w:type="dxa"/>
            <w:vAlign w:val="bottom"/>
            <w:shd w:val="clear" w:color="auto" w:fill="E7F1F5"/>
          </w:tcPr>
          <w:p>
            <w:pPr>
              <w:ind w:left="20"/>
              <w:spacing w:after="0"/>
              <w:rPr>
                <w:sz w:val="20"/>
                <w:szCs w:val="20"/>
                <w:color w:val="auto"/>
              </w:rPr>
            </w:pPr>
            <w:r>
              <w:rPr>
                <w:rFonts w:ascii="Arial" w:cs="Arial" w:eastAsia="Arial" w:hAnsi="Arial"/>
                <w:sz w:val="15"/>
                <w:szCs w:val="15"/>
                <w:color w:val="0E191E"/>
              </w:rPr>
              <w:t>(6)</w:t>
            </w:r>
          </w:p>
        </w:tc>
        <w:tc>
          <w:tcPr>
            <w:tcW w:w="920" w:type="dxa"/>
            <w:vAlign w:val="bottom"/>
            <w:shd w:val="clear" w:color="auto" w:fill="E5F1F5"/>
          </w:tcPr>
          <w:p>
            <w:pPr>
              <w:spacing w:after="0"/>
              <w:rPr>
                <w:sz w:val="22"/>
                <w:szCs w:val="22"/>
                <w:color w:val="auto"/>
              </w:rPr>
            </w:pPr>
          </w:p>
        </w:tc>
        <w:tc>
          <w:tcPr>
            <w:tcW w:w="1680" w:type="dxa"/>
            <w:vAlign w:val="bottom"/>
            <w:shd w:val="clear" w:color="auto" w:fill="E5F1F5"/>
          </w:tcPr>
          <w:p>
            <w:pPr>
              <w:spacing w:after="0"/>
              <w:rPr>
                <w:sz w:val="22"/>
                <w:szCs w:val="22"/>
                <w:color w:val="auto"/>
              </w:rPr>
            </w:pPr>
          </w:p>
        </w:tc>
        <w:tc>
          <w:tcPr>
            <w:tcW w:w="560" w:type="dxa"/>
            <w:vAlign w:val="bottom"/>
            <w:shd w:val="clear" w:color="auto" w:fill="E5F1F5"/>
          </w:tcPr>
          <w:p>
            <w:pPr>
              <w:spacing w:after="0"/>
              <w:rPr>
                <w:sz w:val="22"/>
                <w:szCs w:val="22"/>
                <w:color w:val="auto"/>
              </w:rPr>
            </w:pPr>
          </w:p>
        </w:tc>
        <w:tc>
          <w:tcPr>
            <w:tcW w:w="1000" w:type="dxa"/>
            <w:vAlign w:val="bottom"/>
            <w:shd w:val="clear" w:color="auto" w:fill="E5F1F5"/>
          </w:tcPr>
          <w:p>
            <w:pPr>
              <w:spacing w:after="0"/>
              <w:rPr>
                <w:sz w:val="22"/>
                <w:szCs w:val="22"/>
                <w:color w:val="auto"/>
              </w:rPr>
            </w:pPr>
          </w:p>
        </w:tc>
        <w:tc>
          <w:tcPr>
            <w:tcW w:w="94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1,375</w:t>
            </w:r>
          </w:p>
        </w:tc>
        <w:tc>
          <w:tcPr>
            <w:tcW w:w="98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158,400</w:t>
            </w:r>
          </w:p>
        </w:tc>
        <w:tc>
          <w:tcPr>
            <w:tcW w:w="1180" w:type="dxa"/>
            <w:vAlign w:val="bottom"/>
            <w:shd w:val="clear" w:color="auto" w:fill="E5F1F5"/>
          </w:tcPr>
          <w:p>
            <w:pPr>
              <w:spacing w:after="0"/>
              <w:rPr>
                <w:sz w:val="22"/>
                <w:szCs w:val="22"/>
                <w:color w:val="auto"/>
              </w:rPr>
            </w:pPr>
          </w:p>
        </w:tc>
        <w:tc>
          <w:tcPr>
            <w:tcW w:w="1360" w:type="dxa"/>
            <w:vAlign w:val="bottom"/>
            <w:shd w:val="clear" w:color="auto" w:fill="E5F1F5"/>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1220" w:type="dxa"/>
            <w:vAlign w:val="bottom"/>
            <w:tcBorders>
              <w:bottom w:val="single" w:sz="8" w:color="E5F1F5"/>
            </w:tcBorders>
            <w:shd w:val="clear" w:color="auto" w:fill="E5F1F5"/>
          </w:tcPr>
          <w:p>
            <w:pPr>
              <w:spacing w:after="0"/>
              <w:rPr>
                <w:sz w:val="5"/>
                <w:szCs w:val="5"/>
                <w:color w:val="auto"/>
              </w:rPr>
            </w:pPr>
          </w:p>
        </w:tc>
        <w:tc>
          <w:tcPr>
            <w:tcW w:w="900" w:type="dxa"/>
            <w:vAlign w:val="bottom"/>
            <w:tcBorders>
              <w:bottom w:val="single" w:sz="8" w:color="0E191E"/>
            </w:tcBorders>
            <w:shd w:val="clear" w:color="auto" w:fill="E5F1F5"/>
          </w:tcPr>
          <w:p>
            <w:pPr>
              <w:spacing w:after="0"/>
              <w:rPr>
                <w:sz w:val="5"/>
                <w:szCs w:val="5"/>
                <w:color w:val="auto"/>
              </w:rPr>
            </w:pPr>
          </w:p>
        </w:tc>
        <w:tc>
          <w:tcPr>
            <w:tcW w:w="500" w:type="dxa"/>
            <w:vAlign w:val="bottom"/>
            <w:tcBorders>
              <w:bottom w:val="single" w:sz="8" w:color="0E191E"/>
            </w:tcBorders>
            <w:shd w:val="clear" w:color="auto" w:fill="E7F1F5"/>
          </w:tcPr>
          <w:p>
            <w:pPr>
              <w:spacing w:after="0"/>
              <w:rPr>
                <w:sz w:val="5"/>
                <w:szCs w:val="5"/>
                <w:color w:val="auto"/>
              </w:rPr>
            </w:pPr>
          </w:p>
        </w:tc>
        <w:tc>
          <w:tcPr>
            <w:tcW w:w="920" w:type="dxa"/>
            <w:vAlign w:val="bottom"/>
            <w:tcBorders>
              <w:bottom w:val="single" w:sz="8" w:color="0E191E"/>
            </w:tcBorders>
            <w:shd w:val="clear" w:color="auto" w:fill="E5F1F5"/>
          </w:tcPr>
          <w:p>
            <w:pPr>
              <w:spacing w:after="0"/>
              <w:rPr>
                <w:sz w:val="5"/>
                <w:szCs w:val="5"/>
                <w:color w:val="auto"/>
              </w:rPr>
            </w:pPr>
          </w:p>
        </w:tc>
        <w:tc>
          <w:tcPr>
            <w:tcW w:w="1680" w:type="dxa"/>
            <w:vAlign w:val="bottom"/>
            <w:tcBorders>
              <w:bottom w:val="single" w:sz="8" w:color="0E191E"/>
            </w:tcBorders>
            <w:shd w:val="clear" w:color="auto" w:fill="E5F1F5"/>
          </w:tcPr>
          <w:p>
            <w:pPr>
              <w:spacing w:after="0"/>
              <w:rPr>
                <w:sz w:val="5"/>
                <w:szCs w:val="5"/>
                <w:color w:val="auto"/>
              </w:rPr>
            </w:pPr>
          </w:p>
        </w:tc>
        <w:tc>
          <w:tcPr>
            <w:tcW w:w="560" w:type="dxa"/>
            <w:vAlign w:val="bottom"/>
            <w:tcBorders>
              <w:bottom w:val="single" w:sz="8" w:color="0E191E"/>
            </w:tcBorders>
            <w:shd w:val="clear" w:color="auto" w:fill="E5F1F5"/>
          </w:tcPr>
          <w:p>
            <w:pPr>
              <w:spacing w:after="0"/>
              <w:rPr>
                <w:sz w:val="5"/>
                <w:szCs w:val="5"/>
                <w:color w:val="auto"/>
              </w:rPr>
            </w:pPr>
          </w:p>
        </w:tc>
        <w:tc>
          <w:tcPr>
            <w:tcW w:w="1000" w:type="dxa"/>
            <w:vAlign w:val="bottom"/>
            <w:tcBorders>
              <w:bottom w:val="single" w:sz="8" w:color="0E191E"/>
            </w:tcBorders>
            <w:shd w:val="clear" w:color="auto" w:fill="E5F1F5"/>
          </w:tcPr>
          <w:p>
            <w:pPr>
              <w:spacing w:after="0"/>
              <w:rPr>
                <w:sz w:val="5"/>
                <w:szCs w:val="5"/>
                <w:color w:val="auto"/>
              </w:rPr>
            </w:pPr>
          </w:p>
        </w:tc>
        <w:tc>
          <w:tcPr>
            <w:tcW w:w="940" w:type="dxa"/>
            <w:vAlign w:val="bottom"/>
            <w:tcBorders>
              <w:bottom w:val="single" w:sz="8" w:color="0E191E"/>
            </w:tcBorders>
            <w:shd w:val="clear" w:color="auto" w:fill="E5F1F5"/>
          </w:tcPr>
          <w:p>
            <w:pPr>
              <w:spacing w:after="0"/>
              <w:rPr>
                <w:sz w:val="5"/>
                <w:szCs w:val="5"/>
                <w:color w:val="auto"/>
              </w:rPr>
            </w:pPr>
          </w:p>
        </w:tc>
        <w:tc>
          <w:tcPr>
            <w:tcW w:w="980" w:type="dxa"/>
            <w:vAlign w:val="bottom"/>
            <w:tcBorders>
              <w:bottom w:val="single" w:sz="8" w:color="0E191E"/>
            </w:tcBorders>
            <w:shd w:val="clear" w:color="auto" w:fill="E5F1F5"/>
          </w:tcPr>
          <w:p>
            <w:pPr>
              <w:spacing w:after="0"/>
              <w:rPr>
                <w:sz w:val="5"/>
                <w:szCs w:val="5"/>
                <w:color w:val="auto"/>
              </w:rPr>
            </w:pPr>
          </w:p>
        </w:tc>
        <w:tc>
          <w:tcPr>
            <w:tcW w:w="1180" w:type="dxa"/>
            <w:vAlign w:val="bottom"/>
            <w:tcBorders>
              <w:bottom w:val="single" w:sz="8" w:color="0E191E"/>
            </w:tcBorders>
            <w:shd w:val="clear" w:color="auto" w:fill="E5F1F5"/>
          </w:tcPr>
          <w:p>
            <w:pPr>
              <w:spacing w:after="0"/>
              <w:rPr>
                <w:sz w:val="5"/>
                <w:szCs w:val="5"/>
                <w:color w:val="auto"/>
              </w:rPr>
            </w:pPr>
          </w:p>
        </w:tc>
        <w:tc>
          <w:tcPr>
            <w:tcW w:w="1360" w:type="dxa"/>
            <w:vAlign w:val="bottom"/>
            <w:tcBorders>
              <w:bottom w:val="single" w:sz="8" w:color="0E191E"/>
            </w:tcBorders>
            <w:shd w:val="clear" w:color="auto" w:fill="E5F1F5"/>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20" w:type="dxa"/>
            <w:vAlign w:val="bottom"/>
            <w:shd w:val="clear" w:color="auto" w:fill="E5F1F5"/>
          </w:tcPr>
          <w:p>
            <w:pPr>
              <w:spacing w:after="0"/>
              <w:rPr>
                <w:sz w:val="21"/>
                <w:szCs w:val="21"/>
                <w:color w:val="auto"/>
              </w:rPr>
            </w:pPr>
          </w:p>
        </w:tc>
        <w:tc>
          <w:tcPr>
            <w:tcW w:w="90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9/12/2018</w:t>
            </w:r>
          </w:p>
        </w:tc>
        <w:tc>
          <w:tcPr>
            <w:tcW w:w="500" w:type="dxa"/>
            <w:vAlign w:val="bottom"/>
            <w:shd w:val="clear" w:color="auto" w:fill="E7F1F5"/>
          </w:tcPr>
          <w:p>
            <w:pPr>
              <w:ind w:left="20"/>
              <w:spacing w:after="0"/>
              <w:rPr>
                <w:sz w:val="20"/>
                <w:szCs w:val="20"/>
                <w:color w:val="auto"/>
              </w:rPr>
            </w:pPr>
            <w:r>
              <w:rPr>
                <w:rFonts w:ascii="Arial" w:cs="Arial" w:eastAsia="Arial" w:hAnsi="Arial"/>
                <w:sz w:val="15"/>
                <w:szCs w:val="15"/>
                <w:color w:val="0E191E"/>
              </w:rPr>
              <w:t>(4)</w:t>
            </w:r>
          </w:p>
        </w:tc>
        <w:tc>
          <w:tcPr>
            <w:tcW w:w="920" w:type="dxa"/>
            <w:vAlign w:val="bottom"/>
            <w:shd w:val="clear" w:color="auto" w:fill="E5F1F5"/>
          </w:tcPr>
          <w:p>
            <w:pPr>
              <w:spacing w:after="0"/>
              <w:rPr>
                <w:sz w:val="21"/>
                <w:szCs w:val="21"/>
                <w:color w:val="auto"/>
              </w:rPr>
            </w:pPr>
          </w:p>
        </w:tc>
        <w:tc>
          <w:tcPr>
            <w:tcW w:w="1680" w:type="dxa"/>
            <w:vAlign w:val="bottom"/>
            <w:shd w:val="clear" w:color="auto" w:fill="E5F1F5"/>
          </w:tcPr>
          <w:p>
            <w:pPr>
              <w:spacing w:after="0"/>
              <w:rPr>
                <w:sz w:val="21"/>
                <w:szCs w:val="21"/>
                <w:color w:val="auto"/>
              </w:rPr>
            </w:pPr>
          </w:p>
        </w:tc>
        <w:tc>
          <w:tcPr>
            <w:tcW w:w="560" w:type="dxa"/>
            <w:vAlign w:val="bottom"/>
            <w:shd w:val="clear" w:color="auto" w:fill="E5F1F5"/>
          </w:tcPr>
          <w:p>
            <w:pPr>
              <w:spacing w:after="0"/>
              <w:rPr>
                <w:sz w:val="21"/>
                <w:szCs w:val="21"/>
                <w:color w:val="auto"/>
              </w:rPr>
            </w:pPr>
          </w:p>
        </w:tc>
        <w:tc>
          <w:tcPr>
            <w:tcW w:w="1000" w:type="dxa"/>
            <w:vAlign w:val="bottom"/>
            <w:shd w:val="clear" w:color="auto" w:fill="E5F1F5"/>
          </w:tcPr>
          <w:p>
            <w:pPr>
              <w:spacing w:after="0"/>
              <w:rPr>
                <w:sz w:val="21"/>
                <w:szCs w:val="21"/>
                <w:color w:val="auto"/>
              </w:rPr>
            </w:pPr>
          </w:p>
        </w:tc>
        <w:tc>
          <w:tcPr>
            <w:tcW w:w="94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469</w:t>
            </w:r>
          </w:p>
        </w:tc>
        <w:tc>
          <w:tcPr>
            <w:tcW w:w="98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54,029</w:t>
            </w:r>
          </w:p>
        </w:tc>
        <w:tc>
          <w:tcPr>
            <w:tcW w:w="1180" w:type="dxa"/>
            <w:vAlign w:val="bottom"/>
            <w:shd w:val="clear" w:color="auto" w:fill="E5F1F5"/>
          </w:tcPr>
          <w:p>
            <w:pPr>
              <w:spacing w:after="0"/>
              <w:rPr>
                <w:sz w:val="21"/>
                <w:szCs w:val="21"/>
                <w:color w:val="auto"/>
              </w:rPr>
            </w:pPr>
          </w:p>
        </w:tc>
        <w:tc>
          <w:tcPr>
            <w:tcW w:w="1360" w:type="dxa"/>
            <w:vAlign w:val="bottom"/>
            <w:shd w:val="clear" w:color="auto" w:fill="E5F1F5"/>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20" w:type="dxa"/>
            <w:vAlign w:val="bottom"/>
            <w:tcBorders>
              <w:bottom w:val="single" w:sz="8" w:color="E5F1F5"/>
            </w:tcBorders>
            <w:shd w:val="clear" w:color="auto" w:fill="E5F1F5"/>
          </w:tcPr>
          <w:p>
            <w:pPr>
              <w:spacing w:after="0"/>
              <w:rPr>
                <w:sz w:val="5"/>
                <w:szCs w:val="5"/>
                <w:color w:val="auto"/>
              </w:rPr>
            </w:pPr>
          </w:p>
        </w:tc>
        <w:tc>
          <w:tcPr>
            <w:tcW w:w="900" w:type="dxa"/>
            <w:vAlign w:val="bottom"/>
            <w:tcBorders>
              <w:bottom w:val="single" w:sz="8" w:color="0E191E"/>
            </w:tcBorders>
            <w:shd w:val="clear" w:color="auto" w:fill="E5F1F5"/>
          </w:tcPr>
          <w:p>
            <w:pPr>
              <w:spacing w:after="0"/>
              <w:rPr>
                <w:sz w:val="5"/>
                <w:szCs w:val="5"/>
                <w:color w:val="auto"/>
              </w:rPr>
            </w:pPr>
          </w:p>
        </w:tc>
        <w:tc>
          <w:tcPr>
            <w:tcW w:w="500" w:type="dxa"/>
            <w:vAlign w:val="bottom"/>
            <w:tcBorders>
              <w:bottom w:val="single" w:sz="8" w:color="0E191E"/>
            </w:tcBorders>
            <w:shd w:val="clear" w:color="auto" w:fill="E7F1F5"/>
          </w:tcPr>
          <w:p>
            <w:pPr>
              <w:spacing w:after="0"/>
              <w:rPr>
                <w:sz w:val="5"/>
                <w:szCs w:val="5"/>
                <w:color w:val="auto"/>
              </w:rPr>
            </w:pPr>
          </w:p>
        </w:tc>
        <w:tc>
          <w:tcPr>
            <w:tcW w:w="920" w:type="dxa"/>
            <w:vAlign w:val="bottom"/>
            <w:tcBorders>
              <w:bottom w:val="single" w:sz="8" w:color="0E191E"/>
            </w:tcBorders>
            <w:shd w:val="clear" w:color="auto" w:fill="E5F1F5"/>
          </w:tcPr>
          <w:p>
            <w:pPr>
              <w:spacing w:after="0"/>
              <w:rPr>
                <w:sz w:val="5"/>
                <w:szCs w:val="5"/>
                <w:color w:val="auto"/>
              </w:rPr>
            </w:pPr>
          </w:p>
        </w:tc>
        <w:tc>
          <w:tcPr>
            <w:tcW w:w="1680" w:type="dxa"/>
            <w:vAlign w:val="bottom"/>
            <w:tcBorders>
              <w:bottom w:val="single" w:sz="8" w:color="0E191E"/>
            </w:tcBorders>
            <w:shd w:val="clear" w:color="auto" w:fill="E5F1F5"/>
          </w:tcPr>
          <w:p>
            <w:pPr>
              <w:spacing w:after="0"/>
              <w:rPr>
                <w:sz w:val="5"/>
                <w:szCs w:val="5"/>
                <w:color w:val="auto"/>
              </w:rPr>
            </w:pPr>
          </w:p>
        </w:tc>
        <w:tc>
          <w:tcPr>
            <w:tcW w:w="560" w:type="dxa"/>
            <w:vAlign w:val="bottom"/>
            <w:tcBorders>
              <w:bottom w:val="single" w:sz="8" w:color="0E191E"/>
            </w:tcBorders>
            <w:shd w:val="clear" w:color="auto" w:fill="E5F1F5"/>
          </w:tcPr>
          <w:p>
            <w:pPr>
              <w:spacing w:after="0"/>
              <w:rPr>
                <w:sz w:val="5"/>
                <w:szCs w:val="5"/>
                <w:color w:val="auto"/>
              </w:rPr>
            </w:pPr>
          </w:p>
        </w:tc>
        <w:tc>
          <w:tcPr>
            <w:tcW w:w="1000" w:type="dxa"/>
            <w:vAlign w:val="bottom"/>
            <w:tcBorders>
              <w:bottom w:val="single" w:sz="8" w:color="0E191E"/>
            </w:tcBorders>
            <w:shd w:val="clear" w:color="auto" w:fill="E5F1F5"/>
          </w:tcPr>
          <w:p>
            <w:pPr>
              <w:spacing w:after="0"/>
              <w:rPr>
                <w:sz w:val="5"/>
                <w:szCs w:val="5"/>
                <w:color w:val="auto"/>
              </w:rPr>
            </w:pPr>
          </w:p>
        </w:tc>
        <w:tc>
          <w:tcPr>
            <w:tcW w:w="940" w:type="dxa"/>
            <w:vAlign w:val="bottom"/>
            <w:tcBorders>
              <w:bottom w:val="single" w:sz="8" w:color="0E191E"/>
            </w:tcBorders>
            <w:shd w:val="clear" w:color="auto" w:fill="E5F1F5"/>
          </w:tcPr>
          <w:p>
            <w:pPr>
              <w:spacing w:after="0"/>
              <w:rPr>
                <w:sz w:val="5"/>
                <w:szCs w:val="5"/>
                <w:color w:val="auto"/>
              </w:rPr>
            </w:pPr>
          </w:p>
        </w:tc>
        <w:tc>
          <w:tcPr>
            <w:tcW w:w="980" w:type="dxa"/>
            <w:vAlign w:val="bottom"/>
            <w:tcBorders>
              <w:bottom w:val="single" w:sz="8" w:color="0E191E"/>
            </w:tcBorders>
            <w:shd w:val="clear" w:color="auto" w:fill="E5F1F5"/>
          </w:tcPr>
          <w:p>
            <w:pPr>
              <w:spacing w:after="0"/>
              <w:rPr>
                <w:sz w:val="5"/>
                <w:szCs w:val="5"/>
                <w:color w:val="auto"/>
              </w:rPr>
            </w:pPr>
          </w:p>
        </w:tc>
        <w:tc>
          <w:tcPr>
            <w:tcW w:w="1180" w:type="dxa"/>
            <w:vAlign w:val="bottom"/>
            <w:tcBorders>
              <w:bottom w:val="single" w:sz="8" w:color="0E191E"/>
            </w:tcBorders>
            <w:shd w:val="clear" w:color="auto" w:fill="E5F1F5"/>
          </w:tcPr>
          <w:p>
            <w:pPr>
              <w:spacing w:after="0"/>
              <w:rPr>
                <w:sz w:val="5"/>
                <w:szCs w:val="5"/>
                <w:color w:val="auto"/>
              </w:rPr>
            </w:pPr>
          </w:p>
        </w:tc>
        <w:tc>
          <w:tcPr>
            <w:tcW w:w="1360" w:type="dxa"/>
            <w:vAlign w:val="bottom"/>
            <w:tcBorders>
              <w:bottom w:val="single" w:sz="8" w:color="0E191E"/>
            </w:tcBorders>
            <w:shd w:val="clear" w:color="auto" w:fill="E5F1F5"/>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20" w:type="dxa"/>
            <w:vAlign w:val="bottom"/>
            <w:shd w:val="clear" w:color="auto" w:fill="E5F1F5"/>
          </w:tcPr>
          <w:p>
            <w:pPr>
              <w:spacing w:after="0"/>
              <w:rPr>
                <w:sz w:val="21"/>
                <w:szCs w:val="21"/>
                <w:color w:val="auto"/>
              </w:rPr>
            </w:pPr>
          </w:p>
        </w:tc>
        <w:tc>
          <w:tcPr>
            <w:tcW w:w="90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9/12/2018</w:t>
            </w:r>
          </w:p>
        </w:tc>
        <w:tc>
          <w:tcPr>
            <w:tcW w:w="500" w:type="dxa"/>
            <w:vAlign w:val="bottom"/>
            <w:shd w:val="clear" w:color="auto" w:fill="E7F1F5"/>
          </w:tcPr>
          <w:p>
            <w:pPr>
              <w:ind w:left="20"/>
              <w:spacing w:after="0"/>
              <w:rPr>
                <w:sz w:val="20"/>
                <w:szCs w:val="20"/>
                <w:color w:val="auto"/>
              </w:rPr>
            </w:pPr>
            <w:r>
              <w:rPr>
                <w:rFonts w:ascii="Arial" w:cs="Arial" w:eastAsia="Arial" w:hAnsi="Arial"/>
                <w:sz w:val="15"/>
                <w:szCs w:val="15"/>
                <w:color w:val="0E191E"/>
              </w:rPr>
              <w:t>(7)</w:t>
            </w:r>
          </w:p>
        </w:tc>
        <w:tc>
          <w:tcPr>
            <w:tcW w:w="920" w:type="dxa"/>
            <w:vAlign w:val="bottom"/>
            <w:shd w:val="clear" w:color="auto" w:fill="E5F1F5"/>
          </w:tcPr>
          <w:p>
            <w:pPr>
              <w:spacing w:after="0"/>
              <w:rPr>
                <w:sz w:val="21"/>
                <w:szCs w:val="21"/>
                <w:color w:val="auto"/>
              </w:rPr>
            </w:pPr>
          </w:p>
        </w:tc>
        <w:tc>
          <w:tcPr>
            <w:tcW w:w="1680" w:type="dxa"/>
            <w:vAlign w:val="bottom"/>
            <w:shd w:val="clear" w:color="auto" w:fill="E5F1F5"/>
          </w:tcPr>
          <w:p>
            <w:pPr>
              <w:spacing w:after="0"/>
              <w:rPr>
                <w:sz w:val="21"/>
                <w:szCs w:val="21"/>
                <w:color w:val="auto"/>
              </w:rPr>
            </w:pPr>
          </w:p>
        </w:tc>
        <w:tc>
          <w:tcPr>
            <w:tcW w:w="560" w:type="dxa"/>
            <w:vAlign w:val="bottom"/>
            <w:shd w:val="clear" w:color="auto" w:fill="E5F1F5"/>
          </w:tcPr>
          <w:p>
            <w:pPr>
              <w:spacing w:after="0"/>
              <w:rPr>
                <w:sz w:val="21"/>
                <w:szCs w:val="21"/>
                <w:color w:val="auto"/>
              </w:rPr>
            </w:pPr>
          </w:p>
        </w:tc>
        <w:tc>
          <w:tcPr>
            <w:tcW w:w="1000" w:type="dxa"/>
            <w:vAlign w:val="bottom"/>
            <w:shd w:val="clear" w:color="auto" w:fill="E5F1F5"/>
          </w:tcPr>
          <w:p>
            <w:pPr>
              <w:spacing w:after="0"/>
              <w:rPr>
                <w:sz w:val="21"/>
                <w:szCs w:val="21"/>
                <w:color w:val="auto"/>
              </w:rPr>
            </w:pPr>
          </w:p>
        </w:tc>
        <w:tc>
          <w:tcPr>
            <w:tcW w:w="94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317</w:t>
            </w:r>
          </w:p>
        </w:tc>
        <w:tc>
          <w:tcPr>
            <w:tcW w:w="98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36,518</w:t>
            </w:r>
          </w:p>
        </w:tc>
        <w:tc>
          <w:tcPr>
            <w:tcW w:w="1180" w:type="dxa"/>
            <w:vAlign w:val="bottom"/>
            <w:shd w:val="clear" w:color="auto" w:fill="E5F1F5"/>
          </w:tcPr>
          <w:p>
            <w:pPr>
              <w:spacing w:after="0"/>
              <w:rPr>
                <w:sz w:val="21"/>
                <w:szCs w:val="21"/>
                <w:color w:val="auto"/>
              </w:rPr>
            </w:pPr>
          </w:p>
        </w:tc>
        <w:tc>
          <w:tcPr>
            <w:tcW w:w="1360" w:type="dxa"/>
            <w:vAlign w:val="bottom"/>
            <w:shd w:val="clear" w:color="auto" w:fill="E5F1F5"/>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20" w:type="dxa"/>
            <w:vAlign w:val="bottom"/>
            <w:tcBorders>
              <w:bottom w:val="single" w:sz="8" w:color="E5F1F5"/>
            </w:tcBorders>
            <w:shd w:val="clear" w:color="auto" w:fill="E5F1F5"/>
          </w:tcPr>
          <w:p>
            <w:pPr>
              <w:spacing w:after="0"/>
              <w:rPr>
                <w:sz w:val="5"/>
                <w:szCs w:val="5"/>
                <w:color w:val="auto"/>
              </w:rPr>
            </w:pPr>
          </w:p>
        </w:tc>
        <w:tc>
          <w:tcPr>
            <w:tcW w:w="900" w:type="dxa"/>
            <w:vAlign w:val="bottom"/>
            <w:tcBorders>
              <w:bottom w:val="single" w:sz="8" w:color="0E191E"/>
            </w:tcBorders>
            <w:shd w:val="clear" w:color="auto" w:fill="E5F1F5"/>
          </w:tcPr>
          <w:p>
            <w:pPr>
              <w:spacing w:after="0"/>
              <w:rPr>
                <w:sz w:val="5"/>
                <w:szCs w:val="5"/>
                <w:color w:val="auto"/>
              </w:rPr>
            </w:pPr>
          </w:p>
        </w:tc>
        <w:tc>
          <w:tcPr>
            <w:tcW w:w="500" w:type="dxa"/>
            <w:vAlign w:val="bottom"/>
            <w:tcBorders>
              <w:bottom w:val="single" w:sz="8" w:color="0E191E"/>
            </w:tcBorders>
            <w:shd w:val="clear" w:color="auto" w:fill="E7F1F5"/>
          </w:tcPr>
          <w:p>
            <w:pPr>
              <w:spacing w:after="0"/>
              <w:rPr>
                <w:sz w:val="5"/>
                <w:szCs w:val="5"/>
                <w:color w:val="auto"/>
              </w:rPr>
            </w:pPr>
          </w:p>
        </w:tc>
        <w:tc>
          <w:tcPr>
            <w:tcW w:w="920" w:type="dxa"/>
            <w:vAlign w:val="bottom"/>
            <w:tcBorders>
              <w:bottom w:val="single" w:sz="8" w:color="0E191E"/>
            </w:tcBorders>
            <w:shd w:val="clear" w:color="auto" w:fill="E5F1F5"/>
          </w:tcPr>
          <w:p>
            <w:pPr>
              <w:spacing w:after="0"/>
              <w:rPr>
                <w:sz w:val="5"/>
                <w:szCs w:val="5"/>
                <w:color w:val="auto"/>
              </w:rPr>
            </w:pPr>
          </w:p>
        </w:tc>
        <w:tc>
          <w:tcPr>
            <w:tcW w:w="1680" w:type="dxa"/>
            <w:vAlign w:val="bottom"/>
            <w:tcBorders>
              <w:bottom w:val="single" w:sz="8" w:color="0E191E"/>
            </w:tcBorders>
            <w:shd w:val="clear" w:color="auto" w:fill="E5F1F5"/>
          </w:tcPr>
          <w:p>
            <w:pPr>
              <w:spacing w:after="0"/>
              <w:rPr>
                <w:sz w:val="5"/>
                <w:szCs w:val="5"/>
                <w:color w:val="auto"/>
              </w:rPr>
            </w:pPr>
          </w:p>
        </w:tc>
        <w:tc>
          <w:tcPr>
            <w:tcW w:w="560" w:type="dxa"/>
            <w:vAlign w:val="bottom"/>
            <w:tcBorders>
              <w:bottom w:val="single" w:sz="8" w:color="0E191E"/>
            </w:tcBorders>
            <w:shd w:val="clear" w:color="auto" w:fill="E5F1F5"/>
          </w:tcPr>
          <w:p>
            <w:pPr>
              <w:spacing w:after="0"/>
              <w:rPr>
                <w:sz w:val="5"/>
                <w:szCs w:val="5"/>
                <w:color w:val="auto"/>
              </w:rPr>
            </w:pPr>
          </w:p>
        </w:tc>
        <w:tc>
          <w:tcPr>
            <w:tcW w:w="1000" w:type="dxa"/>
            <w:vAlign w:val="bottom"/>
            <w:tcBorders>
              <w:bottom w:val="single" w:sz="8" w:color="0E191E"/>
            </w:tcBorders>
            <w:shd w:val="clear" w:color="auto" w:fill="E5F1F5"/>
          </w:tcPr>
          <w:p>
            <w:pPr>
              <w:spacing w:after="0"/>
              <w:rPr>
                <w:sz w:val="5"/>
                <w:szCs w:val="5"/>
                <w:color w:val="auto"/>
              </w:rPr>
            </w:pPr>
          </w:p>
        </w:tc>
        <w:tc>
          <w:tcPr>
            <w:tcW w:w="940" w:type="dxa"/>
            <w:vAlign w:val="bottom"/>
            <w:tcBorders>
              <w:bottom w:val="single" w:sz="8" w:color="0E191E"/>
            </w:tcBorders>
            <w:shd w:val="clear" w:color="auto" w:fill="E5F1F5"/>
          </w:tcPr>
          <w:p>
            <w:pPr>
              <w:spacing w:after="0"/>
              <w:rPr>
                <w:sz w:val="5"/>
                <w:szCs w:val="5"/>
                <w:color w:val="auto"/>
              </w:rPr>
            </w:pPr>
          </w:p>
        </w:tc>
        <w:tc>
          <w:tcPr>
            <w:tcW w:w="980" w:type="dxa"/>
            <w:vAlign w:val="bottom"/>
            <w:tcBorders>
              <w:bottom w:val="single" w:sz="8" w:color="0E191E"/>
            </w:tcBorders>
            <w:shd w:val="clear" w:color="auto" w:fill="E5F1F5"/>
          </w:tcPr>
          <w:p>
            <w:pPr>
              <w:spacing w:after="0"/>
              <w:rPr>
                <w:sz w:val="5"/>
                <w:szCs w:val="5"/>
                <w:color w:val="auto"/>
              </w:rPr>
            </w:pPr>
          </w:p>
        </w:tc>
        <w:tc>
          <w:tcPr>
            <w:tcW w:w="1180" w:type="dxa"/>
            <w:vAlign w:val="bottom"/>
            <w:tcBorders>
              <w:bottom w:val="single" w:sz="8" w:color="0E191E"/>
            </w:tcBorders>
            <w:shd w:val="clear" w:color="auto" w:fill="E5F1F5"/>
          </w:tcPr>
          <w:p>
            <w:pPr>
              <w:spacing w:after="0"/>
              <w:rPr>
                <w:sz w:val="5"/>
                <w:szCs w:val="5"/>
                <w:color w:val="auto"/>
              </w:rPr>
            </w:pPr>
          </w:p>
        </w:tc>
        <w:tc>
          <w:tcPr>
            <w:tcW w:w="1360" w:type="dxa"/>
            <w:vAlign w:val="bottom"/>
            <w:tcBorders>
              <w:bottom w:val="single" w:sz="8" w:color="0E191E"/>
            </w:tcBorders>
            <w:shd w:val="clear" w:color="auto" w:fill="E5F1F5"/>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20" w:type="dxa"/>
            <w:vAlign w:val="bottom"/>
            <w:shd w:val="clear" w:color="auto" w:fill="E5F1F5"/>
          </w:tcPr>
          <w:p>
            <w:pPr>
              <w:spacing w:after="0"/>
              <w:rPr>
                <w:sz w:val="21"/>
                <w:szCs w:val="21"/>
                <w:color w:val="auto"/>
              </w:rPr>
            </w:pPr>
          </w:p>
        </w:tc>
        <w:tc>
          <w:tcPr>
            <w:tcW w:w="90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6/12/2019</w:t>
            </w:r>
          </w:p>
        </w:tc>
        <w:tc>
          <w:tcPr>
            <w:tcW w:w="500" w:type="dxa"/>
            <w:vAlign w:val="bottom"/>
            <w:shd w:val="clear" w:color="auto" w:fill="E7F1F5"/>
          </w:tcPr>
          <w:p>
            <w:pPr>
              <w:ind w:left="20"/>
              <w:spacing w:after="0"/>
              <w:rPr>
                <w:sz w:val="20"/>
                <w:szCs w:val="20"/>
                <w:color w:val="auto"/>
              </w:rPr>
            </w:pPr>
            <w:r>
              <w:rPr>
                <w:rFonts w:ascii="Arial" w:cs="Arial" w:eastAsia="Arial" w:hAnsi="Arial"/>
                <w:sz w:val="15"/>
                <w:szCs w:val="15"/>
                <w:color w:val="0E191E"/>
              </w:rPr>
              <w:t>(4)</w:t>
            </w:r>
          </w:p>
        </w:tc>
        <w:tc>
          <w:tcPr>
            <w:tcW w:w="920" w:type="dxa"/>
            <w:vAlign w:val="bottom"/>
            <w:shd w:val="clear" w:color="auto" w:fill="E5F1F5"/>
          </w:tcPr>
          <w:p>
            <w:pPr>
              <w:spacing w:after="0"/>
              <w:rPr>
                <w:sz w:val="21"/>
                <w:szCs w:val="21"/>
                <w:color w:val="auto"/>
              </w:rPr>
            </w:pPr>
          </w:p>
        </w:tc>
        <w:tc>
          <w:tcPr>
            <w:tcW w:w="1680" w:type="dxa"/>
            <w:vAlign w:val="bottom"/>
            <w:shd w:val="clear" w:color="auto" w:fill="E5F1F5"/>
          </w:tcPr>
          <w:p>
            <w:pPr>
              <w:spacing w:after="0"/>
              <w:rPr>
                <w:sz w:val="21"/>
                <w:szCs w:val="21"/>
                <w:color w:val="auto"/>
              </w:rPr>
            </w:pPr>
          </w:p>
        </w:tc>
        <w:tc>
          <w:tcPr>
            <w:tcW w:w="560" w:type="dxa"/>
            <w:vAlign w:val="bottom"/>
            <w:shd w:val="clear" w:color="auto" w:fill="E5F1F5"/>
          </w:tcPr>
          <w:p>
            <w:pPr>
              <w:spacing w:after="0"/>
              <w:rPr>
                <w:sz w:val="21"/>
                <w:szCs w:val="21"/>
                <w:color w:val="auto"/>
              </w:rPr>
            </w:pPr>
          </w:p>
        </w:tc>
        <w:tc>
          <w:tcPr>
            <w:tcW w:w="1000" w:type="dxa"/>
            <w:vAlign w:val="bottom"/>
            <w:shd w:val="clear" w:color="auto" w:fill="E5F1F5"/>
          </w:tcPr>
          <w:p>
            <w:pPr>
              <w:spacing w:after="0"/>
              <w:rPr>
                <w:sz w:val="21"/>
                <w:szCs w:val="21"/>
                <w:color w:val="auto"/>
              </w:rPr>
            </w:pPr>
          </w:p>
        </w:tc>
        <w:tc>
          <w:tcPr>
            <w:tcW w:w="94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1,042</w:t>
            </w:r>
          </w:p>
        </w:tc>
        <w:tc>
          <w:tcPr>
            <w:tcW w:w="98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120,038</w:t>
            </w:r>
          </w:p>
        </w:tc>
        <w:tc>
          <w:tcPr>
            <w:tcW w:w="1180" w:type="dxa"/>
            <w:vAlign w:val="bottom"/>
            <w:shd w:val="clear" w:color="auto" w:fill="E5F1F5"/>
          </w:tcPr>
          <w:p>
            <w:pPr>
              <w:spacing w:after="0"/>
              <w:rPr>
                <w:sz w:val="21"/>
                <w:szCs w:val="21"/>
                <w:color w:val="auto"/>
              </w:rPr>
            </w:pPr>
          </w:p>
        </w:tc>
        <w:tc>
          <w:tcPr>
            <w:tcW w:w="1360" w:type="dxa"/>
            <w:vAlign w:val="bottom"/>
            <w:shd w:val="clear" w:color="auto" w:fill="E5F1F5"/>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20" w:type="dxa"/>
            <w:vAlign w:val="bottom"/>
            <w:tcBorders>
              <w:bottom w:val="single" w:sz="8" w:color="E5F1F5"/>
            </w:tcBorders>
            <w:vMerge w:val="restart"/>
            <w:shd w:val="clear" w:color="auto" w:fill="E5F1F5"/>
          </w:tcPr>
          <w:p>
            <w:pPr>
              <w:ind w:left="100"/>
              <w:spacing w:after="0"/>
              <w:rPr>
                <w:sz w:val="20"/>
                <w:szCs w:val="20"/>
                <w:color w:val="auto"/>
              </w:rPr>
            </w:pPr>
            <w:r>
              <w:rPr>
                <w:rFonts w:ascii="Arial" w:cs="Arial" w:eastAsia="Arial" w:hAnsi="Arial"/>
                <w:sz w:val="13"/>
                <w:szCs w:val="13"/>
                <w:b w:val="1"/>
                <w:bCs w:val="1"/>
                <w:color w:val="0E191E"/>
              </w:rPr>
              <w:t>Jeff</w:t>
            </w:r>
          </w:p>
        </w:tc>
        <w:tc>
          <w:tcPr>
            <w:tcW w:w="900" w:type="dxa"/>
            <w:vAlign w:val="bottom"/>
            <w:tcBorders>
              <w:bottom w:val="single" w:sz="8" w:color="0E191E"/>
            </w:tcBorders>
            <w:shd w:val="clear" w:color="auto" w:fill="E5F1F5"/>
          </w:tcPr>
          <w:p>
            <w:pPr>
              <w:spacing w:after="0"/>
              <w:rPr>
                <w:sz w:val="5"/>
                <w:szCs w:val="5"/>
                <w:color w:val="auto"/>
              </w:rPr>
            </w:pPr>
          </w:p>
        </w:tc>
        <w:tc>
          <w:tcPr>
            <w:tcW w:w="500" w:type="dxa"/>
            <w:vAlign w:val="bottom"/>
            <w:tcBorders>
              <w:bottom w:val="single" w:sz="8" w:color="0E191E"/>
            </w:tcBorders>
            <w:shd w:val="clear" w:color="auto" w:fill="E7F1F5"/>
          </w:tcPr>
          <w:p>
            <w:pPr>
              <w:spacing w:after="0"/>
              <w:rPr>
                <w:sz w:val="5"/>
                <w:szCs w:val="5"/>
                <w:color w:val="auto"/>
              </w:rPr>
            </w:pPr>
          </w:p>
        </w:tc>
        <w:tc>
          <w:tcPr>
            <w:tcW w:w="920" w:type="dxa"/>
            <w:vAlign w:val="bottom"/>
            <w:tcBorders>
              <w:bottom w:val="single" w:sz="8" w:color="0E191E"/>
            </w:tcBorders>
            <w:shd w:val="clear" w:color="auto" w:fill="E5F1F5"/>
          </w:tcPr>
          <w:p>
            <w:pPr>
              <w:spacing w:after="0"/>
              <w:rPr>
                <w:sz w:val="5"/>
                <w:szCs w:val="5"/>
                <w:color w:val="auto"/>
              </w:rPr>
            </w:pPr>
          </w:p>
        </w:tc>
        <w:tc>
          <w:tcPr>
            <w:tcW w:w="1680" w:type="dxa"/>
            <w:vAlign w:val="bottom"/>
            <w:tcBorders>
              <w:bottom w:val="single" w:sz="8" w:color="0E191E"/>
            </w:tcBorders>
            <w:shd w:val="clear" w:color="auto" w:fill="E5F1F5"/>
          </w:tcPr>
          <w:p>
            <w:pPr>
              <w:spacing w:after="0"/>
              <w:rPr>
                <w:sz w:val="5"/>
                <w:szCs w:val="5"/>
                <w:color w:val="auto"/>
              </w:rPr>
            </w:pPr>
          </w:p>
        </w:tc>
        <w:tc>
          <w:tcPr>
            <w:tcW w:w="560" w:type="dxa"/>
            <w:vAlign w:val="bottom"/>
            <w:tcBorders>
              <w:bottom w:val="single" w:sz="8" w:color="0E191E"/>
            </w:tcBorders>
            <w:shd w:val="clear" w:color="auto" w:fill="E5F1F5"/>
          </w:tcPr>
          <w:p>
            <w:pPr>
              <w:spacing w:after="0"/>
              <w:rPr>
                <w:sz w:val="5"/>
                <w:szCs w:val="5"/>
                <w:color w:val="auto"/>
              </w:rPr>
            </w:pPr>
          </w:p>
        </w:tc>
        <w:tc>
          <w:tcPr>
            <w:tcW w:w="1000" w:type="dxa"/>
            <w:vAlign w:val="bottom"/>
            <w:tcBorders>
              <w:bottom w:val="single" w:sz="8" w:color="0E191E"/>
            </w:tcBorders>
            <w:shd w:val="clear" w:color="auto" w:fill="E5F1F5"/>
          </w:tcPr>
          <w:p>
            <w:pPr>
              <w:spacing w:after="0"/>
              <w:rPr>
                <w:sz w:val="5"/>
                <w:szCs w:val="5"/>
                <w:color w:val="auto"/>
              </w:rPr>
            </w:pPr>
          </w:p>
        </w:tc>
        <w:tc>
          <w:tcPr>
            <w:tcW w:w="940" w:type="dxa"/>
            <w:vAlign w:val="bottom"/>
            <w:tcBorders>
              <w:bottom w:val="single" w:sz="8" w:color="0E191E"/>
            </w:tcBorders>
            <w:shd w:val="clear" w:color="auto" w:fill="E5F1F5"/>
          </w:tcPr>
          <w:p>
            <w:pPr>
              <w:spacing w:after="0"/>
              <w:rPr>
                <w:sz w:val="5"/>
                <w:szCs w:val="5"/>
                <w:color w:val="auto"/>
              </w:rPr>
            </w:pPr>
          </w:p>
        </w:tc>
        <w:tc>
          <w:tcPr>
            <w:tcW w:w="980" w:type="dxa"/>
            <w:vAlign w:val="bottom"/>
            <w:tcBorders>
              <w:bottom w:val="single" w:sz="8" w:color="0E191E"/>
            </w:tcBorders>
            <w:shd w:val="clear" w:color="auto" w:fill="E5F1F5"/>
          </w:tcPr>
          <w:p>
            <w:pPr>
              <w:spacing w:after="0"/>
              <w:rPr>
                <w:sz w:val="5"/>
                <w:szCs w:val="5"/>
                <w:color w:val="auto"/>
              </w:rPr>
            </w:pPr>
          </w:p>
        </w:tc>
        <w:tc>
          <w:tcPr>
            <w:tcW w:w="1180" w:type="dxa"/>
            <w:vAlign w:val="bottom"/>
            <w:tcBorders>
              <w:bottom w:val="single" w:sz="8" w:color="0E191E"/>
            </w:tcBorders>
            <w:shd w:val="clear" w:color="auto" w:fill="E5F1F5"/>
          </w:tcPr>
          <w:p>
            <w:pPr>
              <w:spacing w:after="0"/>
              <w:rPr>
                <w:sz w:val="5"/>
                <w:szCs w:val="5"/>
                <w:color w:val="auto"/>
              </w:rPr>
            </w:pPr>
          </w:p>
        </w:tc>
        <w:tc>
          <w:tcPr>
            <w:tcW w:w="1360" w:type="dxa"/>
            <w:vAlign w:val="bottom"/>
            <w:tcBorders>
              <w:bottom w:val="single" w:sz="8" w:color="0E191E"/>
            </w:tcBorders>
            <w:shd w:val="clear" w:color="auto" w:fill="E5F1F5"/>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220" w:type="dxa"/>
            <w:vAlign w:val="bottom"/>
            <w:vMerge w:val="continue"/>
            <w:shd w:val="clear" w:color="auto" w:fill="E5F1F5"/>
          </w:tcPr>
          <w:p>
            <w:pPr>
              <w:spacing w:after="0"/>
              <w:rPr>
                <w:sz w:val="10"/>
                <w:szCs w:val="10"/>
                <w:color w:val="auto"/>
              </w:rPr>
            </w:pPr>
          </w:p>
        </w:tc>
        <w:tc>
          <w:tcPr>
            <w:tcW w:w="900" w:type="dxa"/>
            <w:vAlign w:val="bottom"/>
            <w:vMerge w:val="restart"/>
            <w:shd w:val="clear" w:color="auto" w:fill="E5F1F5"/>
          </w:tcPr>
          <w:p>
            <w:pPr>
              <w:jc w:val="center"/>
              <w:spacing w:after="0"/>
              <w:rPr>
                <w:sz w:val="20"/>
                <w:szCs w:val="20"/>
                <w:color w:val="auto"/>
              </w:rPr>
            </w:pPr>
            <w:r>
              <w:rPr>
                <w:rFonts w:ascii="Arial" w:cs="Arial" w:eastAsia="Arial" w:hAnsi="Arial"/>
                <w:sz w:val="13"/>
                <w:szCs w:val="13"/>
                <w:color w:val="0E191E"/>
              </w:rPr>
              <w:t>9/6/2019</w:t>
            </w:r>
          </w:p>
        </w:tc>
        <w:tc>
          <w:tcPr>
            <w:tcW w:w="500" w:type="dxa"/>
            <w:vAlign w:val="bottom"/>
            <w:vMerge w:val="restart"/>
            <w:shd w:val="clear" w:color="auto" w:fill="E7F1F5"/>
          </w:tcPr>
          <w:p>
            <w:pPr>
              <w:ind w:left="20"/>
              <w:spacing w:after="0"/>
              <w:rPr>
                <w:sz w:val="20"/>
                <w:szCs w:val="20"/>
                <w:color w:val="auto"/>
              </w:rPr>
            </w:pPr>
            <w:r>
              <w:rPr>
                <w:rFonts w:ascii="Arial" w:cs="Arial" w:eastAsia="Arial" w:hAnsi="Arial"/>
                <w:sz w:val="15"/>
                <w:szCs w:val="15"/>
                <w:color w:val="0E191E"/>
              </w:rPr>
              <w:t>(4)</w:t>
            </w:r>
          </w:p>
        </w:tc>
        <w:tc>
          <w:tcPr>
            <w:tcW w:w="920" w:type="dxa"/>
            <w:vAlign w:val="bottom"/>
            <w:shd w:val="clear" w:color="auto" w:fill="E5F1F5"/>
          </w:tcPr>
          <w:p>
            <w:pPr>
              <w:spacing w:after="0"/>
              <w:rPr>
                <w:sz w:val="10"/>
                <w:szCs w:val="10"/>
                <w:color w:val="auto"/>
              </w:rPr>
            </w:pPr>
          </w:p>
        </w:tc>
        <w:tc>
          <w:tcPr>
            <w:tcW w:w="1680" w:type="dxa"/>
            <w:vAlign w:val="bottom"/>
            <w:shd w:val="clear" w:color="auto" w:fill="E5F1F5"/>
          </w:tcPr>
          <w:p>
            <w:pPr>
              <w:spacing w:after="0"/>
              <w:rPr>
                <w:sz w:val="10"/>
                <w:szCs w:val="10"/>
                <w:color w:val="auto"/>
              </w:rPr>
            </w:pPr>
          </w:p>
        </w:tc>
        <w:tc>
          <w:tcPr>
            <w:tcW w:w="560" w:type="dxa"/>
            <w:vAlign w:val="bottom"/>
            <w:shd w:val="clear" w:color="auto" w:fill="E5F1F5"/>
          </w:tcPr>
          <w:p>
            <w:pPr>
              <w:spacing w:after="0"/>
              <w:rPr>
                <w:sz w:val="10"/>
                <w:szCs w:val="10"/>
                <w:color w:val="auto"/>
              </w:rPr>
            </w:pPr>
          </w:p>
        </w:tc>
        <w:tc>
          <w:tcPr>
            <w:tcW w:w="1000" w:type="dxa"/>
            <w:vAlign w:val="bottom"/>
            <w:shd w:val="clear" w:color="auto" w:fill="E5F1F5"/>
          </w:tcPr>
          <w:p>
            <w:pPr>
              <w:spacing w:after="0"/>
              <w:rPr>
                <w:sz w:val="10"/>
                <w:szCs w:val="10"/>
                <w:color w:val="auto"/>
              </w:rPr>
            </w:pPr>
          </w:p>
        </w:tc>
        <w:tc>
          <w:tcPr>
            <w:tcW w:w="940" w:type="dxa"/>
            <w:vAlign w:val="bottom"/>
            <w:vMerge w:val="restart"/>
            <w:shd w:val="clear" w:color="auto" w:fill="E5F1F5"/>
          </w:tcPr>
          <w:p>
            <w:pPr>
              <w:jc w:val="center"/>
              <w:spacing w:after="0"/>
              <w:rPr>
                <w:sz w:val="20"/>
                <w:szCs w:val="20"/>
                <w:color w:val="auto"/>
              </w:rPr>
            </w:pPr>
            <w:r>
              <w:rPr>
                <w:rFonts w:ascii="Arial" w:cs="Arial" w:eastAsia="Arial" w:hAnsi="Arial"/>
                <w:sz w:val="13"/>
                <w:szCs w:val="13"/>
                <w:color w:val="0E191E"/>
              </w:rPr>
              <w:t>1,272</w:t>
            </w:r>
          </w:p>
        </w:tc>
        <w:tc>
          <w:tcPr>
            <w:tcW w:w="980" w:type="dxa"/>
            <w:vAlign w:val="bottom"/>
            <w:vMerge w:val="restart"/>
            <w:shd w:val="clear" w:color="auto" w:fill="E5F1F5"/>
          </w:tcPr>
          <w:p>
            <w:pPr>
              <w:jc w:val="right"/>
              <w:spacing w:after="0"/>
              <w:rPr>
                <w:sz w:val="20"/>
                <w:szCs w:val="20"/>
                <w:color w:val="auto"/>
              </w:rPr>
            </w:pPr>
            <w:r>
              <w:rPr>
                <w:rFonts w:ascii="Arial" w:cs="Arial" w:eastAsia="Arial" w:hAnsi="Arial"/>
                <w:sz w:val="13"/>
                <w:szCs w:val="13"/>
                <w:color w:val="0E191E"/>
              </w:rPr>
              <w:t>146,534</w:t>
            </w:r>
          </w:p>
        </w:tc>
        <w:tc>
          <w:tcPr>
            <w:tcW w:w="1180" w:type="dxa"/>
            <w:vAlign w:val="bottom"/>
            <w:shd w:val="clear" w:color="auto" w:fill="E5F1F5"/>
          </w:tcPr>
          <w:p>
            <w:pPr>
              <w:spacing w:after="0"/>
              <w:rPr>
                <w:sz w:val="10"/>
                <w:szCs w:val="10"/>
                <w:color w:val="auto"/>
              </w:rPr>
            </w:pPr>
          </w:p>
        </w:tc>
        <w:tc>
          <w:tcPr>
            <w:tcW w:w="1360" w:type="dxa"/>
            <w:vAlign w:val="bottom"/>
            <w:shd w:val="clear" w:color="auto" w:fill="E5F1F5"/>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220" w:type="dxa"/>
            <w:vAlign w:val="bottom"/>
            <w:vMerge w:val="restart"/>
            <w:shd w:val="clear" w:color="auto" w:fill="E5F1F5"/>
          </w:tcPr>
          <w:p>
            <w:pPr>
              <w:ind w:left="100"/>
              <w:spacing w:after="0"/>
              <w:rPr>
                <w:sz w:val="20"/>
                <w:szCs w:val="20"/>
                <w:color w:val="auto"/>
              </w:rPr>
            </w:pPr>
            <w:r>
              <w:rPr>
                <w:rFonts w:ascii="Arial" w:cs="Arial" w:eastAsia="Arial" w:hAnsi="Arial"/>
                <w:sz w:val="13"/>
                <w:szCs w:val="13"/>
                <w:b w:val="1"/>
                <w:bCs w:val="1"/>
                <w:color w:val="0E191E"/>
              </w:rPr>
              <w:t>Cooper</w:t>
            </w:r>
          </w:p>
        </w:tc>
        <w:tc>
          <w:tcPr>
            <w:tcW w:w="900" w:type="dxa"/>
            <w:vAlign w:val="bottom"/>
            <w:vMerge w:val="continue"/>
            <w:shd w:val="clear" w:color="auto" w:fill="E5F1F5"/>
          </w:tcPr>
          <w:p>
            <w:pPr>
              <w:spacing w:after="0"/>
              <w:rPr>
                <w:sz w:val="10"/>
                <w:szCs w:val="10"/>
                <w:color w:val="auto"/>
              </w:rPr>
            </w:pPr>
          </w:p>
        </w:tc>
        <w:tc>
          <w:tcPr>
            <w:tcW w:w="500" w:type="dxa"/>
            <w:vAlign w:val="bottom"/>
            <w:vMerge w:val="continue"/>
            <w:shd w:val="clear" w:color="auto" w:fill="E7F1F5"/>
          </w:tcPr>
          <w:p>
            <w:pPr>
              <w:spacing w:after="0"/>
              <w:rPr>
                <w:sz w:val="10"/>
                <w:szCs w:val="10"/>
                <w:color w:val="auto"/>
              </w:rPr>
            </w:pPr>
          </w:p>
        </w:tc>
        <w:tc>
          <w:tcPr>
            <w:tcW w:w="920" w:type="dxa"/>
            <w:vAlign w:val="bottom"/>
            <w:shd w:val="clear" w:color="auto" w:fill="E5F1F5"/>
          </w:tcPr>
          <w:p>
            <w:pPr>
              <w:spacing w:after="0"/>
              <w:rPr>
                <w:sz w:val="10"/>
                <w:szCs w:val="10"/>
                <w:color w:val="auto"/>
              </w:rPr>
            </w:pPr>
          </w:p>
        </w:tc>
        <w:tc>
          <w:tcPr>
            <w:tcW w:w="1680" w:type="dxa"/>
            <w:vAlign w:val="bottom"/>
            <w:shd w:val="clear" w:color="auto" w:fill="E5F1F5"/>
          </w:tcPr>
          <w:p>
            <w:pPr>
              <w:spacing w:after="0"/>
              <w:rPr>
                <w:sz w:val="10"/>
                <w:szCs w:val="10"/>
                <w:color w:val="auto"/>
              </w:rPr>
            </w:pPr>
          </w:p>
        </w:tc>
        <w:tc>
          <w:tcPr>
            <w:tcW w:w="560" w:type="dxa"/>
            <w:vAlign w:val="bottom"/>
            <w:shd w:val="clear" w:color="auto" w:fill="E5F1F5"/>
          </w:tcPr>
          <w:p>
            <w:pPr>
              <w:spacing w:after="0"/>
              <w:rPr>
                <w:sz w:val="10"/>
                <w:szCs w:val="10"/>
                <w:color w:val="auto"/>
              </w:rPr>
            </w:pPr>
          </w:p>
        </w:tc>
        <w:tc>
          <w:tcPr>
            <w:tcW w:w="1000" w:type="dxa"/>
            <w:vAlign w:val="bottom"/>
            <w:shd w:val="clear" w:color="auto" w:fill="E5F1F5"/>
          </w:tcPr>
          <w:p>
            <w:pPr>
              <w:spacing w:after="0"/>
              <w:rPr>
                <w:sz w:val="10"/>
                <w:szCs w:val="10"/>
                <w:color w:val="auto"/>
              </w:rPr>
            </w:pPr>
          </w:p>
        </w:tc>
        <w:tc>
          <w:tcPr>
            <w:tcW w:w="940" w:type="dxa"/>
            <w:vAlign w:val="bottom"/>
            <w:vMerge w:val="continue"/>
            <w:shd w:val="clear" w:color="auto" w:fill="E5F1F5"/>
          </w:tcPr>
          <w:p>
            <w:pPr>
              <w:spacing w:after="0"/>
              <w:rPr>
                <w:sz w:val="10"/>
                <w:szCs w:val="10"/>
                <w:color w:val="auto"/>
              </w:rPr>
            </w:pPr>
          </w:p>
        </w:tc>
        <w:tc>
          <w:tcPr>
            <w:tcW w:w="980" w:type="dxa"/>
            <w:vAlign w:val="bottom"/>
            <w:vMerge w:val="continue"/>
            <w:shd w:val="clear" w:color="auto" w:fill="E5F1F5"/>
          </w:tcPr>
          <w:p>
            <w:pPr>
              <w:spacing w:after="0"/>
              <w:rPr>
                <w:sz w:val="10"/>
                <w:szCs w:val="10"/>
                <w:color w:val="auto"/>
              </w:rPr>
            </w:pPr>
          </w:p>
        </w:tc>
        <w:tc>
          <w:tcPr>
            <w:tcW w:w="1180" w:type="dxa"/>
            <w:vAlign w:val="bottom"/>
            <w:shd w:val="clear" w:color="auto" w:fill="E5F1F5"/>
          </w:tcPr>
          <w:p>
            <w:pPr>
              <w:spacing w:after="0"/>
              <w:rPr>
                <w:sz w:val="10"/>
                <w:szCs w:val="10"/>
                <w:color w:val="auto"/>
              </w:rPr>
            </w:pPr>
          </w:p>
        </w:tc>
        <w:tc>
          <w:tcPr>
            <w:tcW w:w="1360" w:type="dxa"/>
            <w:vAlign w:val="bottom"/>
            <w:shd w:val="clear" w:color="auto" w:fill="E5F1F5"/>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220" w:type="dxa"/>
            <w:vAlign w:val="bottom"/>
            <w:tcBorders>
              <w:bottom w:val="single" w:sz="8" w:color="E5F1F5"/>
            </w:tcBorders>
            <w:vMerge w:val="continue"/>
            <w:shd w:val="clear" w:color="auto" w:fill="E5F1F5"/>
          </w:tcPr>
          <w:p>
            <w:pPr>
              <w:spacing w:after="0"/>
              <w:rPr>
                <w:sz w:val="5"/>
                <w:szCs w:val="5"/>
                <w:color w:val="auto"/>
              </w:rPr>
            </w:pPr>
          </w:p>
        </w:tc>
        <w:tc>
          <w:tcPr>
            <w:tcW w:w="900" w:type="dxa"/>
            <w:vAlign w:val="bottom"/>
            <w:tcBorders>
              <w:bottom w:val="single" w:sz="8" w:color="0E191E"/>
            </w:tcBorders>
            <w:shd w:val="clear" w:color="auto" w:fill="E5F1F5"/>
          </w:tcPr>
          <w:p>
            <w:pPr>
              <w:spacing w:after="0"/>
              <w:rPr>
                <w:sz w:val="5"/>
                <w:szCs w:val="5"/>
                <w:color w:val="auto"/>
              </w:rPr>
            </w:pPr>
          </w:p>
        </w:tc>
        <w:tc>
          <w:tcPr>
            <w:tcW w:w="500" w:type="dxa"/>
            <w:vAlign w:val="bottom"/>
            <w:tcBorders>
              <w:bottom w:val="single" w:sz="8" w:color="0E191E"/>
            </w:tcBorders>
            <w:shd w:val="clear" w:color="auto" w:fill="E7F1F5"/>
          </w:tcPr>
          <w:p>
            <w:pPr>
              <w:spacing w:after="0"/>
              <w:rPr>
                <w:sz w:val="5"/>
                <w:szCs w:val="5"/>
                <w:color w:val="auto"/>
              </w:rPr>
            </w:pPr>
          </w:p>
        </w:tc>
        <w:tc>
          <w:tcPr>
            <w:tcW w:w="920" w:type="dxa"/>
            <w:vAlign w:val="bottom"/>
            <w:tcBorders>
              <w:bottom w:val="single" w:sz="8" w:color="0E191E"/>
            </w:tcBorders>
            <w:shd w:val="clear" w:color="auto" w:fill="E5F1F5"/>
          </w:tcPr>
          <w:p>
            <w:pPr>
              <w:spacing w:after="0"/>
              <w:rPr>
                <w:sz w:val="5"/>
                <w:szCs w:val="5"/>
                <w:color w:val="auto"/>
              </w:rPr>
            </w:pPr>
          </w:p>
        </w:tc>
        <w:tc>
          <w:tcPr>
            <w:tcW w:w="1680" w:type="dxa"/>
            <w:vAlign w:val="bottom"/>
            <w:tcBorders>
              <w:bottom w:val="single" w:sz="8" w:color="0E191E"/>
            </w:tcBorders>
            <w:shd w:val="clear" w:color="auto" w:fill="E5F1F5"/>
          </w:tcPr>
          <w:p>
            <w:pPr>
              <w:spacing w:after="0"/>
              <w:rPr>
                <w:sz w:val="5"/>
                <w:szCs w:val="5"/>
                <w:color w:val="auto"/>
              </w:rPr>
            </w:pPr>
          </w:p>
        </w:tc>
        <w:tc>
          <w:tcPr>
            <w:tcW w:w="560" w:type="dxa"/>
            <w:vAlign w:val="bottom"/>
            <w:tcBorders>
              <w:bottom w:val="single" w:sz="8" w:color="0E191E"/>
            </w:tcBorders>
            <w:shd w:val="clear" w:color="auto" w:fill="E5F1F5"/>
          </w:tcPr>
          <w:p>
            <w:pPr>
              <w:spacing w:after="0"/>
              <w:rPr>
                <w:sz w:val="5"/>
                <w:szCs w:val="5"/>
                <w:color w:val="auto"/>
              </w:rPr>
            </w:pPr>
          </w:p>
        </w:tc>
        <w:tc>
          <w:tcPr>
            <w:tcW w:w="1000" w:type="dxa"/>
            <w:vAlign w:val="bottom"/>
            <w:tcBorders>
              <w:bottom w:val="single" w:sz="8" w:color="0E191E"/>
            </w:tcBorders>
            <w:shd w:val="clear" w:color="auto" w:fill="E5F1F5"/>
          </w:tcPr>
          <w:p>
            <w:pPr>
              <w:spacing w:after="0"/>
              <w:rPr>
                <w:sz w:val="5"/>
                <w:szCs w:val="5"/>
                <w:color w:val="auto"/>
              </w:rPr>
            </w:pPr>
          </w:p>
        </w:tc>
        <w:tc>
          <w:tcPr>
            <w:tcW w:w="940" w:type="dxa"/>
            <w:vAlign w:val="bottom"/>
            <w:tcBorders>
              <w:bottom w:val="single" w:sz="8" w:color="0E191E"/>
            </w:tcBorders>
            <w:shd w:val="clear" w:color="auto" w:fill="E5F1F5"/>
          </w:tcPr>
          <w:p>
            <w:pPr>
              <w:spacing w:after="0"/>
              <w:rPr>
                <w:sz w:val="5"/>
                <w:szCs w:val="5"/>
                <w:color w:val="auto"/>
              </w:rPr>
            </w:pPr>
          </w:p>
        </w:tc>
        <w:tc>
          <w:tcPr>
            <w:tcW w:w="980" w:type="dxa"/>
            <w:vAlign w:val="bottom"/>
            <w:tcBorders>
              <w:bottom w:val="single" w:sz="8" w:color="0E191E"/>
            </w:tcBorders>
            <w:shd w:val="clear" w:color="auto" w:fill="E5F1F5"/>
          </w:tcPr>
          <w:p>
            <w:pPr>
              <w:spacing w:after="0"/>
              <w:rPr>
                <w:sz w:val="5"/>
                <w:szCs w:val="5"/>
                <w:color w:val="auto"/>
              </w:rPr>
            </w:pPr>
          </w:p>
        </w:tc>
        <w:tc>
          <w:tcPr>
            <w:tcW w:w="1180" w:type="dxa"/>
            <w:vAlign w:val="bottom"/>
            <w:tcBorders>
              <w:bottom w:val="single" w:sz="8" w:color="0E191E"/>
            </w:tcBorders>
            <w:shd w:val="clear" w:color="auto" w:fill="E5F1F5"/>
          </w:tcPr>
          <w:p>
            <w:pPr>
              <w:spacing w:after="0"/>
              <w:rPr>
                <w:sz w:val="5"/>
                <w:szCs w:val="5"/>
                <w:color w:val="auto"/>
              </w:rPr>
            </w:pPr>
          </w:p>
        </w:tc>
        <w:tc>
          <w:tcPr>
            <w:tcW w:w="1360" w:type="dxa"/>
            <w:vAlign w:val="bottom"/>
            <w:tcBorders>
              <w:bottom w:val="single" w:sz="8" w:color="0E191E"/>
            </w:tcBorders>
            <w:shd w:val="clear" w:color="auto" w:fill="E5F1F5"/>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20" w:type="dxa"/>
            <w:vAlign w:val="bottom"/>
            <w:shd w:val="clear" w:color="auto" w:fill="E5F1F5"/>
          </w:tcPr>
          <w:p>
            <w:pPr>
              <w:spacing w:after="0"/>
              <w:rPr>
                <w:sz w:val="21"/>
                <w:szCs w:val="21"/>
                <w:color w:val="auto"/>
              </w:rPr>
            </w:pPr>
          </w:p>
        </w:tc>
        <w:tc>
          <w:tcPr>
            <w:tcW w:w="90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3/10/2020</w:t>
            </w:r>
          </w:p>
        </w:tc>
        <w:tc>
          <w:tcPr>
            <w:tcW w:w="500" w:type="dxa"/>
            <w:vAlign w:val="bottom"/>
            <w:shd w:val="clear" w:color="auto" w:fill="E7F1F5"/>
          </w:tcPr>
          <w:p>
            <w:pPr>
              <w:ind w:left="20"/>
              <w:spacing w:after="0"/>
              <w:rPr>
                <w:sz w:val="20"/>
                <w:szCs w:val="20"/>
                <w:color w:val="auto"/>
              </w:rPr>
            </w:pPr>
            <w:r>
              <w:rPr>
                <w:rFonts w:ascii="Arial" w:cs="Arial" w:eastAsia="Arial" w:hAnsi="Arial"/>
                <w:sz w:val="15"/>
                <w:szCs w:val="15"/>
                <w:color w:val="0E191E"/>
              </w:rPr>
              <w:t>(8)</w:t>
            </w:r>
          </w:p>
        </w:tc>
        <w:tc>
          <w:tcPr>
            <w:tcW w:w="920" w:type="dxa"/>
            <w:vAlign w:val="bottom"/>
            <w:shd w:val="clear" w:color="auto" w:fill="E5F1F5"/>
          </w:tcPr>
          <w:p>
            <w:pPr>
              <w:spacing w:after="0"/>
              <w:rPr>
                <w:sz w:val="21"/>
                <w:szCs w:val="21"/>
                <w:color w:val="auto"/>
              </w:rPr>
            </w:pPr>
          </w:p>
        </w:tc>
        <w:tc>
          <w:tcPr>
            <w:tcW w:w="1680" w:type="dxa"/>
            <w:vAlign w:val="bottom"/>
            <w:shd w:val="clear" w:color="auto" w:fill="E5F1F5"/>
          </w:tcPr>
          <w:p>
            <w:pPr>
              <w:spacing w:after="0"/>
              <w:rPr>
                <w:sz w:val="21"/>
                <w:szCs w:val="21"/>
                <w:color w:val="auto"/>
              </w:rPr>
            </w:pPr>
          </w:p>
        </w:tc>
        <w:tc>
          <w:tcPr>
            <w:tcW w:w="560" w:type="dxa"/>
            <w:vAlign w:val="bottom"/>
            <w:shd w:val="clear" w:color="auto" w:fill="E5F1F5"/>
          </w:tcPr>
          <w:p>
            <w:pPr>
              <w:spacing w:after="0"/>
              <w:rPr>
                <w:sz w:val="21"/>
                <w:szCs w:val="21"/>
                <w:color w:val="auto"/>
              </w:rPr>
            </w:pPr>
          </w:p>
        </w:tc>
        <w:tc>
          <w:tcPr>
            <w:tcW w:w="1000" w:type="dxa"/>
            <w:vAlign w:val="bottom"/>
            <w:shd w:val="clear" w:color="auto" w:fill="E5F1F5"/>
          </w:tcPr>
          <w:p>
            <w:pPr>
              <w:spacing w:after="0"/>
              <w:rPr>
                <w:sz w:val="21"/>
                <w:szCs w:val="21"/>
                <w:color w:val="auto"/>
              </w:rPr>
            </w:pPr>
          </w:p>
        </w:tc>
        <w:tc>
          <w:tcPr>
            <w:tcW w:w="94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1,770</w:t>
            </w:r>
          </w:p>
        </w:tc>
        <w:tc>
          <w:tcPr>
            <w:tcW w:w="98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203,904</w:t>
            </w:r>
          </w:p>
        </w:tc>
        <w:tc>
          <w:tcPr>
            <w:tcW w:w="1180" w:type="dxa"/>
            <w:vAlign w:val="bottom"/>
            <w:shd w:val="clear" w:color="auto" w:fill="E5F1F5"/>
          </w:tcPr>
          <w:p>
            <w:pPr>
              <w:spacing w:after="0"/>
              <w:rPr>
                <w:sz w:val="21"/>
                <w:szCs w:val="21"/>
                <w:color w:val="auto"/>
              </w:rPr>
            </w:pPr>
          </w:p>
        </w:tc>
        <w:tc>
          <w:tcPr>
            <w:tcW w:w="1360" w:type="dxa"/>
            <w:vAlign w:val="bottom"/>
            <w:shd w:val="clear" w:color="auto" w:fill="E5F1F5"/>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20" w:type="dxa"/>
            <w:vAlign w:val="bottom"/>
            <w:tcBorders>
              <w:bottom w:val="single" w:sz="8" w:color="E5F1F5"/>
            </w:tcBorders>
            <w:shd w:val="clear" w:color="auto" w:fill="E5F1F5"/>
          </w:tcPr>
          <w:p>
            <w:pPr>
              <w:spacing w:after="0"/>
              <w:rPr>
                <w:sz w:val="5"/>
                <w:szCs w:val="5"/>
                <w:color w:val="auto"/>
              </w:rPr>
            </w:pPr>
          </w:p>
        </w:tc>
        <w:tc>
          <w:tcPr>
            <w:tcW w:w="900" w:type="dxa"/>
            <w:vAlign w:val="bottom"/>
            <w:tcBorders>
              <w:bottom w:val="single" w:sz="8" w:color="0E191E"/>
            </w:tcBorders>
            <w:shd w:val="clear" w:color="auto" w:fill="E5F1F5"/>
          </w:tcPr>
          <w:p>
            <w:pPr>
              <w:spacing w:after="0"/>
              <w:rPr>
                <w:sz w:val="5"/>
                <w:szCs w:val="5"/>
                <w:color w:val="auto"/>
              </w:rPr>
            </w:pPr>
          </w:p>
        </w:tc>
        <w:tc>
          <w:tcPr>
            <w:tcW w:w="500" w:type="dxa"/>
            <w:vAlign w:val="bottom"/>
            <w:tcBorders>
              <w:bottom w:val="single" w:sz="8" w:color="0E191E"/>
            </w:tcBorders>
            <w:shd w:val="clear" w:color="auto" w:fill="E7F1F5"/>
          </w:tcPr>
          <w:p>
            <w:pPr>
              <w:spacing w:after="0"/>
              <w:rPr>
                <w:sz w:val="5"/>
                <w:szCs w:val="5"/>
                <w:color w:val="auto"/>
              </w:rPr>
            </w:pPr>
          </w:p>
        </w:tc>
        <w:tc>
          <w:tcPr>
            <w:tcW w:w="920" w:type="dxa"/>
            <w:vAlign w:val="bottom"/>
            <w:tcBorders>
              <w:bottom w:val="single" w:sz="8" w:color="0E191E"/>
            </w:tcBorders>
            <w:shd w:val="clear" w:color="auto" w:fill="E5F1F5"/>
          </w:tcPr>
          <w:p>
            <w:pPr>
              <w:spacing w:after="0"/>
              <w:rPr>
                <w:sz w:val="5"/>
                <w:szCs w:val="5"/>
                <w:color w:val="auto"/>
              </w:rPr>
            </w:pPr>
          </w:p>
        </w:tc>
        <w:tc>
          <w:tcPr>
            <w:tcW w:w="1680" w:type="dxa"/>
            <w:vAlign w:val="bottom"/>
            <w:tcBorders>
              <w:bottom w:val="single" w:sz="8" w:color="0E191E"/>
            </w:tcBorders>
            <w:shd w:val="clear" w:color="auto" w:fill="E5F1F5"/>
          </w:tcPr>
          <w:p>
            <w:pPr>
              <w:spacing w:after="0"/>
              <w:rPr>
                <w:sz w:val="5"/>
                <w:szCs w:val="5"/>
                <w:color w:val="auto"/>
              </w:rPr>
            </w:pPr>
          </w:p>
        </w:tc>
        <w:tc>
          <w:tcPr>
            <w:tcW w:w="560" w:type="dxa"/>
            <w:vAlign w:val="bottom"/>
            <w:tcBorders>
              <w:bottom w:val="single" w:sz="8" w:color="0E191E"/>
            </w:tcBorders>
            <w:shd w:val="clear" w:color="auto" w:fill="E5F1F5"/>
          </w:tcPr>
          <w:p>
            <w:pPr>
              <w:spacing w:after="0"/>
              <w:rPr>
                <w:sz w:val="5"/>
                <w:szCs w:val="5"/>
                <w:color w:val="auto"/>
              </w:rPr>
            </w:pPr>
          </w:p>
        </w:tc>
        <w:tc>
          <w:tcPr>
            <w:tcW w:w="1000" w:type="dxa"/>
            <w:vAlign w:val="bottom"/>
            <w:tcBorders>
              <w:bottom w:val="single" w:sz="8" w:color="0E191E"/>
            </w:tcBorders>
            <w:shd w:val="clear" w:color="auto" w:fill="E5F1F5"/>
          </w:tcPr>
          <w:p>
            <w:pPr>
              <w:spacing w:after="0"/>
              <w:rPr>
                <w:sz w:val="5"/>
                <w:szCs w:val="5"/>
                <w:color w:val="auto"/>
              </w:rPr>
            </w:pPr>
          </w:p>
        </w:tc>
        <w:tc>
          <w:tcPr>
            <w:tcW w:w="940" w:type="dxa"/>
            <w:vAlign w:val="bottom"/>
            <w:tcBorders>
              <w:bottom w:val="single" w:sz="8" w:color="0E191E"/>
            </w:tcBorders>
            <w:shd w:val="clear" w:color="auto" w:fill="E5F1F5"/>
          </w:tcPr>
          <w:p>
            <w:pPr>
              <w:spacing w:after="0"/>
              <w:rPr>
                <w:sz w:val="5"/>
                <w:szCs w:val="5"/>
                <w:color w:val="auto"/>
              </w:rPr>
            </w:pPr>
          </w:p>
        </w:tc>
        <w:tc>
          <w:tcPr>
            <w:tcW w:w="980" w:type="dxa"/>
            <w:vAlign w:val="bottom"/>
            <w:tcBorders>
              <w:bottom w:val="single" w:sz="8" w:color="0E191E"/>
            </w:tcBorders>
            <w:shd w:val="clear" w:color="auto" w:fill="E5F1F5"/>
          </w:tcPr>
          <w:p>
            <w:pPr>
              <w:spacing w:after="0"/>
              <w:rPr>
                <w:sz w:val="5"/>
                <w:szCs w:val="5"/>
                <w:color w:val="auto"/>
              </w:rPr>
            </w:pPr>
          </w:p>
        </w:tc>
        <w:tc>
          <w:tcPr>
            <w:tcW w:w="1180" w:type="dxa"/>
            <w:vAlign w:val="bottom"/>
            <w:tcBorders>
              <w:bottom w:val="single" w:sz="8" w:color="0E191E"/>
            </w:tcBorders>
            <w:shd w:val="clear" w:color="auto" w:fill="E5F1F5"/>
          </w:tcPr>
          <w:p>
            <w:pPr>
              <w:spacing w:after="0"/>
              <w:rPr>
                <w:sz w:val="5"/>
                <w:szCs w:val="5"/>
                <w:color w:val="auto"/>
              </w:rPr>
            </w:pPr>
          </w:p>
        </w:tc>
        <w:tc>
          <w:tcPr>
            <w:tcW w:w="1360" w:type="dxa"/>
            <w:vAlign w:val="bottom"/>
            <w:tcBorders>
              <w:bottom w:val="single" w:sz="8" w:color="0E191E"/>
            </w:tcBorders>
            <w:shd w:val="clear" w:color="auto" w:fill="E5F1F5"/>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20" w:type="dxa"/>
            <w:vAlign w:val="bottom"/>
            <w:shd w:val="clear" w:color="auto" w:fill="E5F1F5"/>
          </w:tcPr>
          <w:p>
            <w:pPr>
              <w:spacing w:after="0"/>
              <w:rPr>
                <w:sz w:val="21"/>
                <w:szCs w:val="21"/>
                <w:color w:val="auto"/>
              </w:rPr>
            </w:pPr>
          </w:p>
        </w:tc>
        <w:tc>
          <w:tcPr>
            <w:tcW w:w="90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6/9/2020</w:t>
            </w:r>
          </w:p>
        </w:tc>
        <w:tc>
          <w:tcPr>
            <w:tcW w:w="500" w:type="dxa"/>
            <w:vAlign w:val="bottom"/>
            <w:shd w:val="clear" w:color="auto" w:fill="E7F1F5"/>
          </w:tcPr>
          <w:p>
            <w:pPr>
              <w:ind w:left="20"/>
              <w:spacing w:after="0"/>
              <w:rPr>
                <w:sz w:val="20"/>
                <w:szCs w:val="20"/>
                <w:color w:val="auto"/>
              </w:rPr>
            </w:pPr>
            <w:r>
              <w:rPr>
                <w:rFonts w:ascii="Arial" w:cs="Arial" w:eastAsia="Arial" w:hAnsi="Arial"/>
                <w:sz w:val="15"/>
                <w:szCs w:val="15"/>
                <w:color w:val="0E191E"/>
              </w:rPr>
              <w:t>(4)</w:t>
            </w:r>
          </w:p>
        </w:tc>
        <w:tc>
          <w:tcPr>
            <w:tcW w:w="920" w:type="dxa"/>
            <w:vAlign w:val="bottom"/>
            <w:shd w:val="clear" w:color="auto" w:fill="E5F1F5"/>
          </w:tcPr>
          <w:p>
            <w:pPr>
              <w:spacing w:after="0"/>
              <w:rPr>
                <w:sz w:val="21"/>
                <w:szCs w:val="21"/>
                <w:color w:val="auto"/>
              </w:rPr>
            </w:pPr>
          </w:p>
        </w:tc>
        <w:tc>
          <w:tcPr>
            <w:tcW w:w="1680" w:type="dxa"/>
            <w:vAlign w:val="bottom"/>
            <w:shd w:val="clear" w:color="auto" w:fill="E5F1F5"/>
          </w:tcPr>
          <w:p>
            <w:pPr>
              <w:spacing w:after="0"/>
              <w:rPr>
                <w:sz w:val="21"/>
                <w:szCs w:val="21"/>
                <w:color w:val="auto"/>
              </w:rPr>
            </w:pPr>
          </w:p>
        </w:tc>
        <w:tc>
          <w:tcPr>
            <w:tcW w:w="560" w:type="dxa"/>
            <w:vAlign w:val="bottom"/>
            <w:shd w:val="clear" w:color="auto" w:fill="E5F1F5"/>
          </w:tcPr>
          <w:p>
            <w:pPr>
              <w:spacing w:after="0"/>
              <w:rPr>
                <w:sz w:val="21"/>
                <w:szCs w:val="21"/>
                <w:color w:val="auto"/>
              </w:rPr>
            </w:pPr>
          </w:p>
        </w:tc>
        <w:tc>
          <w:tcPr>
            <w:tcW w:w="1000" w:type="dxa"/>
            <w:vAlign w:val="bottom"/>
            <w:shd w:val="clear" w:color="auto" w:fill="E5F1F5"/>
          </w:tcPr>
          <w:p>
            <w:pPr>
              <w:spacing w:after="0"/>
              <w:rPr>
                <w:sz w:val="21"/>
                <w:szCs w:val="21"/>
                <w:color w:val="auto"/>
              </w:rPr>
            </w:pPr>
          </w:p>
        </w:tc>
        <w:tc>
          <w:tcPr>
            <w:tcW w:w="94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21,654</w:t>
            </w:r>
          </w:p>
        </w:tc>
        <w:tc>
          <w:tcPr>
            <w:tcW w:w="98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2,494,541</w:t>
            </w:r>
          </w:p>
        </w:tc>
        <w:tc>
          <w:tcPr>
            <w:tcW w:w="1180" w:type="dxa"/>
            <w:vAlign w:val="bottom"/>
            <w:shd w:val="clear" w:color="auto" w:fill="E5F1F5"/>
          </w:tcPr>
          <w:p>
            <w:pPr>
              <w:spacing w:after="0"/>
              <w:rPr>
                <w:sz w:val="21"/>
                <w:szCs w:val="21"/>
                <w:color w:val="auto"/>
              </w:rPr>
            </w:pPr>
          </w:p>
        </w:tc>
        <w:tc>
          <w:tcPr>
            <w:tcW w:w="1360" w:type="dxa"/>
            <w:vAlign w:val="bottom"/>
            <w:shd w:val="clear" w:color="auto" w:fill="E5F1F5"/>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20" w:type="dxa"/>
            <w:vAlign w:val="bottom"/>
            <w:tcBorders>
              <w:bottom w:val="single" w:sz="8" w:color="E5F1F5"/>
            </w:tcBorders>
            <w:shd w:val="clear" w:color="auto" w:fill="E5F1F5"/>
          </w:tcPr>
          <w:p>
            <w:pPr>
              <w:spacing w:after="0"/>
              <w:rPr>
                <w:sz w:val="5"/>
                <w:szCs w:val="5"/>
                <w:color w:val="auto"/>
              </w:rPr>
            </w:pPr>
          </w:p>
        </w:tc>
        <w:tc>
          <w:tcPr>
            <w:tcW w:w="900" w:type="dxa"/>
            <w:vAlign w:val="bottom"/>
            <w:tcBorders>
              <w:bottom w:val="single" w:sz="8" w:color="0E191E"/>
            </w:tcBorders>
            <w:shd w:val="clear" w:color="auto" w:fill="E5F1F5"/>
          </w:tcPr>
          <w:p>
            <w:pPr>
              <w:spacing w:after="0"/>
              <w:rPr>
                <w:sz w:val="5"/>
                <w:szCs w:val="5"/>
                <w:color w:val="auto"/>
              </w:rPr>
            </w:pPr>
          </w:p>
        </w:tc>
        <w:tc>
          <w:tcPr>
            <w:tcW w:w="500" w:type="dxa"/>
            <w:vAlign w:val="bottom"/>
            <w:tcBorders>
              <w:bottom w:val="single" w:sz="8" w:color="0E191E"/>
            </w:tcBorders>
            <w:shd w:val="clear" w:color="auto" w:fill="E7F1F5"/>
          </w:tcPr>
          <w:p>
            <w:pPr>
              <w:spacing w:after="0"/>
              <w:rPr>
                <w:sz w:val="5"/>
                <w:szCs w:val="5"/>
                <w:color w:val="auto"/>
              </w:rPr>
            </w:pPr>
          </w:p>
        </w:tc>
        <w:tc>
          <w:tcPr>
            <w:tcW w:w="920" w:type="dxa"/>
            <w:vAlign w:val="bottom"/>
            <w:tcBorders>
              <w:bottom w:val="single" w:sz="8" w:color="0E191E"/>
            </w:tcBorders>
            <w:shd w:val="clear" w:color="auto" w:fill="E5F1F5"/>
          </w:tcPr>
          <w:p>
            <w:pPr>
              <w:spacing w:after="0"/>
              <w:rPr>
                <w:sz w:val="5"/>
                <w:szCs w:val="5"/>
                <w:color w:val="auto"/>
              </w:rPr>
            </w:pPr>
          </w:p>
        </w:tc>
        <w:tc>
          <w:tcPr>
            <w:tcW w:w="1680" w:type="dxa"/>
            <w:vAlign w:val="bottom"/>
            <w:tcBorders>
              <w:bottom w:val="single" w:sz="8" w:color="0E191E"/>
            </w:tcBorders>
            <w:shd w:val="clear" w:color="auto" w:fill="E5F1F5"/>
          </w:tcPr>
          <w:p>
            <w:pPr>
              <w:spacing w:after="0"/>
              <w:rPr>
                <w:sz w:val="5"/>
                <w:szCs w:val="5"/>
                <w:color w:val="auto"/>
              </w:rPr>
            </w:pPr>
          </w:p>
        </w:tc>
        <w:tc>
          <w:tcPr>
            <w:tcW w:w="560" w:type="dxa"/>
            <w:vAlign w:val="bottom"/>
            <w:tcBorders>
              <w:bottom w:val="single" w:sz="8" w:color="0E191E"/>
            </w:tcBorders>
            <w:shd w:val="clear" w:color="auto" w:fill="E5F1F5"/>
          </w:tcPr>
          <w:p>
            <w:pPr>
              <w:spacing w:after="0"/>
              <w:rPr>
                <w:sz w:val="5"/>
                <w:szCs w:val="5"/>
                <w:color w:val="auto"/>
              </w:rPr>
            </w:pPr>
          </w:p>
        </w:tc>
        <w:tc>
          <w:tcPr>
            <w:tcW w:w="1000" w:type="dxa"/>
            <w:vAlign w:val="bottom"/>
            <w:tcBorders>
              <w:bottom w:val="single" w:sz="8" w:color="0E191E"/>
            </w:tcBorders>
            <w:shd w:val="clear" w:color="auto" w:fill="E5F1F5"/>
          </w:tcPr>
          <w:p>
            <w:pPr>
              <w:spacing w:after="0"/>
              <w:rPr>
                <w:sz w:val="5"/>
                <w:szCs w:val="5"/>
                <w:color w:val="auto"/>
              </w:rPr>
            </w:pPr>
          </w:p>
        </w:tc>
        <w:tc>
          <w:tcPr>
            <w:tcW w:w="940" w:type="dxa"/>
            <w:vAlign w:val="bottom"/>
            <w:tcBorders>
              <w:bottom w:val="single" w:sz="8" w:color="0E191E"/>
            </w:tcBorders>
            <w:shd w:val="clear" w:color="auto" w:fill="E5F1F5"/>
          </w:tcPr>
          <w:p>
            <w:pPr>
              <w:spacing w:after="0"/>
              <w:rPr>
                <w:sz w:val="5"/>
                <w:szCs w:val="5"/>
                <w:color w:val="auto"/>
              </w:rPr>
            </w:pPr>
          </w:p>
        </w:tc>
        <w:tc>
          <w:tcPr>
            <w:tcW w:w="980" w:type="dxa"/>
            <w:vAlign w:val="bottom"/>
            <w:tcBorders>
              <w:bottom w:val="single" w:sz="8" w:color="0E191E"/>
            </w:tcBorders>
            <w:shd w:val="clear" w:color="auto" w:fill="E5F1F5"/>
          </w:tcPr>
          <w:p>
            <w:pPr>
              <w:spacing w:after="0"/>
              <w:rPr>
                <w:sz w:val="5"/>
                <w:szCs w:val="5"/>
                <w:color w:val="auto"/>
              </w:rPr>
            </w:pPr>
          </w:p>
        </w:tc>
        <w:tc>
          <w:tcPr>
            <w:tcW w:w="1180" w:type="dxa"/>
            <w:vAlign w:val="bottom"/>
            <w:tcBorders>
              <w:bottom w:val="single" w:sz="8" w:color="0E191E"/>
            </w:tcBorders>
            <w:shd w:val="clear" w:color="auto" w:fill="E5F1F5"/>
          </w:tcPr>
          <w:p>
            <w:pPr>
              <w:spacing w:after="0"/>
              <w:rPr>
                <w:sz w:val="5"/>
                <w:szCs w:val="5"/>
                <w:color w:val="auto"/>
              </w:rPr>
            </w:pPr>
          </w:p>
        </w:tc>
        <w:tc>
          <w:tcPr>
            <w:tcW w:w="1360" w:type="dxa"/>
            <w:vAlign w:val="bottom"/>
            <w:tcBorders>
              <w:bottom w:val="single" w:sz="8" w:color="0E191E"/>
            </w:tcBorders>
            <w:shd w:val="clear" w:color="auto" w:fill="E5F1F5"/>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20" w:type="dxa"/>
            <w:vAlign w:val="bottom"/>
            <w:shd w:val="clear" w:color="auto" w:fill="E5F1F5"/>
          </w:tcPr>
          <w:p>
            <w:pPr>
              <w:spacing w:after="0"/>
              <w:rPr>
                <w:sz w:val="21"/>
                <w:szCs w:val="21"/>
                <w:color w:val="auto"/>
              </w:rPr>
            </w:pPr>
          </w:p>
        </w:tc>
        <w:tc>
          <w:tcPr>
            <w:tcW w:w="90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9/9/2020</w:t>
            </w:r>
          </w:p>
        </w:tc>
        <w:tc>
          <w:tcPr>
            <w:tcW w:w="500" w:type="dxa"/>
            <w:vAlign w:val="bottom"/>
            <w:shd w:val="clear" w:color="auto" w:fill="E7F1F5"/>
          </w:tcPr>
          <w:p>
            <w:pPr>
              <w:ind w:left="20"/>
              <w:spacing w:after="0"/>
              <w:rPr>
                <w:sz w:val="20"/>
                <w:szCs w:val="20"/>
                <w:color w:val="auto"/>
              </w:rPr>
            </w:pPr>
            <w:r>
              <w:rPr>
                <w:rFonts w:ascii="Arial" w:cs="Arial" w:eastAsia="Arial" w:hAnsi="Arial"/>
                <w:sz w:val="15"/>
                <w:szCs w:val="15"/>
                <w:color w:val="0E191E"/>
              </w:rPr>
              <w:t>(4)</w:t>
            </w:r>
          </w:p>
        </w:tc>
        <w:tc>
          <w:tcPr>
            <w:tcW w:w="920" w:type="dxa"/>
            <w:vAlign w:val="bottom"/>
            <w:shd w:val="clear" w:color="auto" w:fill="E5F1F5"/>
          </w:tcPr>
          <w:p>
            <w:pPr>
              <w:spacing w:after="0"/>
              <w:rPr>
                <w:sz w:val="21"/>
                <w:szCs w:val="21"/>
                <w:color w:val="auto"/>
              </w:rPr>
            </w:pPr>
          </w:p>
        </w:tc>
        <w:tc>
          <w:tcPr>
            <w:tcW w:w="1680" w:type="dxa"/>
            <w:vAlign w:val="bottom"/>
            <w:shd w:val="clear" w:color="auto" w:fill="E5F1F5"/>
          </w:tcPr>
          <w:p>
            <w:pPr>
              <w:spacing w:after="0"/>
              <w:rPr>
                <w:sz w:val="21"/>
                <w:szCs w:val="21"/>
                <w:color w:val="auto"/>
              </w:rPr>
            </w:pPr>
          </w:p>
        </w:tc>
        <w:tc>
          <w:tcPr>
            <w:tcW w:w="560" w:type="dxa"/>
            <w:vAlign w:val="bottom"/>
            <w:shd w:val="clear" w:color="auto" w:fill="E5F1F5"/>
          </w:tcPr>
          <w:p>
            <w:pPr>
              <w:spacing w:after="0"/>
              <w:rPr>
                <w:sz w:val="21"/>
                <w:szCs w:val="21"/>
                <w:color w:val="auto"/>
              </w:rPr>
            </w:pPr>
          </w:p>
        </w:tc>
        <w:tc>
          <w:tcPr>
            <w:tcW w:w="1000" w:type="dxa"/>
            <w:vAlign w:val="bottom"/>
            <w:shd w:val="clear" w:color="auto" w:fill="E5F1F5"/>
          </w:tcPr>
          <w:p>
            <w:pPr>
              <w:spacing w:after="0"/>
              <w:rPr>
                <w:sz w:val="21"/>
                <w:szCs w:val="21"/>
                <w:color w:val="auto"/>
              </w:rPr>
            </w:pPr>
          </w:p>
        </w:tc>
        <w:tc>
          <w:tcPr>
            <w:tcW w:w="94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4,063</w:t>
            </w:r>
          </w:p>
        </w:tc>
        <w:tc>
          <w:tcPr>
            <w:tcW w:w="98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468,058</w:t>
            </w:r>
          </w:p>
        </w:tc>
        <w:tc>
          <w:tcPr>
            <w:tcW w:w="1180" w:type="dxa"/>
            <w:vAlign w:val="bottom"/>
            <w:shd w:val="clear" w:color="auto" w:fill="E5F1F5"/>
          </w:tcPr>
          <w:p>
            <w:pPr>
              <w:spacing w:after="0"/>
              <w:rPr>
                <w:sz w:val="21"/>
                <w:szCs w:val="21"/>
                <w:color w:val="auto"/>
              </w:rPr>
            </w:pPr>
          </w:p>
        </w:tc>
        <w:tc>
          <w:tcPr>
            <w:tcW w:w="1360" w:type="dxa"/>
            <w:vAlign w:val="bottom"/>
            <w:shd w:val="clear" w:color="auto" w:fill="E5F1F5"/>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20" w:type="dxa"/>
            <w:vAlign w:val="bottom"/>
            <w:tcBorders>
              <w:bottom w:val="single" w:sz="8" w:color="E5F1F5"/>
            </w:tcBorders>
            <w:shd w:val="clear" w:color="auto" w:fill="E5F1F5"/>
          </w:tcPr>
          <w:p>
            <w:pPr>
              <w:spacing w:after="0"/>
              <w:rPr>
                <w:sz w:val="5"/>
                <w:szCs w:val="5"/>
                <w:color w:val="auto"/>
              </w:rPr>
            </w:pPr>
          </w:p>
        </w:tc>
        <w:tc>
          <w:tcPr>
            <w:tcW w:w="900" w:type="dxa"/>
            <w:vAlign w:val="bottom"/>
            <w:tcBorders>
              <w:bottom w:val="single" w:sz="8" w:color="0E191E"/>
            </w:tcBorders>
            <w:shd w:val="clear" w:color="auto" w:fill="E5F1F5"/>
          </w:tcPr>
          <w:p>
            <w:pPr>
              <w:spacing w:after="0"/>
              <w:rPr>
                <w:sz w:val="5"/>
                <w:szCs w:val="5"/>
                <w:color w:val="auto"/>
              </w:rPr>
            </w:pPr>
          </w:p>
        </w:tc>
        <w:tc>
          <w:tcPr>
            <w:tcW w:w="500" w:type="dxa"/>
            <w:vAlign w:val="bottom"/>
            <w:tcBorders>
              <w:bottom w:val="single" w:sz="8" w:color="0E191E"/>
            </w:tcBorders>
            <w:shd w:val="clear" w:color="auto" w:fill="E7F1F5"/>
          </w:tcPr>
          <w:p>
            <w:pPr>
              <w:spacing w:after="0"/>
              <w:rPr>
                <w:sz w:val="5"/>
                <w:szCs w:val="5"/>
                <w:color w:val="auto"/>
              </w:rPr>
            </w:pPr>
          </w:p>
        </w:tc>
        <w:tc>
          <w:tcPr>
            <w:tcW w:w="920" w:type="dxa"/>
            <w:vAlign w:val="bottom"/>
            <w:tcBorders>
              <w:bottom w:val="single" w:sz="8" w:color="0E191E"/>
            </w:tcBorders>
            <w:shd w:val="clear" w:color="auto" w:fill="E5F1F5"/>
          </w:tcPr>
          <w:p>
            <w:pPr>
              <w:spacing w:after="0"/>
              <w:rPr>
                <w:sz w:val="5"/>
                <w:szCs w:val="5"/>
                <w:color w:val="auto"/>
              </w:rPr>
            </w:pPr>
          </w:p>
        </w:tc>
        <w:tc>
          <w:tcPr>
            <w:tcW w:w="1680" w:type="dxa"/>
            <w:vAlign w:val="bottom"/>
            <w:tcBorders>
              <w:bottom w:val="single" w:sz="8" w:color="0E191E"/>
            </w:tcBorders>
            <w:shd w:val="clear" w:color="auto" w:fill="E5F1F5"/>
          </w:tcPr>
          <w:p>
            <w:pPr>
              <w:spacing w:after="0"/>
              <w:rPr>
                <w:sz w:val="5"/>
                <w:szCs w:val="5"/>
                <w:color w:val="auto"/>
              </w:rPr>
            </w:pPr>
          </w:p>
        </w:tc>
        <w:tc>
          <w:tcPr>
            <w:tcW w:w="560" w:type="dxa"/>
            <w:vAlign w:val="bottom"/>
            <w:tcBorders>
              <w:bottom w:val="single" w:sz="8" w:color="0E191E"/>
            </w:tcBorders>
            <w:shd w:val="clear" w:color="auto" w:fill="E5F1F5"/>
          </w:tcPr>
          <w:p>
            <w:pPr>
              <w:spacing w:after="0"/>
              <w:rPr>
                <w:sz w:val="5"/>
                <w:szCs w:val="5"/>
                <w:color w:val="auto"/>
              </w:rPr>
            </w:pPr>
          </w:p>
        </w:tc>
        <w:tc>
          <w:tcPr>
            <w:tcW w:w="1000" w:type="dxa"/>
            <w:vAlign w:val="bottom"/>
            <w:tcBorders>
              <w:bottom w:val="single" w:sz="8" w:color="0E191E"/>
            </w:tcBorders>
            <w:shd w:val="clear" w:color="auto" w:fill="E5F1F5"/>
          </w:tcPr>
          <w:p>
            <w:pPr>
              <w:spacing w:after="0"/>
              <w:rPr>
                <w:sz w:val="5"/>
                <w:szCs w:val="5"/>
                <w:color w:val="auto"/>
              </w:rPr>
            </w:pPr>
          </w:p>
        </w:tc>
        <w:tc>
          <w:tcPr>
            <w:tcW w:w="940" w:type="dxa"/>
            <w:vAlign w:val="bottom"/>
            <w:tcBorders>
              <w:bottom w:val="single" w:sz="8" w:color="0E191E"/>
            </w:tcBorders>
            <w:shd w:val="clear" w:color="auto" w:fill="E5F1F5"/>
          </w:tcPr>
          <w:p>
            <w:pPr>
              <w:spacing w:after="0"/>
              <w:rPr>
                <w:sz w:val="5"/>
                <w:szCs w:val="5"/>
                <w:color w:val="auto"/>
              </w:rPr>
            </w:pPr>
          </w:p>
        </w:tc>
        <w:tc>
          <w:tcPr>
            <w:tcW w:w="980" w:type="dxa"/>
            <w:vAlign w:val="bottom"/>
            <w:tcBorders>
              <w:bottom w:val="single" w:sz="8" w:color="0E191E"/>
            </w:tcBorders>
            <w:shd w:val="clear" w:color="auto" w:fill="E5F1F5"/>
          </w:tcPr>
          <w:p>
            <w:pPr>
              <w:spacing w:after="0"/>
              <w:rPr>
                <w:sz w:val="5"/>
                <w:szCs w:val="5"/>
                <w:color w:val="auto"/>
              </w:rPr>
            </w:pPr>
          </w:p>
        </w:tc>
        <w:tc>
          <w:tcPr>
            <w:tcW w:w="1180" w:type="dxa"/>
            <w:vAlign w:val="bottom"/>
            <w:tcBorders>
              <w:bottom w:val="single" w:sz="8" w:color="0E191E"/>
            </w:tcBorders>
            <w:shd w:val="clear" w:color="auto" w:fill="E5F1F5"/>
          </w:tcPr>
          <w:p>
            <w:pPr>
              <w:spacing w:after="0"/>
              <w:rPr>
                <w:sz w:val="5"/>
                <w:szCs w:val="5"/>
                <w:color w:val="auto"/>
              </w:rPr>
            </w:pPr>
          </w:p>
        </w:tc>
        <w:tc>
          <w:tcPr>
            <w:tcW w:w="1360" w:type="dxa"/>
            <w:vAlign w:val="bottom"/>
            <w:tcBorders>
              <w:bottom w:val="single" w:sz="8" w:color="0E191E"/>
            </w:tcBorders>
            <w:shd w:val="clear" w:color="auto" w:fill="E5F1F5"/>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20" w:type="dxa"/>
            <w:vAlign w:val="bottom"/>
            <w:shd w:val="clear" w:color="auto" w:fill="E5F1F5"/>
          </w:tcPr>
          <w:p>
            <w:pPr>
              <w:spacing w:after="0"/>
              <w:rPr>
                <w:sz w:val="21"/>
                <w:szCs w:val="21"/>
                <w:color w:val="auto"/>
              </w:rPr>
            </w:pPr>
          </w:p>
        </w:tc>
        <w:tc>
          <w:tcPr>
            <w:tcW w:w="90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9/9/2020</w:t>
            </w:r>
          </w:p>
        </w:tc>
        <w:tc>
          <w:tcPr>
            <w:tcW w:w="500" w:type="dxa"/>
            <w:vAlign w:val="bottom"/>
            <w:shd w:val="clear" w:color="auto" w:fill="E7F1F5"/>
          </w:tcPr>
          <w:p>
            <w:pPr>
              <w:ind w:left="20"/>
              <w:spacing w:after="0"/>
              <w:rPr>
                <w:sz w:val="20"/>
                <w:szCs w:val="20"/>
                <w:color w:val="auto"/>
              </w:rPr>
            </w:pPr>
            <w:r>
              <w:rPr>
                <w:rFonts w:ascii="Arial" w:cs="Arial" w:eastAsia="Arial" w:hAnsi="Arial"/>
                <w:sz w:val="15"/>
                <w:szCs w:val="15"/>
                <w:color w:val="0E191E"/>
              </w:rPr>
              <w:t>(5)</w:t>
            </w:r>
          </w:p>
        </w:tc>
        <w:tc>
          <w:tcPr>
            <w:tcW w:w="920" w:type="dxa"/>
            <w:vAlign w:val="bottom"/>
            <w:shd w:val="clear" w:color="auto" w:fill="E5F1F5"/>
          </w:tcPr>
          <w:p>
            <w:pPr>
              <w:spacing w:after="0"/>
              <w:rPr>
                <w:sz w:val="21"/>
                <w:szCs w:val="21"/>
                <w:color w:val="auto"/>
              </w:rPr>
            </w:pPr>
          </w:p>
        </w:tc>
        <w:tc>
          <w:tcPr>
            <w:tcW w:w="1680" w:type="dxa"/>
            <w:vAlign w:val="bottom"/>
            <w:shd w:val="clear" w:color="auto" w:fill="E5F1F5"/>
          </w:tcPr>
          <w:p>
            <w:pPr>
              <w:spacing w:after="0"/>
              <w:rPr>
                <w:sz w:val="21"/>
                <w:szCs w:val="21"/>
                <w:color w:val="auto"/>
              </w:rPr>
            </w:pPr>
          </w:p>
        </w:tc>
        <w:tc>
          <w:tcPr>
            <w:tcW w:w="560" w:type="dxa"/>
            <w:vAlign w:val="bottom"/>
            <w:shd w:val="clear" w:color="auto" w:fill="E5F1F5"/>
          </w:tcPr>
          <w:p>
            <w:pPr>
              <w:spacing w:after="0"/>
              <w:rPr>
                <w:sz w:val="21"/>
                <w:szCs w:val="21"/>
                <w:color w:val="auto"/>
              </w:rPr>
            </w:pPr>
          </w:p>
        </w:tc>
        <w:tc>
          <w:tcPr>
            <w:tcW w:w="1000" w:type="dxa"/>
            <w:vAlign w:val="bottom"/>
            <w:shd w:val="clear" w:color="auto" w:fill="E5F1F5"/>
          </w:tcPr>
          <w:p>
            <w:pPr>
              <w:spacing w:after="0"/>
              <w:rPr>
                <w:sz w:val="21"/>
                <w:szCs w:val="21"/>
                <w:color w:val="auto"/>
              </w:rPr>
            </w:pPr>
          </w:p>
        </w:tc>
        <w:tc>
          <w:tcPr>
            <w:tcW w:w="94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2,608</w:t>
            </w:r>
          </w:p>
        </w:tc>
        <w:tc>
          <w:tcPr>
            <w:tcW w:w="98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300,442</w:t>
            </w:r>
          </w:p>
        </w:tc>
        <w:tc>
          <w:tcPr>
            <w:tcW w:w="118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2,500</w:t>
            </w:r>
          </w:p>
        </w:tc>
        <w:tc>
          <w:tcPr>
            <w:tcW w:w="1360" w:type="dxa"/>
            <w:vAlign w:val="bottom"/>
            <w:shd w:val="clear" w:color="auto" w:fill="E5F1F5"/>
          </w:tcPr>
          <w:p>
            <w:pPr>
              <w:jc w:val="right"/>
              <w:ind w:right="155"/>
              <w:spacing w:after="0"/>
              <w:rPr>
                <w:sz w:val="20"/>
                <w:szCs w:val="20"/>
                <w:color w:val="auto"/>
              </w:rPr>
            </w:pPr>
            <w:r>
              <w:rPr>
                <w:rFonts w:ascii="Arial" w:cs="Arial" w:eastAsia="Arial" w:hAnsi="Arial"/>
                <w:sz w:val="13"/>
                <w:szCs w:val="13"/>
                <w:color w:val="0E191E"/>
              </w:rPr>
              <w:t>288,000</w:t>
            </w:r>
          </w:p>
        </w:tc>
        <w:tc>
          <w:tcPr>
            <w:tcW w:w="0" w:type="dxa"/>
            <w:vAlign w:val="bottom"/>
          </w:tcPr>
          <w:p>
            <w:pPr>
              <w:spacing w:after="0"/>
              <w:rPr>
                <w:sz w:val="1"/>
                <w:szCs w:val="1"/>
                <w:color w:val="auto"/>
              </w:rPr>
            </w:pPr>
          </w:p>
        </w:tc>
      </w:tr>
      <w:tr>
        <w:trPr>
          <w:trHeight w:val="62"/>
        </w:trPr>
        <w:tc>
          <w:tcPr>
            <w:tcW w:w="1220" w:type="dxa"/>
            <w:vAlign w:val="bottom"/>
            <w:shd w:val="clear" w:color="auto" w:fill="E5F1F5"/>
          </w:tcPr>
          <w:p>
            <w:pPr>
              <w:spacing w:after="0"/>
              <w:rPr>
                <w:sz w:val="5"/>
                <w:szCs w:val="5"/>
                <w:color w:val="auto"/>
              </w:rPr>
            </w:pPr>
          </w:p>
        </w:tc>
        <w:tc>
          <w:tcPr>
            <w:tcW w:w="900" w:type="dxa"/>
            <w:vAlign w:val="bottom"/>
            <w:shd w:val="clear" w:color="auto" w:fill="E5F1F5"/>
          </w:tcPr>
          <w:p>
            <w:pPr>
              <w:spacing w:after="0"/>
              <w:rPr>
                <w:sz w:val="5"/>
                <w:szCs w:val="5"/>
                <w:color w:val="auto"/>
              </w:rPr>
            </w:pPr>
          </w:p>
        </w:tc>
        <w:tc>
          <w:tcPr>
            <w:tcW w:w="500" w:type="dxa"/>
            <w:vAlign w:val="bottom"/>
            <w:shd w:val="clear" w:color="auto" w:fill="E7F1F5"/>
          </w:tcPr>
          <w:p>
            <w:pPr>
              <w:spacing w:after="0"/>
              <w:rPr>
                <w:sz w:val="5"/>
                <w:szCs w:val="5"/>
                <w:color w:val="auto"/>
              </w:rPr>
            </w:pPr>
          </w:p>
        </w:tc>
        <w:tc>
          <w:tcPr>
            <w:tcW w:w="920" w:type="dxa"/>
            <w:vAlign w:val="bottom"/>
            <w:shd w:val="clear" w:color="auto" w:fill="E5F1F5"/>
          </w:tcPr>
          <w:p>
            <w:pPr>
              <w:spacing w:after="0"/>
              <w:rPr>
                <w:sz w:val="5"/>
                <w:szCs w:val="5"/>
                <w:color w:val="auto"/>
              </w:rPr>
            </w:pPr>
          </w:p>
        </w:tc>
        <w:tc>
          <w:tcPr>
            <w:tcW w:w="1680" w:type="dxa"/>
            <w:vAlign w:val="bottom"/>
            <w:shd w:val="clear" w:color="auto" w:fill="E5F1F5"/>
          </w:tcPr>
          <w:p>
            <w:pPr>
              <w:spacing w:after="0"/>
              <w:rPr>
                <w:sz w:val="5"/>
                <w:szCs w:val="5"/>
                <w:color w:val="auto"/>
              </w:rPr>
            </w:pPr>
          </w:p>
        </w:tc>
        <w:tc>
          <w:tcPr>
            <w:tcW w:w="560" w:type="dxa"/>
            <w:vAlign w:val="bottom"/>
            <w:shd w:val="clear" w:color="auto" w:fill="E5F1F5"/>
          </w:tcPr>
          <w:p>
            <w:pPr>
              <w:spacing w:after="0"/>
              <w:rPr>
                <w:sz w:val="5"/>
                <w:szCs w:val="5"/>
                <w:color w:val="auto"/>
              </w:rPr>
            </w:pPr>
          </w:p>
        </w:tc>
        <w:tc>
          <w:tcPr>
            <w:tcW w:w="1000" w:type="dxa"/>
            <w:vAlign w:val="bottom"/>
            <w:shd w:val="clear" w:color="auto" w:fill="E5F1F5"/>
          </w:tcPr>
          <w:p>
            <w:pPr>
              <w:spacing w:after="0"/>
              <w:rPr>
                <w:sz w:val="5"/>
                <w:szCs w:val="5"/>
                <w:color w:val="auto"/>
              </w:rPr>
            </w:pPr>
          </w:p>
        </w:tc>
        <w:tc>
          <w:tcPr>
            <w:tcW w:w="940" w:type="dxa"/>
            <w:vAlign w:val="bottom"/>
            <w:shd w:val="clear" w:color="auto" w:fill="E5F1F5"/>
          </w:tcPr>
          <w:p>
            <w:pPr>
              <w:spacing w:after="0"/>
              <w:rPr>
                <w:sz w:val="5"/>
                <w:szCs w:val="5"/>
                <w:color w:val="auto"/>
              </w:rPr>
            </w:pPr>
          </w:p>
        </w:tc>
        <w:tc>
          <w:tcPr>
            <w:tcW w:w="980" w:type="dxa"/>
            <w:vAlign w:val="bottom"/>
            <w:shd w:val="clear" w:color="auto" w:fill="E5F1F5"/>
          </w:tcPr>
          <w:p>
            <w:pPr>
              <w:spacing w:after="0"/>
              <w:rPr>
                <w:sz w:val="5"/>
                <w:szCs w:val="5"/>
                <w:color w:val="auto"/>
              </w:rPr>
            </w:pPr>
          </w:p>
        </w:tc>
        <w:tc>
          <w:tcPr>
            <w:tcW w:w="1180" w:type="dxa"/>
            <w:vAlign w:val="bottom"/>
            <w:shd w:val="clear" w:color="auto" w:fill="E5F1F5"/>
          </w:tcPr>
          <w:p>
            <w:pPr>
              <w:spacing w:after="0"/>
              <w:rPr>
                <w:sz w:val="5"/>
                <w:szCs w:val="5"/>
                <w:color w:val="auto"/>
              </w:rPr>
            </w:pPr>
          </w:p>
        </w:tc>
        <w:tc>
          <w:tcPr>
            <w:tcW w:w="1360" w:type="dxa"/>
            <w:vAlign w:val="bottom"/>
            <w:shd w:val="clear" w:color="auto" w:fill="E5F1F5"/>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2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9/12/2017</w:t>
            </w:r>
          </w:p>
        </w:tc>
        <w:tc>
          <w:tcPr>
            <w:tcW w:w="500" w:type="dxa"/>
            <w:vAlign w:val="bottom"/>
          </w:tcPr>
          <w:p>
            <w:pPr>
              <w:ind w:left="20"/>
              <w:spacing w:after="0"/>
              <w:rPr>
                <w:sz w:val="20"/>
                <w:szCs w:val="20"/>
                <w:color w:val="auto"/>
              </w:rPr>
            </w:pPr>
            <w:r>
              <w:rPr>
                <w:rFonts w:ascii="Arial" w:cs="Arial" w:eastAsia="Arial" w:hAnsi="Arial"/>
                <w:sz w:val="15"/>
                <w:szCs w:val="15"/>
                <w:color w:val="0E191E"/>
              </w:rPr>
              <w:t>(4)</w:t>
            </w:r>
          </w:p>
        </w:tc>
        <w:tc>
          <w:tcPr>
            <w:tcW w:w="9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0E191E"/>
              </w:rPr>
              <w:t>475</w:t>
            </w:r>
          </w:p>
        </w:tc>
        <w:tc>
          <w:tcPr>
            <w:tcW w:w="980" w:type="dxa"/>
            <w:vAlign w:val="bottom"/>
          </w:tcPr>
          <w:p>
            <w:pPr>
              <w:jc w:val="right"/>
              <w:spacing w:after="0"/>
              <w:rPr>
                <w:sz w:val="20"/>
                <w:szCs w:val="20"/>
                <w:color w:val="auto"/>
              </w:rPr>
            </w:pPr>
            <w:r>
              <w:rPr>
                <w:rFonts w:ascii="Arial" w:cs="Arial" w:eastAsia="Arial" w:hAnsi="Arial"/>
                <w:sz w:val="13"/>
                <w:szCs w:val="13"/>
                <w:color w:val="0E191E"/>
              </w:rPr>
              <w:t>54,720</w:t>
            </w:r>
          </w:p>
        </w:tc>
        <w:tc>
          <w:tcPr>
            <w:tcW w:w="1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122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9/12/2017</w:t>
            </w:r>
          </w:p>
        </w:tc>
        <w:tc>
          <w:tcPr>
            <w:tcW w:w="500" w:type="dxa"/>
            <w:vAlign w:val="bottom"/>
          </w:tcPr>
          <w:p>
            <w:pPr>
              <w:ind w:left="20"/>
              <w:spacing w:after="0"/>
              <w:rPr>
                <w:sz w:val="20"/>
                <w:szCs w:val="20"/>
                <w:color w:val="auto"/>
              </w:rPr>
            </w:pPr>
            <w:r>
              <w:rPr>
                <w:rFonts w:ascii="Arial" w:cs="Arial" w:eastAsia="Arial" w:hAnsi="Arial"/>
                <w:sz w:val="15"/>
                <w:szCs w:val="15"/>
                <w:color w:val="0E191E"/>
              </w:rPr>
              <w:t>(9)</w:t>
            </w:r>
          </w:p>
        </w:tc>
        <w:tc>
          <w:tcPr>
            <w:tcW w:w="9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0E191E"/>
              </w:rPr>
              <w:t>311</w:t>
            </w:r>
          </w:p>
        </w:tc>
        <w:tc>
          <w:tcPr>
            <w:tcW w:w="980" w:type="dxa"/>
            <w:vAlign w:val="bottom"/>
          </w:tcPr>
          <w:p>
            <w:pPr>
              <w:jc w:val="right"/>
              <w:spacing w:after="0"/>
              <w:rPr>
                <w:sz w:val="20"/>
                <w:szCs w:val="20"/>
                <w:color w:val="auto"/>
              </w:rPr>
            </w:pPr>
            <w:r>
              <w:rPr>
                <w:rFonts w:ascii="Arial" w:cs="Arial" w:eastAsia="Arial" w:hAnsi="Arial"/>
                <w:sz w:val="13"/>
                <w:szCs w:val="13"/>
                <w:color w:val="0E191E"/>
              </w:rPr>
              <w:t>35,827</w:t>
            </w: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20" w:type="dxa"/>
            <w:vAlign w:val="bottom"/>
          </w:tcPr>
          <w:p>
            <w:pPr>
              <w:spacing w:after="0"/>
              <w:rPr>
                <w:sz w:val="5"/>
                <w:szCs w:val="5"/>
                <w:color w:val="auto"/>
              </w:rPr>
            </w:pPr>
          </w:p>
        </w:tc>
        <w:tc>
          <w:tcPr>
            <w:tcW w:w="900" w:type="dxa"/>
            <w:vAlign w:val="bottom"/>
            <w:tcBorders>
              <w:bottom w:val="single" w:sz="8" w:color="0E191E"/>
            </w:tcBorders>
          </w:tcPr>
          <w:p>
            <w:pPr>
              <w:spacing w:after="0"/>
              <w:rPr>
                <w:sz w:val="5"/>
                <w:szCs w:val="5"/>
                <w:color w:val="auto"/>
              </w:rPr>
            </w:pPr>
          </w:p>
        </w:tc>
        <w:tc>
          <w:tcPr>
            <w:tcW w:w="500" w:type="dxa"/>
            <w:vAlign w:val="bottom"/>
            <w:tcBorders>
              <w:bottom w:val="single" w:sz="8" w:color="0E191E"/>
            </w:tcBorders>
          </w:tcPr>
          <w:p>
            <w:pPr>
              <w:spacing w:after="0"/>
              <w:rPr>
                <w:sz w:val="5"/>
                <w:szCs w:val="5"/>
                <w:color w:val="auto"/>
              </w:rPr>
            </w:pPr>
          </w:p>
        </w:tc>
        <w:tc>
          <w:tcPr>
            <w:tcW w:w="920" w:type="dxa"/>
            <w:vAlign w:val="bottom"/>
            <w:tcBorders>
              <w:bottom w:val="single" w:sz="8" w:color="0E191E"/>
            </w:tcBorders>
          </w:tcPr>
          <w:p>
            <w:pPr>
              <w:spacing w:after="0"/>
              <w:rPr>
                <w:sz w:val="5"/>
                <w:szCs w:val="5"/>
                <w:color w:val="auto"/>
              </w:rPr>
            </w:pPr>
          </w:p>
        </w:tc>
        <w:tc>
          <w:tcPr>
            <w:tcW w:w="1680" w:type="dxa"/>
            <w:vAlign w:val="bottom"/>
            <w:tcBorders>
              <w:bottom w:val="single" w:sz="8" w:color="0E191E"/>
            </w:tcBorders>
          </w:tcPr>
          <w:p>
            <w:pPr>
              <w:spacing w:after="0"/>
              <w:rPr>
                <w:sz w:val="5"/>
                <w:szCs w:val="5"/>
                <w:color w:val="auto"/>
              </w:rPr>
            </w:pPr>
          </w:p>
        </w:tc>
        <w:tc>
          <w:tcPr>
            <w:tcW w:w="560" w:type="dxa"/>
            <w:vAlign w:val="bottom"/>
            <w:tcBorders>
              <w:bottom w:val="single" w:sz="8" w:color="0E191E"/>
            </w:tcBorders>
          </w:tcPr>
          <w:p>
            <w:pPr>
              <w:spacing w:after="0"/>
              <w:rPr>
                <w:sz w:val="5"/>
                <w:szCs w:val="5"/>
                <w:color w:val="auto"/>
              </w:rPr>
            </w:pPr>
          </w:p>
        </w:tc>
        <w:tc>
          <w:tcPr>
            <w:tcW w:w="100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80" w:type="dxa"/>
            <w:vAlign w:val="bottom"/>
            <w:tcBorders>
              <w:bottom w:val="single" w:sz="8" w:color="0E191E"/>
            </w:tcBorders>
          </w:tcPr>
          <w:p>
            <w:pPr>
              <w:spacing w:after="0"/>
              <w:rPr>
                <w:sz w:val="5"/>
                <w:szCs w:val="5"/>
                <w:color w:val="auto"/>
              </w:rPr>
            </w:pPr>
          </w:p>
        </w:tc>
        <w:tc>
          <w:tcPr>
            <w:tcW w:w="118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9/12/2018</w:t>
            </w:r>
          </w:p>
        </w:tc>
        <w:tc>
          <w:tcPr>
            <w:tcW w:w="500" w:type="dxa"/>
            <w:vAlign w:val="bottom"/>
          </w:tcPr>
          <w:p>
            <w:pPr>
              <w:ind w:left="20"/>
              <w:spacing w:after="0"/>
              <w:rPr>
                <w:sz w:val="20"/>
                <w:szCs w:val="20"/>
                <w:color w:val="auto"/>
              </w:rPr>
            </w:pPr>
            <w:r>
              <w:rPr>
                <w:rFonts w:ascii="Arial" w:cs="Arial" w:eastAsia="Arial" w:hAnsi="Arial"/>
                <w:sz w:val="15"/>
                <w:szCs w:val="15"/>
                <w:color w:val="0E191E"/>
              </w:rPr>
              <w:t>(4)</w:t>
            </w:r>
          </w:p>
        </w:tc>
        <w:tc>
          <w:tcPr>
            <w:tcW w:w="9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0E191E"/>
              </w:rPr>
              <w:t>2,813</w:t>
            </w:r>
          </w:p>
        </w:tc>
        <w:tc>
          <w:tcPr>
            <w:tcW w:w="980" w:type="dxa"/>
            <w:vAlign w:val="bottom"/>
          </w:tcPr>
          <w:p>
            <w:pPr>
              <w:jc w:val="right"/>
              <w:spacing w:after="0"/>
              <w:rPr>
                <w:sz w:val="20"/>
                <w:szCs w:val="20"/>
                <w:color w:val="auto"/>
              </w:rPr>
            </w:pPr>
            <w:r>
              <w:rPr>
                <w:rFonts w:ascii="Arial" w:cs="Arial" w:eastAsia="Arial" w:hAnsi="Arial"/>
                <w:sz w:val="13"/>
                <w:szCs w:val="13"/>
                <w:color w:val="0E191E"/>
              </w:rPr>
              <w:t>324,058</w:t>
            </w: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20" w:type="dxa"/>
            <w:vAlign w:val="bottom"/>
          </w:tcPr>
          <w:p>
            <w:pPr>
              <w:spacing w:after="0"/>
              <w:rPr>
                <w:sz w:val="5"/>
                <w:szCs w:val="5"/>
                <w:color w:val="auto"/>
              </w:rPr>
            </w:pPr>
          </w:p>
        </w:tc>
        <w:tc>
          <w:tcPr>
            <w:tcW w:w="900" w:type="dxa"/>
            <w:vAlign w:val="bottom"/>
            <w:tcBorders>
              <w:bottom w:val="single" w:sz="8" w:color="0E191E"/>
            </w:tcBorders>
          </w:tcPr>
          <w:p>
            <w:pPr>
              <w:spacing w:after="0"/>
              <w:rPr>
                <w:sz w:val="5"/>
                <w:szCs w:val="5"/>
                <w:color w:val="auto"/>
              </w:rPr>
            </w:pPr>
          </w:p>
        </w:tc>
        <w:tc>
          <w:tcPr>
            <w:tcW w:w="500" w:type="dxa"/>
            <w:vAlign w:val="bottom"/>
            <w:tcBorders>
              <w:bottom w:val="single" w:sz="8" w:color="0E191E"/>
            </w:tcBorders>
          </w:tcPr>
          <w:p>
            <w:pPr>
              <w:spacing w:after="0"/>
              <w:rPr>
                <w:sz w:val="5"/>
                <w:szCs w:val="5"/>
                <w:color w:val="auto"/>
              </w:rPr>
            </w:pPr>
          </w:p>
        </w:tc>
        <w:tc>
          <w:tcPr>
            <w:tcW w:w="920" w:type="dxa"/>
            <w:vAlign w:val="bottom"/>
            <w:tcBorders>
              <w:bottom w:val="single" w:sz="8" w:color="0E191E"/>
            </w:tcBorders>
          </w:tcPr>
          <w:p>
            <w:pPr>
              <w:spacing w:after="0"/>
              <w:rPr>
                <w:sz w:val="5"/>
                <w:szCs w:val="5"/>
                <w:color w:val="auto"/>
              </w:rPr>
            </w:pPr>
          </w:p>
        </w:tc>
        <w:tc>
          <w:tcPr>
            <w:tcW w:w="1680" w:type="dxa"/>
            <w:vAlign w:val="bottom"/>
            <w:tcBorders>
              <w:bottom w:val="single" w:sz="8" w:color="0E191E"/>
            </w:tcBorders>
          </w:tcPr>
          <w:p>
            <w:pPr>
              <w:spacing w:after="0"/>
              <w:rPr>
                <w:sz w:val="5"/>
                <w:szCs w:val="5"/>
                <w:color w:val="auto"/>
              </w:rPr>
            </w:pPr>
          </w:p>
        </w:tc>
        <w:tc>
          <w:tcPr>
            <w:tcW w:w="560" w:type="dxa"/>
            <w:vAlign w:val="bottom"/>
            <w:tcBorders>
              <w:bottom w:val="single" w:sz="8" w:color="0E191E"/>
            </w:tcBorders>
          </w:tcPr>
          <w:p>
            <w:pPr>
              <w:spacing w:after="0"/>
              <w:rPr>
                <w:sz w:val="5"/>
                <w:szCs w:val="5"/>
                <w:color w:val="auto"/>
              </w:rPr>
            </w:pPr>
          </w:p>
        </w:tc>
        <w:tc>
          <w:tcPr>
            <w:tcW w:w="100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80" w:type="dxa"/>
            <w:vAlign w:val="bottom"/>
            <w:tcBorders>
              <w:bottom w:val="single" w:sz="8" w:color="0E191E"/>
            </w:tcBorders>
          </w:tcPr>
          <w:p>
            <w:pPr>
              <w:spacing w:after="0"/>
              <w:rPr>
                <w:sz w:val="5"/>
                <w:szCs w:val="5"/>
                <w:color w:val="auto"/>
              </w:rPr>
            </w:pPr>
          </w:p>
        </w:tc>
        <w:tc>
          <w:tcPr>
            <w:tcW w:w="118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9/12/2018</w:t>
            </w:r>
          </w:p>
        </w:tc>
        <w:tc>
          <w:tcPr>
            <w:tcW w:w="500" w:type="dxa"/>
            <w:vAlign w:val="bottom"/>
          </w:tcPr>
          <w:p>
            <w:pPr>
              <w:ind w:left="20"/>
              <w:spacing w:after="0"/>
              <w:rPr>
                <w:sz w:val="20"/>
                <w:szCs w:val="20"/>
                <w:color w:val="auto"/>
              </w:rPr>
            </w:pPr>
            <w:r>
              <w:rPr>
                <w:rFonts w:ascii="Arial" w:cs="Arial" w:eastAsia="Arial" w:hAnsi="Arial"/>
                <w:sz w:val="15"/>
                <w:szCs w:val="15"/>
                <w:color w:val="0E191E"/>
              </w:rPr>
              <w:t>(7)</w:t>
            </w:r>
          </w:p>
        </w:tc>
        <w:tc>
          <w:tcPr>
            <w:tcW w:w="9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0E191E"/>
              </w:rPr>
              <w:t>1,898</w:t>
            </w:r>
          </w:p>
        </w:tc>
        <w:tc>
          <w:tcPr>
            <w:tcW w:w="980" w:type="dxa"/>
            <w:vAlign w:val="bottom"/>
          </w:tcPr>
          <w:p>
            <w:pPr>
              <w:jc w:val="right"/>
              <w:spacing w:after="0"/>
              <w:rPr>
                <w:sz w:val="20"/>
                <w:szCs w:val="20"/>
                <w:color w:val="auto"/>
              </w:rPr>
            </w:pPr>
            <w:r>
              <w:rPr>
                <w:rFonts w:ascii="Arial" w:cs="Arial" w:eastAsia="Arial" w:hAnsi="Arial"/>
                <w:sz w:val="13"/>
                <w:szCs w:val="13"/>
                <w:color w:val="0E191E"/>
              </w:rPr>
              <w:t>218,650</w:t>
            </w: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20" w:type="dxa"/>
            <w:vAlign w:val="bottom"/>
          </w:tcPr>
          <w:p>
            <w:pPr>
              <w:spacing w:after="0"/>
              <w:rPr>
                <w:sz w:val="5"/>
                <w:szCs w:val="5"/>
                <w:color w:val="auto"/>
              </w:rPr>
            </w:pPr>
          </w:p>
        </w:tc>
        <w:tc>
          <w:tcPr>
            <w:tcW w:w="900" w:type="dxa"/>
            <w:vAlign w:val="bottom"/>
            <w:tcBorders>
              <w:bottom w:val="single" w:sz="8" w:color="0E191E"/>
            </w:tcBorders>
          </w:tcPr>
          <w:p>
            <w:pPr>
              <w:spacing w:after="0"/>
              <w:rPr>
                <w:sz w:val="5"/>
                <w:szCs w:val="5"/>
                <w:color w:val="auto"/>
              </w:rPr>
            </w:pPr>
          </w:p>
        </w:tc>
        <w:tc>
          <w:tcPr>
            <w:tcW w:w="500" w:type="dxa"/>
            <w:vAlign w:val="bottom"/>
            <w:tcBorders>
              <w:bottom w:val="single" w:sz="8" w:color="0E191E"/>
            </w:tcBorders>
          </w:tcPr>
          <w:p>
            <w:pPr>
              <w:spacing w:after="0"/>
              <w:rPr>
                <w:sz w:val="5"/>
                <w:szCs w:val="5"/>
                <w:color w:val="auto"/>
              </w:rPr>
            </w:pPr>
          </w:p>
        </w:tc>
        <w:tc>
          <w:tcPr>
            <w:tcW w:w="920" w:type="dxa"/>
            <w:vAlign w:val="bottom"/>
            <w:tcBorders>
              <w:bottom w:val="single" w:sz="8" w:color="0E191E"/>
            </w:tcBorders>
          </w:tcPr>
          <w:p>
            <w:pPr>
              <w:spacing w:after="0"/>
              <w:rPr>
                <w:sz w:val="5"/>
                <w:szCs w:val="5"/>
                <w:color w:val="auto"/>
              </w:rPr>
            </w:pPr>
          </w:p>
        </w:tc>
        <w:tc>
          <w:tcPr>
            <w:tcW w:w="1680" w:type="dxa"/>
            <w:vAlign w:val="bottom"/>
            <w:tcBorders>
              <w:bottom w:val="single" w:sz="8" w:color="0E191E"/>
            </w:tcBorders>
          </w:tcPr>
          <w:p>
            <w:pPr>
              <w:spacing w:after="0"/>
              <w:rPr>
                <w:sz w:val="5"/>
                <w:szCs w:val="5"/>
                <w:color w:val="auto"/>
              </w:rPr>
            </w:pPr>
          </w:p>
        </w:tc>
        <w:tc>
          <w:tcPr>
            <w:tcW w:w="560" w:type="dxa"/>
            <w:vAlign w:val="bottom"/>
            <w:tcBorders>
              <w:bottom w:val="single" w:sz="8" w:color="0E191E"/>
            </w:tcBorders>
          </w:tcPr>
          <w:p>
            <w:pPr>
              <w:spacing w:after="0"/>
              <w:rPr>
                <w:sz w:val="5"/>
                <w:szCs w:val="5"/>
                <w:color w:val="auto"/>
              </w:rPr>
            </w:pPr>
          </w:p>
        </w:tc>
        <w:tc>
          <w:tcPr>
            <w:tcW w:w="100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80" w:type="dxa"/>
            <w:vAlign w:val="bottom"/>
            <w:tcBorders>
              <w:bottom w:val="single" w:sz="8" w:color="0E191E"/>
            </w:tcBorders>
          </w:tcPr>
          <w:p>
            <w:pPr>
              <w:spacing w:after="0"/>
              <w:rPr>
                <w:sz w:val="5"/>
                <w:szCs w:val="5"/>
                <w:color w:val="auto"/>
              </w:rPr>
            </w:pPr>
          </w:p>
        </w:tc>
        <w:tc>
          <w:tcPr>
            <w:tcW w:w="118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6/12/2019</w:t>
            </w:r>
          </w:p>
        </w:tc>
        <w:tc>
          <w:tcPr>
            <w:tcW w:w="500" w:type="dxa"/>
            <w:vAlign w:val="bottom"/>
          </w:tcPr>
          <w:p>
            <w:pPr>
              <w:ind w:left="20"/>
              <w:spacing w:after="0"/>
              <w:rPr>
                <w:sz w:val="20"/>
                <w:szCs w:val="20"/>
                <w:color w:val="auto"/>
              </w:rPr>
            </w:pPr>
            <w:r>
              <w:rPr>
                <w:rFonts w:ascii="Arial" w:cs="Arial" w:eastAsia="Arial" w:hAnsi="Arial"/>
                <w:sz w:val="15"/>
                <w:szCs w:val="15"/>
                <w:color w:val="0E191E"/>
              </w:rPr>
              <w:t>(4)</w:t>
            </w:r>
          </w:p>
        </w:tc>
        <w:tc>
          <w:tcPr>
            <w:tcW w:w="9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0E191E"/>
              </w:rPr>
              <w:t>5,208</w:t>
            </w:r>
          </w:p>
        </w:tc>
        <w:tc>
          <w:tcPr>
            <w:tcW w:w="980" w:type="dxa"/>
            <w:vAlign w:val="bottom"/>
          </w:tcPr>
          <w:p>
            <w:pPr>
              <w:jc w:val="right"/>
              <w:spacing w:after="0"/>
              <w:rPr>
                <w:sz w:val="20"/>
                <w:szCs w:val="20"/>
                <w:color w:val="auto"/>
              </w:rPr>
            </w:pPr>
            <w:r>
              <w:rPr>
                <w:rFonts w:ascii="Arial" w:cs="Arial" w:eastAsia="Arial" w:hAnsi="Arial"/>
                <w:sz w:val="13"/>
                <w:szCs w:val="13"/>
                <w:color w:val="0E191E"/>
              </w:rPr>
              <w:t>599,962</w:t>
            </w: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2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Priscilla Hung</w:t>
            </w:r>
          </w:p>
        </w:tc>
        <w:tc>
          <w:tcPr>
            <w:tcW w:w="900" w:type="dxa"/>
            <w:vAlign w:val="bottom"/>
            <w:tcBorders>
              <w:bottom w:val="single" w:sz="8" w:color="0E191E"/>
            </w:tcBorders>
          </w:tcPr>
          <w:p>
            <w:pPr>
              <w:spacing w:after="0"/>
              <w:rPr>
                <w:sz w:val="5"/>
                <w:szCs w:val="5"/>
                <w:color w:val="auto"/>
              </w:rPr>
            </w:pPr>
          </w:p>
        </w:tc>
        <w:tc>
          <w:tcPr>
            <w:tcW w:w="500" w:type="dxa"/>
            <w:vAlign w:val="bottom"/>
            <w:tcBorders>
              <w:bottom w:val="single" w:sz="8" w:color="0E191E"/>
            </w:tcBorders>
          </w:tcPr>
          <w:p>
            <w:pPr>
              <w:spacing w:after="0"/>
              <w:rPr>
                <w:sz w:val="5"/>
                <w:szCs w:val="5"/>
                <w:color w:val="auto"/>
              </w:rPr>
            </w:pPr>
          </w:p>
        </w:tc>
        <w:tc>
          <w:tcPr>
            <w:tcW w:w="920" w:type="dxa"/>
            <w:vAlign w:val="bottom"/>
            <w:tcBorders>
              <w:bottom w:val="single" w:sz="8" w:color="0E191E"/>
            </w:tcBorders>
          </w:tcPr>
          <w:p>
            <w:pPr>
              <w:spacing w:after="0"/>
              <w:rPr>
                <w:sz w:val="5"/>
                <w:szCs w:val="5"/>
                <w:color w:val="auto"/>
              </w:rPr>
            </w:pPr>
          </w:p>
        </w:tc>
        <w:tc>
          <w:tcPr>
            <w:tcW w:w="1680" w:type="dxa"/>
            <w:vAlign w:val="bottom"/>
            <w:tcBorders>
              <w:bottom w:val="single" w:sz="8" w:color="0E191E"/>
            </w:tcBorders>
          </w:tcPr>
          <w:p>
            <w:pPr>
              <w:spacing w:after="0"/>
              <w:rPr>
                <w:sz w:val="5"/>
                <w:szCs w:val="5"/>
                <w:color w:val="auto"/>
              </w:rPr>
            </w:pPr>
          </w:p>
        </w:tc>
        <w:tc>
          <w:tcPr>
            <w:tcW w:w="560" w:type="dxa"/>
            <w:vAlign w:val="bottom"/>
            <w:tcBorders>
              <w:bottom w:val="single" w:sz="8" w:color="0E191E"/>
            </w:tcBorders>
          </w:tcPr>
          <w:p>
            <w:pPr>
              <w:spacing w:after="0"/>
              <w:rPr>
                <w:sz w:val="5"/>
                <w:szCs w:val="5"/>
                <w:color w:val="auto"/>
              </w:rPr>
            </w:pPr>
          </w:p>
        </w:tc>
        <w:tc>
          <w:tcPr>
            <w:tcW w:w="100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80" w:type="dxa"/>
            <w:vAlign w:val="bottom"/>
            <w:tcBorders>
              <w:bottom w:val="single" w:sz="8" w:color="0E191E"/>
            </w:tcBorders>
          </w:tcPr>
          <w:p>
            <w:pPr>
              <w:spacing w:after="0"/>
              <w:rPr>
                <w:sz w:val="5"/>
                <w:szCs w:val="5"/>
                <w:color w:val="auto"/>
              </w:rPr>
            </w:pPr>
          </w:p>
        </w:tc>
        <w:tc>
          <w:tcPr>
            <w:tcW w:w="118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20" w:type="dxa"/>
            <w:vAlign w:val="bottom"/>
            <w:vMerge w:val="continue"/>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9/6/2019</w:t>
            </w:r>
          </w:p>
        </w:tc>
        <w:tc>
          <w:tcPr>
            <w:tcW w:w="500" w:type="dxa"/>
            <w:vAlign w:val="bottom"/>
          </w:tcPr>
          <w:p>
            <w:pPr>
              <w:ind w:left="20"/>
              <w:spacing w:after="0"/>
              <w:rPr>
                <w:sz w:val="20"/>
                <w:szCs w:val="20"/>
                <w:color w:val="auto"/>
              </w:rPr>
            </w:pPr>
            <w:r>
              <w:rPr>
                <w:rFonts w:ascii="Arial" w:cs="Arial" w:eastAsia="Arial" w:hAnsi="Arial"/>
                <w:sz w:val="15"/>
                <w:szCs w:val="15"/>
                <w:color w:val="0E191E"/>
              </w:rPr>
              <w:t>(4)</w:t>
            </w:r>
          </w:p>
        </w:tc>
        <w:tc>
          <w:tcPr>
            <w:tcW w:w="9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0E191E"/>
              </w:rPr>
              <w:t>7,032</w:t>
            </w:r>
          </w:p>
        </w:tc>
        <w:tc>
          <w:tcPr>
            <w:tcW w:w="980" w:type="dxa"/>
            <w:vAlign w:val="bottom"/>
          </w:tcPr>
          <w:p>
            <w:pPr>
              <w:jc w:val="right"/>
              <w:spacing w:after="0"/>
              <w:rPr>
                <w:sz w:val="20"/>
                <w:szCs w:val="20"/>
                <w:color w:val="auto"/>
              </w:rPr>
            </w:pPr>
            <w:r>
              <w:rPr>
                <w:rFonts w:ascii="Arial" w:cs="Arial" w:eastAsia="Arial" w:hAnsi="Arial"/>
                <w:sz w:val="13"/>
                <w:szCs w:val="13"/>
                <w:color w:val="0E191E"/>
              </w:rPr>
              <w:t>810,086</w:t>
            </w: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20" w:type="dxa"/>
            <w:vAlign w:val="bottom"/>
          </w:tcPr>
          <w:p>
            <w:pPr>
              <w:spacing w:after="0"/>
              <w:rPr>
                <w:sz w:val="5"/>
                <w:szCs w:val="5"/>
                <w:color w:val="auto"/>
              </w:rPr>
            </w:pPr>
          </w:p>
        </w:tc>
        <w:tc>
          <w:tcPr>
            <w:tcW w:w="900" w:type="dxa"/>
            <w:vAlign w:val="bottom"/>
            <w:tcBorders>
              <w:bottom w:val="single" w:sz="8" w:color="0E191E"/>
            </w:tcBorders>
          </w:tcPr>
          <w:p>
            <w:pPr>
              <w:spacing w:after="0"/>
              <w:rPr>
                <w:sz w:val="5"/>
                <w:szCs w:val="5"/>
                <w:color w:val="auto"/>
              </w:rPr>
            </w:pPr>
          </w:p>
        </w:tc>
        <w:tc>
          <w:tcPr>
            <w:tcW w:w="500" w:type="dxa"/>
            <w:vAlign w:val="bottom"/>
            <w:tcBorders>
              <w:bottom w:val="single" w:sz="8" w:color="0E191E"/>
            </w:tcBorders>
          </w:tcPr>
          <w:p>
            <w:pPr>
              <w:spacing w:after="0"/>
              <w:rPr>
                <w:sz w:val="5"/>
                <w:szCs w:val="5"/>
                <w:color w:val="auto"/>
              </w:rPr>
            </w:pPr>
          </w:p>
        </w:tc>
        <w:tc>
          <w:tcPr>
            <w:tcW w:w="920" w:type="dxa"/>
            <w:vAlign w:val="bottom"/>
            <w:tcBorders>
              <w:bottom w:val="single" w:sz="8" w:color="0E191E"/>
            </w:tcBorders>
          </w:tcPr>
          <w:p>
            <w:pPr>
              <w:spacing w:after="0"/>
              <w:rPr>
                <w:sz w:val="5"/>
                <w:szCs w:val="5"/>
                <w:color w:val="auto"/>
              </w:rPr>
            </w:pPr>
          </w:p>
        </w:tc>
        <w:tc>
          <w:tcPr>
            <w:tcW w:w="1680" w:type="dxa"/>
            <w:vAlign w:val="bottom"/>
            <w:tcBorders>
              <w:bottom w:val="single" w:sz="8" w:color="0E191E"/>
            </w:tcBorders>
          </w:tcPr>
          <w:p>
            <w:pPr>
              <w:spacing w:after="0"/>
              <w:rPr>
                <w:sz w:val="5"/>
                <w:szCs w:val="5"/>
                <w:color w:val="auto"/>
              </w:rPr>
            </w:pPr>
          </w:p>
        </w:tc>
        <w:tc>
          <w:tcPr>
            <w:tcW w:w="560" w:type="dxa"/>
            <w:vAlign w:val="bottom"/>
            <w:tcBorders>
              <w:bottom w:val="single" w:sz="8" w:color="0E191E"/>
            </w:tcBorders>
          </w:tcPr>
          <w:p>
            <w:pPr>
              <w:spacing w:after="0"/>
              <w:rPr>
                <w:sz w:val="5"/>
                <w:szCs w:val="5"/>
                <w:color w:val="auto"/>
              </w:rPr>
            </w:pPr>
          </w:p>
        </w:tc>
        <w:tc>
          <w:tcPr>
            <w:tcW w:w="100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80" w:type="dxa"/>
            <w:vAlign w:val="bottom"/>
            <w:tcBorders>
              <w:bottom w:val="single" w:sz="8" w:color="0E191E"/>
            </w:tcBorders>
          </w:tcPr>
          <w:p>
            <w:pPr>
              <w:spacing w:after="0"/>
              <w:rPr>
                <w:sz w:val="5"/>
                <w:szCs w:val="5"/>
                <w:color w:val="auto"/>
              </w:rPr>
            </w:pPr>
          </w:p>
        </w:tc>
        <w:tc>
          <w:tcPr>
            <w:tcW w:w="118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9/6/2019</w:t>
            </w:r>
          </w:p>
        </w:tc>
        <w:tc>
          <w:tcPr>
            <w:tcW w:w="500" w:type="dxa"/>
            <w:vAlign w:val="bottom"/>
          </w:tcPr>
          <w:p>
            <w:pPr>
              <w:ind w:left="20"/>
              <w:spacing w:after="0"/>
              <w:rPr>
                <w:sz w:val="20"/>
                <w:szCs w:val="20"/>
                <w:color w:val="auto"/>
              </w:rPr>
            </w:pPr>
            <w:r>
              <w:rPr>
                <w:rFonts w:ascii="Arial" w:cs="Arial" w:eastAsia="Arial" w:hAnsi="Arial"/>
                <w:sz w:val="15"/>
                <w:szCs w:val="15"/>
                <w:color w:val="0E191E"/>
              </w:rPr>
              <w:t>(2)</w:t>
            </w:r>
          </w:p>
        </w:tc>
        <w:tc>
          <w:tcPr>
            <w:tcW w:w="9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0E191E"/>
              </w:rPr>
              <w:t>3,078</w:t>
            </w:r>
          </w:p>
        </w:tc>
        <w:tc>
          <w:tcPr>
            <w:tcW w:w="980" w:type="dxa"/>
            <w:vAlign w:val="bottom"/>
          </w:tcPr>
          <w:p>
            <w:pPr>
              <w:jc w:val="right"/>
              <w:spacing w:after="0"/>
              <w:rPr>
                <w:sz w:val="20"/>
                <w:szCs w:val="20"/>
                <w:color w:val="auto"/>
              </w:rPr>
            </w:pPr>
            <w:r>
              <w:rPr>
                <w:rFonts w:ascii="Arial" w:cs="Arial" w:eastAsia="Arial" w:hAnsi="Arial"/>
                <w:sz w:val="13"/>
                <w:szCs w:val="13"/>
                <w:color w:val="0E191E"/>
              </w:rPr>
              <w:t>354,586</w:t>
            </w: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20" w:type="dxa"/>
            <w:vAlign w:val="bottom"/>
          </w:tcPr>
          <w:p>
            <w:pPr>
              <w:spacing w:after="0"/>
              <w:rPr>
                <w:sz w:val="5"/>
                <w:szCs w:val="5"/>
                <w:color w:val="auto"/>
              </w:rPr>
            </w:pPr>
          </w:p>
        </w:tc>
        <w:tc>
          <w:tcPr>
            <w:tcW w:w="900" w:type="dxa"/>
            <w:vAlign w:val="bottom"/>
            <w:tcBorders>
              <w:bottom w:val="single" w:sz="8" w:color="0E191E"/>
            </w:tcBorders>
          </w:tcPr>
          <w:p>
            <w:pPr>
              <w:spacing w:after="0"/>
              <w:rPr>
                <w:sz w:val="5"/>
                <w:szCs w:val="5"/>
                <w:color w:val="auto"/>
              </w:rPr>
            </w:pPr>
          </w:p>
        </w:tc>
        <w:tc>
          <w:tcPr>
            <w:tcW w:w="500" w:type="dxa"/>
            <w:vAlign w:val="bottom"/>
            <w:tcBorders>
              <w:bottom w:val="single" w:sz="8" w:color="0E191E"/>
            </w:tcBorders>
          </w:tcPr>
          <w:p>
            <w:pPr>
              <w:spacing w:after="0"/>
              <w:rPr>
                <w:sz w:val="5"/>
                <w:szCs w:val="5"/>
                <w:color w:val="auto"/>
              </w:rPr>
            </w:pPr>
          </w:p>
        </w:tc>
        <w:tc>
          <w:tcPr>
            <w:tcW w:w="920" w:type="dxa"/>
            <w:vAlign w:val="bottom"/>
            <w:tcBorders>
              <w:bottom w:val="single" w:sz="8" w:color="0E191E"/>
            </w:tcBorders>
          </w:tcPr>
          <w:p>
            <w:pPr>
              <w:spacing w:after="0"/>
              <w:rPr>
                <w:sz w:val="5"/>
                <w:szCs w:val="5"/>
                <w:color w:val="auto"/>
              </w:rPr>
            </w:pPr>
          </w:p>
        </w:tc>
        <w:tc>
          <w:tcPr>
            <w:tcW w:w="1680" w:type="dxa"/>
            <w:vAlign w:val="bottom"/>
            <w:tcBorders>
              <w:bottom w:val="single" w:sz="8" w:color="0E191E"/>
            </w:tcBorders>
          </w:tcPr>
          <w:p>
            <w:pPr>
              <w:spacing w:after="0"/>
              <w:rPr>
                <w:sz w:val="5"/>
                <w:szCs w:val="5"/>
                <w:color w:val="auto"/>
              </w:rPr>
            </w:pPr>
          </w:p>
        </w:tc>
        <w:tc>
          <w:tcPr>
            <w:tcW w:w="560" w:type="dxa"/>
            <w:vAlign w:val="bottom"/>
            <w:tcBorders>
              <w:bottom w:val="single" w:sz="8" w:color="0E191E"/>
            </w:tcBorders>
          </w:tcPr>
          <w:p>
            <w:pPr>
              <w:spacing w:after="0"/>
              <w:rPr>
                <w:sz w:val="5"/>
                <w:szCs w:val="5"/>
                <w:color w:val="auto"/>
              </w:rPr>
            </w:pPr>
          </w:p>
        </w:tc>
        <w:tc>
          <w:tcPr>
            <w:tcW w:w="100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80" w:type="dxa"/>
            <w:vAlign w:val="bottom"/>
            <w:tcBorders>
              <w:bottom w:val="single" w:sz="8" w:color="0E191E"/>
            </w:tcBorders>
          </w:tcPr>
          <w:p>
            <w:pPr>
              <w:spacing w:after="0"/>
              <w:rPr>
                <w:sz w:val="5"/>
                <w:szCs w:val="5"/>
                <w:color w:val="auto"/>
              </w:rPr>
            </w:pPr>
          </w:p>
        </w:tc>
        <w:tc>
          <w:tcPr>
            <w:tcW w:w="118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9/6/2019</w:t>
            </w:r>
          </w:p>
        </w:tc>
        <w:tc>
          <w:tcPr>
            <w:tcW w:w="500" w:type="dxa"/>
            <w:vAlign w:val="bottom"/>
          </w:tcPr>
          <w:p>
            <w:pPr>
              <w:ind w:left="20"/>
              <w:spacing w:after="0"/>
              <w:rPr>
                <w:sz w:val="20"/>
                <w:szCs w:val="20"/>
                <w:color w:val="auto"/>
              </w:rPr>
            </w:pPr>
            <w:r>
              <w:rPr>
                <w:rFonts w:ascii="Arial" w:cs="Arial" w:eastAsia="Arial" w:hAnsi="Arial"/>
                <w:sz w:val="15"/>
                <w:szCs w:val="15"/>
                <w:color w:val="0E191E"/>
              </w:rPr>
              <w:t>(3)</w:t>
            </w:r>
          </w:p>
        </w:tc>
        <w:tc>
          <w:tcPr>
            <w:tcW w:w="9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0E191E"/>
              </w:rPr>
              <w:t>5,000</w:t>
            </w:r>
          </w:p>
        </w:tc>
        <w:tc>
          <w:tcPr>
            <w:tcW w:w="1360" w:type="dxa"/>
            <w:vAlign w:val="bottom"/>
          </w:tcPr>
          <w:p>
            <w:pPr>
              <w:jc w:val="right"/>
              <w:ind w:right="155"/>
              <w:spacing w:after="0"/>
              <w:rPr>
                <w:sz w:val="20"/>
                <w:szCs w:val="20"/>
                <w:color w:val="auto"/>
              </w:rPr>
            </w:pPr>
            <w:r>
              <w:rPr>
                <w:rFonts w:ascii="Arial" w:cs="Arial" w:eastAsia="Arial" w:hAnsi="Arial"/>
                <w:sz w:val="13"/>
                <w:szCs w:val="13"/>
                <w:color w:val="0E191E"/>
              </w:rPr>
              <w:t>576,000</w:t>
            </w:r>
          </w:p>
        </w:tc>
        <w:tc>
          <w:tcPr>
            <w:tcW w:w="0" w:type="dxa"/>
            <w:vAlign w:val="bottom"/>
          </w:tcPr>
          <w:p>
            <w:pPr>
              <w:spacing w:after="0"/>
              <w:rPr>
                <w:sz w:val="1"/>
                <w:szCs w:val="1"/>
                <w:color w:val="auto"/>
              </w:rPr>
            </w:pPr>
          </w:p>
        </w:tc>
      </w:tr>
      <w:tr>
        <w:trPr>
          <w:trHeight w:val="62"/>
        </w:trPr>
        <w:tc>
          <w:tcPr>
            <w:tcW w:w="1220" w:type="dxa"/>
            <w:vAlign w:val="bottom"/>
          </w:tcPr>
          <w:p>
            <w:pPr>
              <w:spacing w:after="0"/>
              <w:rPr>
                <w:sz w:val="5"/>
                <w:szCs w:val="5"/>
                <w:color w:val="auto"/>
              </w:rPr>
            </w:pPr>
          </w:p>
        </w:tc>
        <w:tc>
          <w:tcPr>
            <w:tcW w:w="900" w:type="dxa"/>
            <w:vAlign w:val="bottom"/>
            <w:tcBorders>
              <w:bottom w:val="single" w:sz="8" w:color="0E191E"/>
            </w:tcBorders>
          </w:tcPr>
          <w:p>
            <w:pPr>
              <w:spacing w:after="0"/>
              <w:rPr>
                <w:sz w:val="5"/>
                <w:szCs w:val="5"/>
                <w:color w:val="auto"/>
              </w:rPr>
            </w:pPr>
          </w:p>
        </w:tc>
        <w:tc>
          <w:tcPr>
            <w:tcW w:w="500" w:type="dxa"/>
            <w:vAlign w:val="bottom"/>
            <w:tcBorders>
              <w:bottom w:val="single" w:sz="8" w:color="0E191E"/>
            </w:tcBorders>
          </w:tcPr>
          <w:p>
            <w:pPr>
              <w:spacing w:after="0"/>
              <w:rPr>
                <w:sz w:val="5"/>
                <w:szCs w:val="5"/>
                <w:color w:val="auto"/>
              </w:rPr>
            </w:pPr>
          </w:p>
        </w:tc>
        <w:tc>
          <w:tcPr>
            <w:tcW w:w="920" w:type="dxa"/>
            <w:vAlign w:val="bottom"/>
            <w:tcBorders>
              <w:bottom w:val="single" w:sz="8" w:color="0E191E"/>
            </w:tcBorders>
          </w:tcPr>
          <w:p>
            <w:pPr>
              <w:spacing w:after="0"/>
              <w:rPr>
                <w:sz w:val="5"/>
                <w:szCs w:val="5"/>
                <w:color w:val="auto"/>
              </w:rPr>
            </w:pPr>
          </w:p>
        </w:tc>
        <w:tc>
          <w:tcPr>
            <w:tcW w:w="1680" w:type="dxa"/>
            <w:vAlign w:val="bottom"/>
            <w:tcBorders>
              <w:bottom w:val="single" w:sz="8" w:color="0E191E"/>
            </w:tcBorders>
          </w:tcPr>
          <w:p>
            <w:pPr>
              <w:spacing w:after="0"/>
              <w:rPr>
                <w:sz w:val="5"/>
                <w:szCs w:val="5"/>
                <w:color w:val="auto"/>
              </w:rPr>
            </w:pPr>
          </w:p>
        </w:tc>
        <w:tc>
          <w:tcPr>
            <w:tcW w:w="560" w:type="dxa"/>
            <w:vAlign w:val="bottom"/>
            <w:tcBorders>
              <w:bottom w:val="single" w:sz="8" w:color="0E191E"/>
            </w:tcBorders>
          </w:tcPr>
          <w:p>
            <w:pPr>
              <w:spacing w:after="0"/>
              <w:rPr>
                <w:sz w:val="5"/>
                <w:szCs w:val="5"/>
                <w:color w:val="auto"/>
              </w:rPr>
            </w:pPr>
          </w:p>
        </w:tc>
        <w:tc>
          <w:tcPr>
            <w:tcW w:w="100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80" w:type="dxa"/>
            <w:vAlign w:val="bottom"/>
            <w:tcBorders>
              <w:bottom w:val="single" w:sz="8" w:color="0E191E"/>
            </w:tcBorders>
          </w:tcPr>
          <w:p>
            <w:pPr>
              <w:spacing w:after="0"/>
              <w:rPr>
                <w:sz w:val="5"/>
                <w:szCs w:val="5"/>
                <w:color w:val="auto"/>
              </w:rPr>
            </w:pPr>
          </w:p>
        </w:tc>
        <w:tc>
          <w:tcPr>
            <w:tcW w:w="118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3/10/2020</w:t>
            </w:r>
          </w:p>
        </w:tc>
        <w:tc>
          <w:tcPr>
            <w:tcW w:w="500" w:type="dxa"/>
            <w:vAlign w:val="bottom"/>
          </w:tcPr>
          <w:p>
            <w:pPr>
              <w:ind w:left="20"/>
              <w:spacing w:after="0"/>
              <w:rPr>
                <w:sz w:val="20"/>
                <w:szCs w:val="20"/>
                <w:color w:val="auto"/>
              </w:rPr>
            </w:pPr>
            <w:r>
              <w:rPr>
                <w:rFonts w:ascii="Arial" w:cs="Arial" w:eastAsia="Arial" w:hAnsi="Arial"/>
                <w:sz w:val="15"/>
                <w:szCs w:val="15"/>
                <w:color w:val="0E191E"/>
              </w:rPr>
              <w:t>(8)</w:t>
            </w:r>
          </w:p>
        </w:tc>
        <w:tc>
          <w:tcPr>
            <w:tcW w:w="9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0E191E"/>
              </w:rPr>
              <w:t>1,700</w:t>
            </w:r>
          </w:p>
        </w:tc>
        <w:tc>
          <w:tcPr>
            <w:tcW w:w="980" w:type="dxa"/>
            <w:vAlign w:val="bottom"/>
          </w:tcPr>
          <w:p>
            <w:pPr>
              <w:jc w:val="right"/>
              <w:spacing w:after="0"/>
              <w:rPr>
                <w:sz w:val="20"/>
                <w:szCs w:val="20"/>
                <w:color w:val="auto"/>
              </w:rPr>
            </w:pPr>
            <w:r>
              <w:rPr>
                <w:rFonts w:ascii="Arial" w:cs="Arial" w:eastAsia="Arial" w:hAnsi="Arial"/>
                <w:sz w:val="13"/>
                <w:szCs w:val="13"/>
                <w:color w:val="0E191E"/>
              </w:rPr>
              <w:t>195,840</w:t>
            </w: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20" w:type="dxa"/>
            <w:vAlign w:val="bottom"/>
          </w:tcPr>
          <w:p>
            <w:pPr>
              <w:spacing w:after="0"/>
              <w:rPr>
                <w:sz w:val="5"/>
                <w:szCs w:val="5"/>
                <w:color w:val="auto"/>
              </w:rPr>
            </w:pPr>
          </w:p>
        </w:tc>
        <w:tc>
          <w:tcPr>
            <w:tcW w:w="900" w:type="dxa"/>
            <w:vAlign w:val="bottom"/>
            <w:tcBorders>
              <w:bottom w:val="single" w:sz="8" w:color="0E191E"/>
            </w:tcBorders>
          </w:tcPr>
          <w:p>
            <w:pPr>
              <w:spacing w:after="0"/>
              <w:rPr>
                <w:sz w:val="5"/>
                <w:szCs w:val="5"/>
                <w:color w:val="auto"/>
              </w:rPr>
            </w:pPr>
          </w:p>
        </w:tc>
        <w:tc>
          <w:tcPr>
            <w:tcW w:w="500" w:type="dxa"/>
            <w:vAlign w:val="bottom"/>
            <w:tcBorders>
              <w:bottom w:val="single" w:sz="8" w:color="0E191E"/>
            </w:tcBorders>
          </w:tcPr>
          <w:p>
            <w:pPr>
              <w:spacing w:after="0"/>
              <w:rPr>
                <w:sz w:val="5"/>
                <w:szCs w:val="5"/>
                <w:color w:val="auto"/>
              </w:rPr>
            </w:pPr>
          </w:p>
        </w:tc>
        <w:tc>
          <w:tcPr>
            <w:tcW w:w="920" w:type="dxa"/>
            <w:vAlign w:val="bottom"/>
            <w:tcBorders>
              <w:bottom w:val="single" w:sz="8" w:color="0E191E"/>
            </w:tcBorders>
          </w:tcPr>
          <w:p>
            <w:pPr>
              <w:spacing w:after="0"/>
              <w:rPr>
                <w:sz w:val="5"/>
                <w:szCs w:val="5"/>
                <w:color w:val="auto"/>
              </w:rPr>
            </w:pPr>
          </w:p>
        </w:tc>
        <w:tc>
          <w:tcPr>
            <w:tcW w:w="1680" w:type="dxa"/>
            <w:vAlign w:val="bottom"/>
            <w:tcBorders>
              <w:bottom w:val="single" w:sz="8" w:color="0E191E"/>
            </w:tcBorders>
          </w:tcPr>
          <w:p>
            <w:pPr>
              <w:spacing w:after="0"/>
              <w:rPr>
                <w:sz w:val="5"/>
                <w:szCs w:val="5"/>
                <w:color w:val="auto"/>
              </w:rPr>
            </w:pPr>
          </w:p>
        </w:tc>
        <w:tc>
          <w:tcPr>
            <w:tcW w:w="560" w:type="dxa"/>
            <w:vAlign w:val="bottom"/>
            <w:tcBorders>
              <w:bottom w:val="single" w:sz="8" w:color="0E191E"/>
            </w:tcBorders>
          </w:tcPr>
          <w:p>
            <w:pPr>
              <w:spacing w:after="0"/>
              <w:rPr>
                <w:sz w:val="5"/>
                <w:szCs w:val="5"/>
                <w:color w:val="auto"/>
              </w:rPr>
            </w:pPr>
          </w:p>
        </w:tc>
        <w:tc>
          <w:tcPr>
            <w:tcW w:w="100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80" w:type="dxa"/>
            <w:vAlign w:val="bottom"/>
            <w:tcBorders>
              <w:bottom w:val="single" w:sz="8" w:color="0E191E"/>
            </w:tcBorders>
          </w:tcPr>
          <w:p>
            <w:pPr>
              <w:spacing w:after="0"/>
              <w:rPr>
                <w:sz w:val="5"/>
                <w:szCs w:val="5"/>
                <w:color w:val="auto"/>
              </w:rPr>
            </w:pPr>
          </w:p>
        </w:tc>
        <w:tc>
          <w:tcPr>
            <w:tcW w:w="118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9/9/2020</w:t>
            </w:r>
          </w:p>
        </w:tc>
        <w:tc>
          <w:tcPr>
            <w:tcW w:w="500" w:type="dxa"/>
            <w:vAlign w:val="bottom"/>
          </w:tcPr>
          <w:p>
            <w:pPr>
              <w:ind w:left="20"/>
              <w:spacing w:after="0"/>
              <w:rPr>
                <w:sz w:val="20"/>
                <w:szCs w:val="20"/>
                <w:color w:val="auto"/>
              </w:rPr>
            </w:pPr>
            <w:r>
              <w:rPr>
                <w:rFonts w:ascii="Arial" w:cs="Arial" w:eastAsia="Arial" w:hAnsi="Arial"/>
                <w:sz w:val="15"/>
                <w:szCs w:val="15"/>
                <w:color w:val="0E191E"/>
              </w:rPr>
              <w:t>(4)</w:t>
            </w:r>
          </w:p>
        </w:tc>
        <w:tc>
          <w:tcPr>
            <w:tcW w:w="9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0E191E"/>
              </w:rPr>
              <w:t>12,188</w:t>
            </w:r>
          </w:p>
        </w:tc>
        <w:tc>
          <w:tcPr>
            <w:tcW w:w="980" w:type="dxa"/>
            <w:vAlign w:val="bottom"/>
          </w:tcPr>
          <w:p>
            <w:pPr>
              <w:jc w:val="right"/>
              <w:spacing w:after="0"/>
              <w:rPr>
                <w:sz w:val="20"/>
                <w:szCs w:val="20"/>
                <w:color w:val="auto"/>
              </w:rPr>
            </w:pPr>
            <w:r>
              <w:rPr>
                <w:rFonts w:ascii="Arial" w:cs="Arial" w:eastAsia="Arial" w:hAnsi="Arial"/>
                <w:sz w:val="13"/>
                <w:szCs w:val="13"/>
                <w:color w:val="0E191E"/>
              </w:rPr>
              <w:t>1,404,058</w:t>
            </w: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2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9/9/2020</w:t>
            </w:r>
          </w:p>
        </w:tc>
        <w:tc>
          <w:tcPr>
            <w:tcW w:w="500" w:type="dxa"/>
            <w:vAlign w:val="bottom"/>
          </w:tcPr>
          <w:p>
            <w:pPr>
              <w:ind w:left="20"/>
              <w:spacing w:after="0"/>
              <w:rPr>
                <w:sz w:val="20"/>
                <w:szCs w:val="20"/>
                <w:color w:val="auto"/>
              </w:rPr>
            </w:pPr>
            <w:r>
              <w:rPr>
                <w:rFonts w:ascii="Arial" w:cs="Arial" w:eastAsia="Arial" w:hAnsi="Arial"/>
                <w:sz w:val="15"/>
                <w:szCs w:val="15"/>
                <w:color w:val="0E191E"/>
              </w:rPr>
              <w:t>(5)</w:t>
            </w:r>
          </w:p>
        </w:tc>
        <w:tc>
          <w:tcPr>
            <w:tcW w:w="9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0E191E"/>
              </w:rPr>
              <w:t>7,824</w:t>
            </w:r>
          </w:p>
        </w:tc>
        <w:tc>
          <w:tcPr>
            <w:tcW w:w="980" w:type="dxa"/>
            <w:vAlign w:val="bottom"/>
          </w:tcPr>
          <w:p>
            <w:pPr>
              <w:jc w:val="right"/>
              <w:spacing w:after="0"/>
              <w:rPr>
                <w:sz w:val="20"/>
                <w:szCs w:val="20"/>
                <w:color w:val="auto"/>
              </w:rPr>
            </w:pPr>
            <w:r>
              <w:rPr>
                <w:rFonts w:ascii="Arial" w:cs="Arial" w:eastAsia="Arial" w:hAnsi="Arial"/>
                <w:sz w:val="13"/>
                <w:szCs w:val="13"/>
                <w:color w:val="0E191E"/>
              </w:rPr>
              <w:t>901,325</w:t>
            </w:r>
          </w:p>
        </w:tc>
        <w:tc>
          <w:tcPr>
            <w:tcW w:w="1180" w:type="dxa"/>
            <w:vAlign w:val="bottom"/>
          </w:tcPr>
          <w:p>
            <w:pPr>
              <w:jc w:val="center"/>
              <w:spacing w:after="0"/>
              <w:rPr>
                <w:sz w:val="20"/>
                <w:szCs w:val="20"/>
                <w:color w:val="auto"/>
              </w:rPr>
            </w:pPr>
            <w:r>
              <w:rPr>
                <w:rFonts w:ascii="Arial" w:cs="Arial" w:eastAsia="Arial" w:hAnsi="Arial"/>
                <w:sz w:val="13"/>
                <w:szCs w:val="13"/>
                <w:color w:val="0E191E"/>
              </w:rPr>
              <w:t>7,500</w:t>
            </w:r>
          </w:p>
        </w:tc>
        <w:tc>
          <w:tcPr>
            <w:tcW w:w="1360" w:type="dxa"/>
            <w:vAlign w:val="bottom"/>
          </w:tcPr>
          <w:p>
            <w:pPr>
              <w:jc w:val="right"/>
              <w:ind w:right="155"/>
              <w:spacing w:after="0"/>
              <w:rPr>
                <w:sz w:val="20"/>
                <w:szCs w:val="20"/>
                <w:color w:val="auto"/>
              </w:rPr>
            </w:pPr>
            <w:r>
              <w:rPr>
                <w:rFonts w:ascii="Arial" w:cs="Arial" w:eastAsia="Arial" w:hAnsi="Arial"/>
                <w:sz w:val="13"/>
                <w:szCs w:val="13"/>
                <w:color w:val="0E191E"/>
              </w:rPr>
              <w:t>864,000</w:t>
            </w:r>
          </w:p>
        </w:tc>
        <w:tc>
          <w:tcPr>
            <w:tcW w:w="0" w:type="dxa"/>
            <w:vAlign w:val="bottom"/>
          </w:tcPr>
          <w:p>
            <w:pPr>
              <w:spacing w:after="0"/>
              <w:rPr>
                <w:sz w:val="1"/>
                <w:szCs w:val="1"/>
                <w:color w:val="auto"/>
              </w:rPr>
            </w:pPr>
          </w:p>
        </w:tc>
      </w:tr>
      <w:tr>
        <w:trPr>
          <w:trHeight w:val="62"/>
        </w:trPr>
        <w:tc>
          <w:tcPr>
            <w:tcW w:w="1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220" w:type="dxa"/>
            <w:vAlign w:val="bottom"/>
            <w:shd w:val="clear" w:color="auto" w:fill="E5F1F5"/>
          </w:tcPr>
          <w:p>
            <w:pPr>
              <w:spacing w:after="0"/>
              <w:rPr>
                <w:sz w:val="22"/>
                <w:szCs w:val="22"/>
                <w:color w:val="auto"/>
              </w:rPr>
            </w:pPr>
          </w:p>
        </w:tc>
        <w:tc>
          <w:tcPr>
            <w:tcW w:w="90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6/15/2020</w:t>
            </w:r>
          </w:p>
        </w:tc>
        <w:tc>
          <w:tcPr>
            <w:tcW w:w="500" w:type="dxa"/>
            <w:vAlign w:val="bottom"/>
            <w:shd w:val="clear" w:color="auto" w:fill="E7F1F5"/>
          </w:tcPr>
          <w:p>
            <w:pPr>
              <w:ind w:left="20"/>
              <w:spacing w:after="0"/>
              <w:rPr>
                <w:sz w:val="20"/>
                <w:szCs w:val="20"/>
                <w:color w:val="auto"/>
              </w:rPr>
            </w:pPr>
            <w:r>
              <w:rPr>
                <w:rFonts w:ascii="Arial" w:cs="Arial" w:eastAsia="Arial" w:hAnsi="Arial"/>
                <w:sz w:val="15"/>
                <w:szCs w:val="15"/>
                <w:color w:val="0E191E"/>
              </w:rPr>
              <w:t>(11)</w:t>
            </w:r>
          </w:p>
        </w:tc>
        <w:tc>
          <w:tcPr>
            <w:tcW w:w="920" w:type="dxa"/>
            <w:vAlign w:val="bottom"/>
            <w:shd w:val="clear" w:color="auto" w:fill="E5F1F5"/>
          </w:tcPr>
          <w:p>
            <w:pPr>
              <w:spacing w:after="0"/>
              <w:rPr>
                <w:sz w:val="22"/>
                <w:szCs w:val="22"/>
                <w:color w:val="auto"/>
              </w:rPr>
            </w:pPr>
          </w:p>
        </w:tc>
        <w:tc>
          <w:tcPr>
            <w:tcW w:w="1680" w:type="dxa"/>
            <w:vAlign w:val="bottom"/>
            <w:shd w:val="clear" w:color="auto" w:fill="E5F1F5"/>
          </w:tcPr>
          <w:p>
            <w:pPr>
              <w:spacing w:after="0"/>
              <w:rPr>
                <w:sz w:val="22"/>
                <w:szCs w:val="22"/>
                <w:color w:val="auto"/>
              </w:rPr>
            </w:pPr>
          </w:p>
        </w:tc>
        <w:tc>
          <w:tcPr>
            <w:tcW w:w="560" w:type="dxa"/>
            <w:vAlign w:val="bottom"/>
            <w:shd w:val="clear" w:color="auto" w:fill="E5F1F5"/>
          </w:tcPr>
          <w:p>
            <w:pPr>
              <w:spacing w:after="0"/>
              <w:rPr>
                <w:sz w:val="22"/>
                <w:szCs w:val="22"/>
                <w:color w:val="auto"/>
              </w:rPr>
            </w:pPr>
          </w:p>
        </w:tc>
        <w:tc>
          <w:tcPr>
            <w:tcW w:w="1000" w:type="dxa"/>
            <w:vAlign w:val="bottom"/>
            <w:shd w:val="clear" w:color="auto" w:fill="E5F1F5"/>
          </w:tcPr>
          <w:p>
            <w:pPr>
              <w:spacing w:after="0"/>
              <w:rPr>
                <w:sz w:val="22"/>
                <w:szCs w:val="22"/>
                <w:color w:val="auto"/>
              </w:rPr>
            </w:pPr>
          </w:p>
        </w:tc>
        <w:tc>
          <w:tcPr>
            <w:tcW w:w="94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39,371</w:t>
            </w:r>
          </w:p>
        </w:tc>
        <w:tc>
          <w:tcPr>
            <w:tcW w:w="98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4,535,539</w:t>
            </w:r>
          </w:p>
        </w:tc>
        <w:tc>
          <w:tcPr>
            <w:tcW w:w="1180" w:type="dxa"/>
            <w:vAlign w:val="bottom"/>
            <w:shd w:val="clear" w:color="auto" w:fill="E5F1F5"/>
          </w:tcPr>
          <w:p>
            <w:pPr>
              <w:spacing w:after="0"/>
              <w:rPr>
                <w:sz w:val="22"/>
                <w:szCs w:val="22"/>
                <w:color w:val="auto"/>
              </w:rPr>
            </w:pPr>
          </w:p>
        </w:tc>
        <w:tc>
          <w:tcPr>
            <w:tcW w:w="1360" w:type="dxa"/>
            <w:vAlign w:val="bottom"/>
            <w:shd w:val="clear" w:color="auto" w:fill="E5F1F5"/>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1220" w:type="dxa"/>
            <w:vAlign w:val="bottom"/>
            <w:tcBorders>
              <w:bottom w:val="single" w:sz="8" w:color="E5F1F5"/>
            </w:tcBorders>
            <w:vMerge w:val="restart"/>
            <w:shd w:val="clear" w:color="auto" w:fill="E5F1F5"/>
          </w:tcPr>
          <w:p>
            <w:pPr>
              <w:ind w:left="100"/>
              <w:spacing w:after="0"/>
              <w:rPr>
                <w:sz w:val="20"/>
                <w:szCs w:val="20"/>
                <w:color w:val="auto"/>
              </w:rPr>
            </w:pPr>
            <w:r>
              <w:rPr>
                <w:rFonts w:ascii="Arial" w:cs="Arial" w:eastAsia="Arial" w:hAnsi="Arial"/>
                <w:sz w:val="13"/>
                <w:szCs w:val="13"/>
                <w:b w:val="1"/>
                <w:bCs w:val="1"/>
                <w:color w:val="0E191E"/>
              </w:rPr>
              <w:t>Frank O'Dowd</w:t>
            </w:r>
          </w:p>
        </w:tc>
        <w:tc>
          <w:tcPr>
            <w:tcW w:w="900" w:type="dxa"/>
            <w:vAlign w:val="bottom"/>
            <w:tcBorders>
              <w:bottom w:val="single" w:sz="8" w:color="0E191E"/>
            </w:tcBorders>
            <w:shd w:val="clear" w:color="auto" w:fill="E5F1F5"/>
          </w:tcPr>
          <w:p>
            <w:pPr>
              <w:spacing w:after="0"/>
              <w:rPr>
                <w:sz w:val="5"/>
                <w:szCs w:val="5"/>
                <w:color w:val="auto"/>
              </w:rPr>
            </w:pPr>
          </w:p>
        </w:tc>
        <w:tc>
          <w:tcPr>
            <w:tcW w:w="500" w:type="dxa"/>
            <w:vAlign w:val="bottom"/>
            <w:tcBorders>
              <w:bottom w:val="single" w:sz="8" w:color="0E191E"/>
            </w:tcBorders>
            <w:shd w:val="clear" w:color="auto" w:fill="E7F1F5"/>
          </w:tcPr>
          <w:p>
            <w:pPr>
              <w:spacing w:after="0"/>
              <w:rPr>
                <w:sz w:val="5"/>
                <w:szCs w:val="5"/>
                <w:color w:val="auto"/>
              </w:rPr>
            </w:pPr>
          </w:p>
        </w:tc>
        <w:tc>
          <w:tcPr>
            <w:tcW w:w="920" w:type="dxa"/>
            <w:vAlign w:val="bottom"/>
            <w:tcBorders>
              <w:bottom w:val="single" w:sz="8" w:color="0E191E"/>
            </w:tcBorders>
            <w:shd w:val="clear" w:color="auto" w:fill="E5F1F5"/>
          </w:tcPr>
          <w:p>
            <w:pPr>
              <w:spacing w:after="0"/>
              <w:rPr>
                <w:sz w:val="5"/>
                <w:szCs w:val="5"/>
                <w:color w:val="auto"/>
              </w:rPr>
            </w:pPr>
          </w:p>
        </w:tc>
        <w:tc>
          <w:tcPr>
            <w:tcW w:w="1680" w:type="dxa"/>
            <w:vAlign w:val="bottom"/>
            <w:tcBorders>
              <w:bottom w:val="single" w:sz="8" w:color="0E191E"/>
            </w:tcBorders>
            <w:shd w:val="clear" w:color="auto" w:fill="E5F1F5"/>
          </w:tcPr>
          <w:p>
            <w:pPr>
              <w:spacing w:after="0"/>
              <w:rPr>
                <w:sz w:val="5"/>
                <w:szCs w:val="5"/>
                <w:color w:val="auto"/>
              </w:rPr>
            </w:pPr>
          </w:p>
        </w:tc>
        <w:tc>
          <w:tcPr>
            <w:tcW w:w="560" w:type="dxa"/>
            <w:vAlign w:val="bottom"/>
            <w:tcBorders>
              <w:bottom w:val="single" w:sz="8" w:color="0E191E"/>
            </w:tcBorders>
            <w:shd w:val="clear" w:color="auto" w:fill="E5F1F5"/>
          </w:tcPr>
          <w:p>
            <w:pPr>
              <w:spacing w:after="0"/>
              <w:rPr>
                <w:sz w:val="5"/>
                <w:szCs w:val="5"/>
                <w:color w:val="auto"/>
              </w:rPr>
            </w:pPr>
          </w:p>
        </w:tc>
        <w:tc>
          <w:tcPr>
            <w:tcW w:w="1000" w:type="dxa"/>
            <w:vAlign w:val="bottom"/>
            <w:tcBorders>
              <w:bottom w:val="single" w:sz="8" w:color="0E191E"/>
            </w:tcBorders>
            <w:shd w:val="clear" w:color="auto" w:fill="E5F1F5"/>
          </w:tcPr>
          <w:p>
            <w:pPr>
              <w:spacing w:after="0"/>
              <w:rPr>
                <w:sz w:val="5"/>
                <w:szCs w:val="5"/>
                <w:color w:val="auto"/>
              </w:rPr>
            </w:pPr>
          </w:p>
        </w:tc>
        <w:tc>
          <w:tcPr>
            <w:tcW w:w="940" w:type="dxa"/>
            <w:vAlign w:val="bottom"/>
            <w:tcBorders>
              <w:bottom w:val="single" w:sz="8" w:color="0E191E"/>
            </w:tcBorders>
            <w:shd w:val="clear" w:color="auto" w:fill="E5F1F5"/>
          </w:tcPr>
          <w:p>
            <w:pPr>
              <w:spacing w:after="0"/>
              <w:rPr>
                <w:sz w:val="5"/>
                <w:szCs w:val="5"/>
                <w:color w:val="auto"/>
              </w:rPr>
            </w:pPr>
          </w:p>
        </w:tc>
        <w:tc>
          <w:tcPr>
            <w:tcW w:w="980" w:type="dxa"/>
            <w:vAlign w:val="bottom"/>
            <w:tcBorders>
              <w:bottom w:val="single" w:sz="8" w:color="0E191E"/>
            </w:tcBorders>
            <w:shd w:val="clear" w:color="auto" w:fill="E5F1F5"/>
          </w:tcPr>
          <w:p>
            <w:pPr>
              <w:spacing w:after="0"/>
              <w:rPr>
                <w:sz w:val="5"/>
                <w:szCs w:val="5"/>
                <w:color w:val="auto"/>
              </w:rPr>
            </w:pPr>
          </w:p>
        </w:tc>
        <w:tc>
          <w:tcPr>
            <w:tcW w:w="1180" w:type="dxa"/>
            <w:vAlign w:val="bottom"/>
            <w:tcBorders>
              <w:bottom w:val="single" w:sz="8" w:color="0E191E"/>
            </w:tcBorders>
            <w:shd w:val="clear" w:color="auto" w:fill="E5F1F5"/>
          </w:tcPr>
          <w:p>
            <w:pPr>
              <w:spacing w:after="0"/>
              <w:rPr>
                <w:sz w:val="5"/>
                <w:szCs w:val="5"/>
                <w:color w:val="auto"/>
              </w:rPr>
            </w:pPr>
          </w:p>
        </w:tc>
        <w:tc>
          <w:tcPr>
            <w:tcW w:w="1360" w:type="dxa"/>
            <w:vAlign w:val="bottom"/>
            <w:tcBorders>
              <w:bottom w:val="single" w:sz="8" w:color="0E191E"/>
            </w:tcBorders>
            <w:shd w:val="clear" w:color="auto" w:fill="E5F1F5"/>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20" w:type="dxa"/>
            <w:vAlign w:val="bottom"/>
            <w:vMerge w:val="continue"/>
            <w:shd w:val="clear" w:color="auto" w:fill="E5F1F5"/>
          </w:tcPr>
          <w:p>
            <w:pPr>
              <w:spacing w:after="0"/>
              <w:rPr>
                <w:sz w:val="21"/>
                <w:szCs w:val="21"/>
                <w:color w:val="auto"/>
              </w:rPr>
            </w:pPr>
          </w:p>
        </w:tc>
        <w:tc>
          <w:tcPr>
            <w:tcW w:w="90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9/9/2020</w:t>
            </w:r>
          </w:p>
        </w:tc>
        <w:tc>
          <w:tcPr>
            <w:tcW w:w="500" w:type="dxa"/>
            <w:vAlign w:val="bottom"/>
            <w:shd w:val="clear" w:color="auto" w:fill="E7F1F5"/>
          </w:tcPr>
          <w:p>
            <w:pPr>
              <w:ind w:left="20"/>
              <w:spacing w:after="0"/>
              <w:rPr>
                <w:sz w:val="20"/>
                <w:szCs w:val="20"/>
                <w:color w:val="auto"/>
              </w:rPr>
            </w:pPr>
            <w:r>
              <w:rPr>
                <w:rFonts w:ascii="Arial" w:cs="Arial" w:eastAsia="Arial" w:hAnsi="Arial"/>
                <w:sz w:val="15"/>
                <w:szCs w:val="15"/>
                <w:color w:val="0E191E"/>
              </w:rPr>
              <w:t>(4)</w:t>
            </w:r>
          </w:p>
        </w:tc>
        <w:tc>
          <w:tcPr>
            <w:tcW w:w="920" w:type="dxa"/>
            <w:vAlign w:val="bottom"/>
            <w:shd w:val="clear" w:color="auto" w:fill="E5F1F5"/>
          </w:tcPr>
          <w:p>
            <w:pPr>
              <w:spacing w:after="0"/>
              <w:rPr>
                <w:sz w:val="21"/>
                <w:szCs w:val="21"/>
                <w:color w:val="auto"/>
              </w:rPr>
            </w:pPr>
          </w:p>
        </w:tc>
        <w:tc>
          <w:tcPr>
            <w:tcW w:w="1680" w:type="dxa"/>
            <w:vAlign w:val="bottom"/>
            <w:shd w:val="clear" w:color="auto" w:fill="E5F1F5"/>
          </w:tcPr>
          <w:p>
            <w:pPr>
              <w:spacing w:after="0"/>
              <w:rPr>
                <w:sz w:val="21"/>
                <w:szCs w:val="21"/>
                <w:color w:val="auto"/>
              </w:rPr>
            </w:pPr>
          </w:p>
        </w:tc>
        <w:tc>
          <w:tcPr>
            <w:tcW w:w="560" w:type="dxa"/>
            <w:vAlign w:val="bottom"/>
            <w:shd w:val="clear" w:color="auto" w:fill="E5F1F5"/>
          </w:tcPr>
          <w:p>
            <w:pPr>
              <w:spacing w:after="0"/>
              <w:rPr>
                <w:sz w:val="21"/>
                <w:szCs w:val="21"/>
                <w:color w:val="auto"/>
              </w:rPr>
            </w:pPr>
          </w:p>
        </w:tc>
        <w:tc>
          <w:tcPr>
            <w:tcW w:w="1000" w:type="dxa"/>
            <w:vAlign w:val="bottom"/>
            <w:shd w:val="clear" w:color="auto" w:fill="E5F1F5"/>
          </w:tcPr>
          <w:p>
            <w:pPr>
              <w:spacing w:after="0"/>
              <w:rPr>
                <w:sz w:val="21"/>
                <w:szCs w:val="21"/>
                <w:color w:val="auto"/>
              </w:rPr>
            </w:pPr>
          </w:p>
        </w:tc>
        <w:tc>
          <w:tcPr>
            <w:tcW w:w="94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9,511</w:t>
            </w:r>
          </w:p>
        </w:tc>
        <w:tc>
          <w:tcPr>
            <w:tcW w:w="98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1,095,667</w:t>
            </w:r>
          </w:p>
        </w:tc>
        <w:tc>
          <w:tcPr>
            <w:tcW w:w="1180" w:type="dxa"/>
            <w:vAlign w:val="bottom"/>
            <w:shd w:val="clear" w:color="auto" w:fill="E5F1F5"/>
          </w:tcPr>
          <w:p>
            <w:pPr>
              <w:spacing w:after="0"/>
              <w:rPr>
                <w:sz w:val="21"/>
                <w:szCs w:val="21"/>
                <w:color w:val="auto"/>
              </w:rPr>
            </w:pPr>
          </w:p>
        </w:tc>
        <w:tc>
          <w:tcPr>
            <w:tcW w:w="1360" w:type="dxa"/>
            <w:vAlign w:val="bottom"/>
            <w:shd w:val="clear" w:color="auto" w:fill="E5F1F5"/>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20" w:type="dxa"/>
            <w:vAlign w:val="bottom"/>
            <w:tcBorders>
              <w:bottom w:val="single" w:sz="8" w:color="E5F1F5"/>
            </w:tcBorders>
            <w:shd w:val="clear" w:color="auto" w:fill="E5F1F5"/>
          </w:tcPr>
          <w:p>
            <w:pPr>
              <w:spacing w:after="0"/>
              <w:rPr>
                <w:sz w:val="5"/>
                <w:szCs w:val="5"/>
                <w:color w:val="auto"/>
              </w:rPr>
            </w:pPr>
          </w:p>
        </w:tc>
        <w:tc>
          <w:tcPr>
            <w:tcW w:w="900" w:type="dxa"/>
            <w:vAlign w:val="bottom"/>
            <w:tcBorders>
              <w:bottom w:val="single" w:sz="8" w:color="auto"/>
            </w:tcBorders>
            <w:shd w:val="clear" w:color="auto" w:fill="E5F1F5"/>
          </w:tcPr>
          <w:p>
            <w:pPr>
              <w:spacing w:after="0"/>
              <w:rPr>
                <w:sz w:val="5"/>
                <w:szCs w:val="5"/>
                <w:color w:val="auto"/>
              </w:rPr>
            </w:pPr>
          </w:p>
        </w:tc>
        <w:tc>
          <w:tcPr>
            <w:tcW w:w="500" w:type="dxa"/>
            <w:vAlign w:val="bottom"/>
            <w:tcBorders>
              <w:bottom w:val="single" w:sz="8" w:color="auto"/>
            </w:tcBorders>
            <w:shd w:val="clear" w:color="auto" w:fill="E7F1F5"/>
          </w:tcPr>
          <w:p>
            <w:pPr>
              <w:spacing w:after="0"/>
              <w:rPr>
                <w:sz w:val="5"/>
                <w:szCs w:val="5"/>
                <w:color w:val="auto"/>
              </w:rPr>
            </w:pPr>
          </w:p>
        </w:tc>
        <w:tc>
          <w:tcPr>
            <w:tcW w:w="920" w:type="dxa"/>
            <w:vAlign w:val="bottom"/>
            <w:tcBorders>
              <w:bottom w:val="single" w:sz="8" w:color="auto"/>
            </w:tcBorders>
            <w:shd w:val="clear" w:color="auto" w:fill="E5F1F5"/>
          </w:tcPr>
          <w:p>
            <w:pPr>
              <w:spacing w:after="0"/>
              <w:rPr>
                <w:sz w:val="5"/>
                <w:szCs w:val="5"/>
                <w:color w:val="auto"/>
              </w:rPr>
            </w:pPr>
          </w:p>
        </w:tc>
        <w:tc>
          <w:tcPr>
            <w:tcW w:w="1680" w:type="dxa"/>
            <w:vAlign w:val="bottom"/>
            <w:tcBorders>
              <w:bottom w:val="single" w:sz="8" w:color="auto"/>
            </w:tcBorders>
            <w:shd w:val="clear" w:color="auto" w:fill="E5F1F5"/>
          </w:tcPr>
          <w:p>
            <w:pPr>
              <w:spacing w:after="0"/>
              <w:rPr>
                <w:sz w:val="5"/>
                <w:szCs w:val="5"/>
                <w:color w:val="auto"/>
              </w:rPr>
            </w:pPr>
          </w:p>
        </w:tc>
        <w:tc>
          <w:tcPr>
            <w:tcW w:w="560" w:type="dxa"/>
            <w:vAlign w:val="bottom"/>
            <w:tcBorders>
              <w:bottom w:val="single" w:sz="8" w:color="auto"/>
            </w:tcBorders>
            <w:shd w:val="clear" w:color="auto" w:fill="E5F1F5"/>
          </w:tcPr>
          <w:p>
            <w:pPr>
              <w:spacing w:after="0"/>
              <w:rPr>
                <w:sz w:val="5"/>
                <w:szCs w:val="5"/>
                <w:color w:val="auto"/>
              </w:rPr>
            </w:pPr>
          </w:p>
        </w:tc>
        <w:tc>
          <w:tcPr>
            <w:tcW w:w="1000" w:type="dxa"/>
            <w:vAlign w:val="bottom"/>
            <w:tcBorders>
              <w:bottom w:val="single" w:sz="8" w:color="auto"/>
            </w:tcBorders>
            <w:shd w:val="clear" w:color="auto" w:fill="E5F1F5"/>
          </w:tcPr>
          <w:p>
            <w:pPr>
              <w:spacing w:after="0"/>
              <w:rPr>
                <w:sz w:val="5"/>
                <w:szCs w:val="5"/>
                <w:color w:val="auto"/>
              </w:rPr>
            </w:pPr>
          </w:p>
        </w:tc>
        <w:tc>
          <w:tcPr>
            <w:tcW w:w="940" w:type="dxa"/>
            <w:vAlign w:val="bottom"/>
            <w:tcBorders>
              <w:bottom w:val="single" w:sz="8" w:color="auto"/>
            </w:tcBorders>
            <w:shd w:val="clear" w:color="auto" w:fill="E5F1F5"/>
          </w:tcPr>
          <w:p>
            <w:pPr>
              <w:spacing w:after="0"/>
              <w:rPr>
                <w:sz w:val="5"/>
                <w:szCs w:val="5"/>
                <w:color w:val="auto"/>
              </w:rPr>
            </w:pPr>
          </w:p>
        </w:tc>
        <w:tc>
          <w:tcPr>
            <w:tcW w:w="980" w:type="dxa"/>
            <w:vAlign w:val="bottom"/>
            <w:tcBorders>
              <w:bottom w:val="single" w:sz="8" w:color="auto"/>
            </w:tcBorders>
            <w:shd w:val="clear" w:color="auto" w:fill="E5F1F5"/>
          </w:tcPr>
          <w:p>
            <w:pPr>
              <w:spacing w:after="0"/>
              <w:rPr>
                <w:sz w:val="5"/>
                <w:szCs w:val="5"/>
                <w:color w:val="auto"/>
              </w:rPr>
            </w:pPr>
          </w:p>
        </w:tc>
        <w:tc>
          <w:tcPr>
            <w:tcW w:w="1180" w:type="dxa"/>
            <w:vAlign w:val="bottom"/>
            <w:tcBorders>
              <w:bottom w:val="single" w:sz="8" w:color="auto"/>
            </w:tcBorders>
            <w:shd w:val="clear" w:color="auto" w:fill="E5F1F5"/>
          </w:tcPr>
          <w:p>
            <w:pPr>
              <w:spacing w:after="0"/>
              <w:rPr>
                <w:sz w:val="5"/>
                <w:szCs w:val="5"/>
                <w:color w:val="auto"/>
              </w:rPr>
            </w:pPr>
          </w:p>
        </w:tc>
        <w:tc>
          <w:tcPr>
            <w:tcW w:w="1360" w:type="dxa"/>
            <w:vAlign w:val="bottom"/>
            <w:tcBorders>
              <w:bottom w:val="single" w:sz="8" w:color="auto"/>
            </w:tcBorders>
            <w:shd w:val="clear" w:color="auto" w:fill="E5F1F5"/>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20" w:type="dxa"/>
            <w:vAlign w:val="bottom"/>
            <w:shd w:val="clear" w:color="auto" w:fill="E5F1F5"/>
          </w:tcPr>
          <w:p>
            <w:pPr>
              <w:spacing w:after="0"/>
              <w:rPr>
                <w:sz w:val="21"/>
                <w:szCs w:val="21"/>
                <w:color w:val="auto"/>
              </w:rPr>
            </w:pPr>
          </w:p>
        </w:tc>
        <w:tc>
          <w:tcPr>
            <w:tcW w:w="90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9/9/2020</w:t>
            </w:r>
          </w:p>
        </w:tc>
        <w:tc>
          <w:tcPr>
            <w:tcW w:w="500" w:type="dxa"/>
            <w:vAlign w:val="bottom"/>
            <w:shd w:val="clear" w:color="auto" w:fill="E7F1F5"/>
          </w:tcPr>
          <w:p>
            <w:pPr>
              <w:ind w:left="20"/>
              <w:spacing w:after="0"/>
              <w:rPr>
                <w:sz w:val="20"/>
                <w:szCs w:val="20"/>
                <w:color w:val="auto"/>
              </w:rPr>
            </w:pPr>
            <w:r>
              <w:rPr>
                <w:rFonts w:ascii="Arial" w:cs="Arial" w:eastAsia="Arial" w:hAnsi="Arial"/>
                <w:sz w:val="15"/>
                <w:szCs w:val="15"/>
                <w:color w:val="0E191E"/>
              </w:rPr>
              <w:t>(5)</w:t>
            </w:r>
          </w:p>
        </w:tc>
        <w:tc>
          <w:tcPr>
            <w:tcW w:w="920" w:type="dxa"/>
            <w:vAlign w:val="bottom"/>
            <w:shd w:val="clear" w:color="auto" w:fill="E5F1F5"/>
          </w:tcPr>
          <w:p>
            <w:pPr>
              <w:spacing w:after="0"/>
              <w:rPr>
                <w:sz w:val="21"/>
                <w:szCs w:val="21"/>
                <w:color w:val="auto"/>
              </w:rPr>
            </w:pPr>
          </w:p>
        </w:tc>
        <w:tc>
          <w:tcPr>
            <w:tcW w:w="1680" w:type="dxa"/>
            <w:vAlign w:val="bottom"/>
            <w:shd w:val="clear" w:color="auto" w:fill="E5F1F5"/>
          </w:tcPr>
          <w:p>
            <w:pPr>
              <w:spacing w:after="0"/>
              <w:rPr>
                <w:sz w:val="21"/>
                <w:szCs w:val="21"/>
                <w:color w:val="auto"/>
              </w:rPr>
            </w:pPr>
          </w:p>
        </w:tc>
        <w:tc>
          <w:tcPr>
            <w:tcW w:w="560" w:type="dxa"/>
            <w:vAlign w:val="bottom"/>
            <w:shd w:val="clear" w:color="auto" w:fill="E5F1F5"/>
          </w:tcPr>
          <w:p>
            <w:pPr>
              <w:spacing w:after="0"/>
              <w:rPr>
                <w:sz w:val="21"/>
                <w:szCs w:val="21"/>
                <w:color w:val="auto"/>
              </w:rPr>
            </w:pPr>
          </w:p>
        </w:tc>
        <w:tc>
          <w:tcPr>
            <w:tcW w:w="1000" w:type="dxa"/>
            <w:vAlign w:val="bottom"/>
            <w:shd w:val="clear" w:color="auto" w:fill="E5F1F5"/>
          </w:tcPr>
          <w:p>
            <w:pPr>
              <w:spacing w:after="0"/>
              <w:rPr>
                <w:sz w:val="21"/>
                <w:szCs w:val="21"/>
                <w:color w:val="auto"/>
              </w:rPr>
            </w:pPr>
          </w:p>
        </w:tc>
        <w:tc>
          <w:tcPr>
            <w:tcW w:w="94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6,104</w:t>
            </w:r>
          </w:p>
        </w:tc>
        <w:tc>
          <w:tcPr>
            <w:tcW w:w="98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703,181</w:t>
            </w:r>
          </w:p>
        </w:tc>
        <w:tc>
          <w:tcPr>
            <w:tcW w:w="118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5,853</w:t>
            </w:r>
          </w:p>
        </w:tc>
        <w:tc>
          <w:tcPr>
            <w:tcW w:w="1360" w:type="dxa"/>
            <w:vAlign w:val="bottom"/>
            <w:shd w:val="clear" w:color="auto" w:fill="E5F1F5"/>
          </w:tcPr>
          <w:p>
            <w:pPr>
              <w:jc w:val="right"/>
              <w:ind w:right="155"/>
              <w:spacing w:after="0"/>
              <w:rPr>
                <w:sz w:val="20"/>
                <w:szCs w:val="20"/>
                <w:color w:val="auto"/>
              </w:rPr>
            </w:pPr>
            <w:r>
              <w:rPr>
                <w:rFonts w:ascii="Arial" w:cs="Arial" w:eastAsia="Arial" w:hAnsi="Arial"/>
                <w:sz w:val="13"/>
                <w:szCs w:val="13"/>
                <w:color w:val="0E191E"/>
              </w:rPr>
              <w:t>674,266</w:t>
            </w:r>
          </w:p>
        </w:tc>
        <w:tc>
          <w:tcPr>
            <w:tcW w:w="0" w:type="dxa"/>
            <w:vAlign w:val="bottom"/>
          </w:tcPr>
          <w:p>
            <w:pPr>
              <w:spacing w:after="0"/>
              <w:rPr>
                <w:sz w:val="1"/>
                <w:szCs w:val="1"/>
                <w:color w:val="auto"/>
              </w:rPr>
            </w:pPr>
          </w:p>
        </w:tc>
      </w:tr>
      <w:tr>
        <w:trPr>
          <w:trHeight w:val="62"/>
        </w:trPr>
        <w:tc>
          <w:tcPr>
            <w:tcW w:w="1220" w:type="dxa"/>
            <w:vAlign w:val="bottom"/>
            <w:shd w:val="clear" w:color="auto" w:fill="E5F1F5"/>
          </w:tcPr>
          <w:p>
            <w:pPr>
              <w:spacing w:after="0"/>
              <w:rPr>
                <w:sz w:val="5"/>
                <w:szCs w:val="5"/>
                <w:color w:val="auto"/>
              </w:rPr>
            </w:pPr>
          </w:p>
        </w:tc>
        <w:tc>
          <w:tcPr>
            <w:tcW w:w="900" w:type="dxa"/>
            <w:vAlign w:val="bottom"/>
            <w:shd w:val="clear" w:color="auto" w:fill="E5F1F5"/>
          </w:tcPr>
          <w:p>
            <w:pPr>
              <w:spacing w:after="0"/>
              <w:rPr>
                <w:sz w:val="5"/>
                <w:szCs w:val="5"/>
                <w:color w:val="auto"/>
              </w:rPr>
            </w:pPr>
          </w:p>
        </w:tc>
        <w:tc>
          <w:tcPr>
            <w:tcW w:w="500" w:type="dxa"/>
            <w:vAlign w:val="bottom"/>
            <w:shd w:val="clear" w:color="auto" w:fill="E7F1F5"/>
          </w:tcPr>
          <w:p>
            <w:pPr>
              <w:spacing w:after="0"/>
              <w:rPr>
                <w:sz w:val="5"/>
                <w:szCs w:val="5"/>
                <w:color w:val="auto"/>
              </w:rPr>
            </w:pPr>
          </w:p>
        </w:tc>
        <w:tc>
          <w:tcPr>
            <w:tcW w:w="920" w:type="dxa"/>
            <w:vAlign w:val="bottom"/>
            <w:shd w:val="clear" w:color="auto" w:fill="E5F1F5"/>
          </w:tcPr>
          <w:p>
            <w:pPr>
              <w:spacing w:after="0"/>
              <w:rPr>
                <w:sz w:val="5"/>
                <w:szCs w:val="5"/>
                <w:color w:val="auto"/>
              </w:rPr>
            </w:pPr>
          </w:p>
        </w:tc>
        <w:tc>
          <w:tcPr>
            <w:tcW w:w="1680" w:type="dxa"/>
            <w:vAlign w:val="bottom"/>
            <w:shd w:val="clear" w:color="auto" w:fill="E5F1F5"/>
          </w:tcPr>
          <w:p>
            <w:pPr>
              <w:spacing w:after="0"/>
              <w:rPr>
                <w:sz w:val="5"/>
                <w:szCs w:val="5"/>
                <w:color w:val="auto"/>
              </w:rPr>
            </w:pPr>
          </w:p>
        </w:tc>
        <w:tc>
          <w:tcPr>
            <w:tcW w:w="560" w:type="dxa"/>
            <w:vAlign w:val="bottom"/>
            <w:shd w:val="clear" w:color="auto" w:fill="E5F1F5"/>
          </w:tcPr>
          <w:p>
            <w:pPr>
              <w:spacing w:after="0"/>
              <w:rPr>
                <w:sz w:val="5"/>
                <w:szCs w:val="5"/>
                <w:color w:val="auto"/>
              </w:rPr>
            </w:pPr>
          </w:p>
        </w:tc>
        <w:tc>
          <w:tcPr>
            <w:tcW w:w="1000" w:type="dxa"/>
            <w:vAlign w:val="bottom"/>
            <w:shd w:val="clear" w:color="auto" w:fill="E5F1F5"/>
          </w:tcPr>
          <w:p>
            <w:pPr>
              <w:spacing w:after="0"/>
              <w:rPr>
                <w:sz w:val="5"/>
                <w:szCs w:val="5"/>
                <w:color w:val="auto"/>
              </w:rPr>
            </w:pPr>
          </w:p>
        </w:tc>
        <w:tc>
          <w:tcPr>
            <w:tcW w:w="940" w:type="dxa"/>
            <w:vAlign w:val="bottom"/>
            <w:shd w:val="clear" w:color="auto" w:fill="E5F1F5"/>
          </w:tcPr>
          <w:p>
            <w:pPr>
              <w:spacing w:after="0"/>
              <w:rPr>
                <w:sz w:val="5"/>
                <w:szCs w:val="5"/>
                <w:color w:val="auto"/>
              </w:rPr>
            </w:pPr>
          </w:p>
        </w:tc>
        <w:tc>
          <w:tcPr>
            <w:tcW w:w="980" w:type="dxa"/>
            <w:vAlign w:val="bottom"/>
            <w:shd w:val="clear" w:color="auto" w:fill="E5F1F5"/>
          </w:tcPr>
          <w:p>
            <w:pPr>
              <w:spacing w:after="0"/>
              <w:rPr>
                <w:sz w:val="5"/>
                <w:szCs w:val="5"/>
                <w:color w:val="auto"/>
              </w:rPr>
            </w:pPr>
          </w:p>
        </w:tc>
        <w:tc>
          <w:tcPr>
            <w:tcW w:w="1180" w:type="dxa"/>
            <w:vAlign w:val="bottom"/>
            <w:shd w:val="clear" w:color="auto" w:fill="E5F1F5"/>
          </w:tcPr>
          <w:p>
            <w:pPr>
              <w:spacing w:after="0"/>
              <w:rPr>
                <w:sz w:val="5"/>
                <w:szCs w:val="5"/>
                <w:color w:val="auto"/>
              </w:rPr>
            </w:pPr>
          </w:p>
        </w:tc>
        <w:tc>
          <w:tcPr>
            <w:tcW w:w="1360" w:type="dxa"/>
            <w:vAlign w:val="bottom"/>
            <w:shd w:val="clear" w:color="auto" w:fill="E5F1F5"/>
          </w:tcPr>
          <w:p>
            <w:pPr>
              <w:spacing w:after="0"/>
              <w:rPr>
                <w:sz w:val="5"/>
                <w:szCs w:val="5"/>
                <w:color w:val="auto"/>
              </w:rPr>
            </w:pPr>
          </w:p>
        </w:tc>
        <w:tc>
          <w:tcPr>
            <w:tcW w:w="0" w:type="dxa"/>
            <w:vAlign w:val="bottom"/>
          </w:tcPr>
          <w:p>
            <w:pPr>
              <w:spacing w:after="0"/>
              <w:rPr>
                <w:sz w:val="1"/>
                <w:szCs w:val="1"/>
                <w:color w:val="auto"/>
              </w:rPr>
            </w:pPr>
          </w:p>
        </w:tc>
      </w:tr>
      <w:tr>
        <w:trPr>
          <w:trHeight w:val="545"/>
        </w:trPr>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560" w:type="dxa"/>
            <w:vAlign w:val="bottom"/>
          </w:tcPr>
          <w:p>
            <w:pPr>
              <w:jc w:val="right"/>
              <w:ind w:right="14"/>
              <w:spacing w:after="0"/>
              <w:rPr>
                <w:sz w:val="20"/>
                <w:szCs w:val="20"/>
                <w:color w:val="auto"/>
              </w:rPr>
            </w:pPr>
            <w:r>
              <w:rPr>
                <w:rFonts w:ascii="Arial" w:cs="Arial" w:eastAsia="Arial" w:hAnsi="Arial"/>
                <w:sz w:val="15"/>
                <w:szCs w:val="15"/>
                <w:b w:val="1"/>
                <w:bCs w:val="1"/>
                <w:color w:val="00739D"/>
              </w:rPr>
              <w:t>51</w:t>
            </w:r>
          </w:p>
        </w:tc>
        <w:tc>
          <w:tcPr>
            <w:tcW w:w="1940" w:type="dxa"/>
            <w:vAlign w:val="bottom"/>
            <w:gridSpan w:val="2"/>
            <w:vMerge w:val="restart"/>
          </w:tcPr>
          <w:p>
            <w:pPr>
              <w:ind w:left="540"/>
              <w:spacing w:after="0"/>
              <w:rPr>
                <w:sz w:val="20"/>
                <w:szCs w:val="20"/>
                <w:color w:val="auto"/>
              </w:rPr>
            </w:pPr>
            <w:r>
              <w:rPr>
                <w:rFonts w:ascii="Arial" w:cs="Arial" w:eastAsia="Arial" w:hAnsi="Arial"/>
                <w:sz w:val="13"/>
                <w:szCs w:val="13"/>
                <w:color w:val="0E191E"/>
              </w:rPr>
              <w:t>2021 Proxy Statement</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940" w:type="dxa"/>
            <w:vAlign w:val="bottom"/>
            <w:gridSpan w:val="2"/>
            <w:vMerge w:val="continue"/>
          </w:tcPr>
          <w:p>
            <w:pPr>
              <w:spacing w:after="0"/>
              <w:rPr>
                <w:sz w:val="4"/>
                <w:szCs w:val="4"/>
                <w:color w:val="auto"/>
              </w:rPr>
            </w:pPr>
          </w:p>
        </w:tc>
        <w:tc>
          <w:tcPr>
            <w:tcW w:w="9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5" w:right="339" w:bottom="1440" w:gutter="0" w:footer="0" w:header="0"/>
        </w:sectPr>
      </w:pPr>
    </w:p>
    <w:bookmarkStart w:id="55" w:name="page56"/>
    <w:bookmarkEnd w:id="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3257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Borders>
              <w:right w:val="single" w:sz="8" w:color="1EB7DF"/>
            </w:tcBorders>
          </w:tcPr>
          <w:p>
            <w:pPr>
              <w:spacing w:after="0"/>
              <w:rPr>
                <w:sz w:val="18"/>
                <w:szCs w:val="18"/>
                <w:color w:val="auto"/>
              </w:rPr>
            </w:pPr>
          </w:p>
        </w:tc>
        <w:tc>
          <w:tcPr>
            <w:tcW w:w="900" w:type="dxa"/>
            <w:vAlign w:val="bottom"/>
            <w:tcBorders>
              <w:bottom w:val="single" w:sz="8" w:color="1EB7DF"/>
            </w:tcBorders>
            <w:shd w:val="clear" w:color="auto" w:fill="1EB7DF"/>
          </w:tcPr>
          <w:p>
            <w:pPr>
              <w:spacing w:after="0"/>
              <w:rPr>
                <w:sz w:val="18"/>
                <w:szCs w:val="18"/>
                <w:color w:val="auto"/>
              </w:rPr>
            </w:pPr>
          </w:p>
        </w:tc>
        <w:tc>
          <w:tcPr>
            <w:tcW w:w="2180" w:type="dxa"/>
            <w:vAlign w:val="bottom"/>
            <w:tcBorders>
              <w:bottom w:val="single" w:sz="8" w:color="1EB7DF"/>
            </w:tcBorders>
            <w:gridSpan w:val="2"/>
            <w:shd w:val="clear" w:color="auto" w:fill="1EB7DF"/>
          </w:tcPr>
          <w:p>
            <w:pPr>
              <w:ind w:left="880"/>
              <w:spacing w:after="0"/>
              <w:rPr>
                <w:sz w:val="20"/>
                <w:szCs w:val="20"/>
                <w:color w:val="auto"/>
              </w:rPr>
            </w:pPr>
            <w:r>
              <w:rPr>
                <w:rFonts w:ascii="Arial" w:cs="Arial" w:eastAsia="Arial" w:hAnsi="Arial"/>
                <w:sz w:val="13"/>
                <w:szCs w:val="13"/>
                <w:b w:val="1"/>
                <w:bCs w:val="1"/>
                <w:color w:val="0E191E"/>
              </w:rPr>
              <w:t>Stock Awards</w:t>
            </w:r>
          </w:p>
        </w:tc>
        <w:tc>
          <w:tcPr>
            <w:tcW w:w="1360" w:type="dxa"/>
            <w:vAlign w:val="bottom"/>
            <w:tcBorders>
              <w:bottom w:val="single" w:sz="8" w:color="1EB7DF"/>
            </w:tcBorders>
            <w:shd w:val="clear" w:color="auto" w:fill="1EB7D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Borders>
              <w:bottom w:val="single" w:sz="8" w:color="FFC000"/>
            </w:tcBorders>
            <w:shd w:val="clear" w:color="auto" w:fill="FFC000"/>
          </w:tcPr>
          <w:p>
            <w:pPr>
              <w:spacing w:after="0"/>
              <w:rPr>
                <w:sz w:val="20"/>
                <w:szCs w:val="20"/>
                <w:color w:val="auto"/>
              </w:rPr>
            </w:pPr>
          </w:p>
        </w:tc>
        <w:tc>
          <w:tcPr>
            <w:tcW w:w="1480" w:type="dxa"/>
            <w:vAlign w:val="bottom"/>
            <w:tcBorders>
              <w:bottom w:val="single" w:sz="8" w:color="FFC000"/>
            </w:tcBorders>
            <w:shd w:val="clear" w:color="auto" w:fill="FFC000"/>
          </w:tcPr>
          <w:p>
            <w:pPr>
              <w:ind w:left="480"/>
              <w:spacing w:after="0"/>
              <w:rPr>
                <w:sz w:val="20"/>
                <w:szCs w:val="20"/>
                <w:color w:val="auto"/>
              </w:rPr>
            </w:pPr>
            <w:r>
              <w:rPr>
                <w:rFonts w:ascii="Arial" w:cs="Arial" w:eastAsia="Arial" w:hAnsi="Arial"/>
                <w:sz w:val="13"/>
                <w:szCs w:val="13"/>
                <w:b w:val="1"/>
                <w:bCs w:val="1"/>
                <w:color w:val="0E191E"/>
              </w:rPr>
              <w:t>Option Awards</w:t>
            </w:r>
          </w:p>
        </w:tc>
        <w:tc>
          <w:tcPr>
            <w:tcW w:w="660" w:type="dxa"/>
            <w:vAlign w:val="bottom"/>
            <w:tcBorders>
              <w:bottom w:val="single" w:sz="8" w:color="FFC000"/>
            </w:tcBorders>
            <w:shd w:val="clear" w:color="auto" w:fill="FFC000"/>
          </w:tcPr>
          <w:p>
            <w:pPr>
              <w:spacing w:after="0"/>
              <w:rPr>
                <w:sz w:val="20"/>
                <w:szCs w:val="20"/>
                <w:color w:val="auto"/>
              </w:rPr>
            </w:pPr>
          </w:p>
        </w:tc>
        <w:tc>
          <w:tcPr>
            <w:tcW w:w="940" w:type="dxa"/>
            <w:vAlign w:val="bottom"/>
            <w:tcBorders>
              <w:bottom w:val="single" w:sz="8" w:color="FFC000"/>
              <w:right w:val="single" w:sz="8" w:color="FFC000"/>
            </w:tcBorders>
            <w:shd w:val="clear" w:color="auto" w:fill="FFC000"/>
          </w:tcPr>
          <w:p>
            <w:pPr>
              <w:spacing w:after="0"/>
              <w:rPr>
                <w:sz w:val="20"/>
                <w:szCs w:val="20"/>
                <w:color w:val="auto"/>
              </w:rPr>
            </w:pPr>
          </w:p>
        </w:tc>
        <w:tc>
          <w:tcPr>
            <w:tcW w:w="1920" w:type="dxa"/>
            <w:vAlign w:val="bottom"/>
            <w:tcBorders>
              <w:bottom w:val="single" w:sz="8" w:color="E7F1F5"/>
            </w:tcBorders>
            <w:gridSpan w:val="2"/>
            <w:shd w:val="clear" w:color="auto" w:fill="E7F1F5"/>
          </w:tcPr>
          <w:p>
            <w:pPr>
              <w:jc w:val="right"/>
              <w:ind w:right="534"/>
              <w:spacing w:after="0"/>
              <w:rPr>
                <w:sz w:val="20"/>
                <w:szCs w:val="20"/>
                <w:color w:val="auto"/>
              </w:rPr>
            </w:pPr>
            <w:r>
              <w:rPr>
                <w:rFonts w:ascii="Arial" w:cs="Arial" w:eastAsia="Arial" w:hAnsi="Arial"/>
                <w:sz w:val="13"/>
                <w:szCs w:val="13"/>
                <w:b w:val="1"/>
                <w:bCs w:val="1"/>
                <w:color w:val="0E191E"/>
              </w:rPr>
              <w:t>Time-Based</w:t>
            </w:r>
          </w:p>
        </w:tc>
        <w:tc>
          <w:tcPr>
            <w:tcW w:w="2520" w:type="dxa"/>
            <w:vAlign w:val="bottom"/>
            <w:tcBorders>
              <w:bottom w:val="single" w:sz="8" w:color="E7F1F5"/>
            </w:tcBorders>
            <w:gridSpan w:val="2"/>
            <w:shd w:val="clear" w:color="auto" w:fill="E7F1F5"/>
          </w:tcPr>
          <w:p>
            <w:pPr>
              <w:jc w:val="right"/>
              <w:ind w:right="556"/>
              <w:spacing w:after="0"/>
              <w:rPr>
                <w:sz w:val="20"/>
                <w:szCs w:val="20"/>
                <w:color w:val="auto"/>
              </w:rPr>
            </w:pPr>
            <w:r>
              <w:rPr>
                <w:rFonts w:ascii="Arial" w:cs="Arial" w:eastAsia="Arial" w:hAnsi="Arial"/>
                <w:sz w:val="13"/>
                <w:szCs w:val="13"/>
                <w:b w:val="1"/>
                <w:bCs w:val="1"/>
                <w:color w:val="0E191E"/>
              </w:rPr>
              <w:t>Performance-Based</w:t>
            </w:r>
          </w:p>
        </w:tc>
        <w:tc>
          <w:tcPr>
            <w:tcW w:w="0" w:type="dxa"/>
            <w:vAlign w:val="bottom"/>
          </w:tcPr>
          <w:p>
            <w:pPr>
              <w:spacing w:after="0"/>
              <w:rPr>
                <w:sz w:val="1"/>
                <w:szCs w:val="1"/>
                <w:color w:val="auto"/>
              </w:rPr>
            </w:pPr>
          </w:p>
        </w:tc>
      </w:tr>
      <w:tr>
        <w:trPr>
          <w:trHeight w:val="181"/>
        </w:trPr>
        <w:tc>
          <w:tcPr>
            <w:tcW w:w="1200" w:type="dxa"/>
            <w:vAlign w:val="bottom"/>
            <w:shd w:val="clear" w:color="auto" w:fill="00739D"/>
          </w:tcPr>
          <w:p>
            <w:pPr>
              <w:spacing w:after="0"/>
              <w:rPr>
                <w:sz w:val="15"/>
                <w:szCs w:val="15"/>
                <w:color w:val="auto"/>
              </w:rPr>
            </w:pPr>
          </w:p>
        </w:tc>
        <w:tc>
          <w:tcPr>
            <w:tcW w:w="860" w:type="dxa"/>
            <w:vAlign w:val="bottom"/>
            <w:shd w:val="clear" w:color="auto" w:fill="00739D"/>
          </w:tcPr>
          <w:p>
            <w:pPr>
              <w:spacing w:after="0"/>
              <w:rPr>
                <w:sz w:val="15"/>
                <w:szCs w:val="15"/>
                <w:color w:val="auto"/>
              </w:rPr>
            </w:pPr>
          </w:p>
        </w:tc>
        <w:tc>
          <w:tcPr>
            <w:tcW w:w="540" w:type="dxa"/>
            <w:vAlign w:val="bottom"/>
            <w:shd w:val="clear" w:color="auto" w:fill="00739D"/>
          </w:tcPr>
          <w:p>
            <w:pPr>
              <w:spacing w:after="0"/>
              <w:rPr>
                <w:sz w:val="15"/>
                <w:szCs w:val="15"/>
                <w:color w:val="auto"/>
              </w:rPr>
            </w:pPr>
          </w:p>
        </w:tc>
        <w:tc>
          <w:tcPr>
            <w:tcW w:w="1120" w:type="dxa"/>
            <w:vAlign w:val="bottom"/>
            <w:shd w:val="clear" w:color="auto" w:fill="00739D"/>
          </w:tcPr>
          <w:p>
            <w:pPr>
              <w:spacing w:after="0"/>
              <w:rPr>
                <w:sz w:val="15"/>
                <w:szCs w:val="15"/>
                <w:color w:val="auto"/>
              </w:rPr>
            </w:pPr>
          </w:p>
        </w:tc>
        <w:tc>
          <w:tcPr>
            <w:tcW w:w="1480" w:type="dxa"/>
            <w:vAlign w:val="bottom"/>
            <w:shd w:val="clear" w:color="auto" w:fill="00739D"/>
          </w:tcPr>
          <w:p>
            <w:pPr>
              <w:spacing w:after="0"/>
              <w:rPr>
                <w:sz w:val="15"/>
                <w:szCs w:val="15"/>
                <w:color w:val="auto"/>
              </w:rPr>
            </w:pPr>
          </w:p>
        </w:tc>
        <w:tc>
          <w:tcPr>
            <w:tcW w:w="660" w:type="dxa"/>
            <w:vAlign w:val="bottom"/>
            <w:shd w:val="clear" w:color="auto" w:fill="00739D"/>
          </w:tcPr>
          <w:p>
            <w:pPr>
              <w:spacing w:after="0"/>
              <w:rPr>
                <w:sz w:val="15"/>
                <w:szCs w:val="15"/>
                <w:color w:val="auto"/>
              </w:rPr>
            </w:pPr>
          </w:p>
        </w:tc>
        <w:tc>
          <w:tcPr>
            <w:tcW w:w="940" w:type="dxa"/>
            <w:vAlign w:val="bottom"/>
            <w:tcBorders>
              <w:right w:val="single" w:sz="8" w:color="00739D"/>
            </w:tcBorders>
            <w:shd w:val="clear" w:color="auto" w:fill="00739D"/>
          </w:tcPr>
          <w:p>
            <w:pPr>
              <w:spacing w:after="0"/>
              <w:rPr>
                <w:sz w:val="15"/>
                <w:szCs w:val="15"/>
                <w:color w:val="auto"/>
              </w:rPr>
            </w:pPr>
          </w:p>
        </w:tc>
        <w:tc>
          <w:tcPr>
            <w:tcW w:w="900" w:type="dxa"/>
            <w:vAlign w:val="bottom"/>
            <w:shd w:val="clear" w:color="auto" w:fill="00739D"/>
          </w:tcPr>
          <w:p>
            <w:pPr>
              <w:spacing w:after="0"/>
              <w:rPr>
                <w:sz w:val="15"/>
                <w:szCs w:val="15"/>
                <w:color w:val="auto"/>
              </w:rPr>
            </w:pPr>
          </w:p>
        </w:tc>
        <w:tc>
          <w:tcPr>
            <w:tcW w:w="1020" w:type="dxa"/>
            <w:vAlign w:val="bottom"/>
            <w:shd w:val="clear" w:color="auto" w:fill="00739D"/>
          </w:tcPr>
          <w:p>
            <w:pPr>
              <w:spacing w:after="0"/>
              <w:rPr>
                <w:sz w:val="15"/>
                <w:szCs w:val="15"/>
                <w:color w:val="auto"/>
              </w:rPr>
            </w:pPr>
          </w:p>
        </w:tc>
        <w:tc>
          <w:tcPr>
            <w:tcW w:w="11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8"/>
              </w:rPr>
              <w:t>Equity Incentive</w:t>
            </w:r>
          </w:p>
        </w:tc>
        <w:tc>
          <w:tcPr>
            <w:tcW w:w="1360" w:type="dxa"/>
            <w:vAlign w:val="bottom"/>
            <w:shd w:val="clear" w:color="auto" w:fill="00739D"/>
          </w:tcPr>
          <w:p>
            <w:pPr>
              <w:jc w:val="right"/>
              <w:ind w:right="96"/>
              <w:spacing w:after="0"/>
              <w:rPr>
                <w:sz w:val="20"/>
                <w:szCs w:val="20"/>
                <w:color w:val="auto"/>
              </w:rPr>
            </w:pPr>
            <w:r>
              <w:rPr>
                <w:rFonts w:ascii="Arial" w:cs="Arial" w:eastAsia="Arial" w:hAnsi="Arial"/>
                <w:sz w:val="13"/>
                <w:szCs w:val="13"/>
                <w:b w:val="1"/>
                <w:bCs w:val="1"/>
                <w:color w:val="FFFFFF"/>
              </w:rPr>
              <w:t>Equity Incentive</w:t>
            </w:r>
          </w:p>
        </w:tc>
        <w:tc>
          <w:tcPr>
            <w:tcW w:w="0" w:type="dxa"/>
            <w:vAlign w:val="bottom"/>
          </w:tcPr>
          <w:p>
            <w:pPr>
              <w:spacing w:after="0"/>
              <w:rPr>
                <w:sz w:val="1"/>
                <w:szCs w:val="1"/>
                <w:color w:val="auto"/>
              </w:rPr>
            </w:pPr>
          </w:p>
        </w:tc>
      </w:tr>
      <w:tr>
        <w:trPr>
          <w:trHeight w:val="149"/>
        </w:trPr>
        <w:tc>
          <w:tcPr>
            <w:tcW w:w="1200" w:type="dxa"/>
            <w:vAlign w:val="bottom"/>
            <w:shd w:val="clear" w:color="auto" w:fill="00739D"/>
          </w:tcPr>
          <w:p>
            <w:pPr>
              <w:spacing w:after="0"/>
              <w:rPr>
                <w:sz w:val="12"/>
                <w:szCs w:val="12"/>
                <w:color w:val="auto"/>
              </w:rPr>
            </w:pPr>
          </w:p>
        </w:tc>
        <w:tc>
          <w:tcPr>
            <w:tcW w:w="860" w:type="dxa"/>
            <w:vAlign w:val="bottom"/>
            <w:shd w:val="clear" w:color="auto" w:fill="00739D"/>
          </w:tcPr>
          <w:p>
            <w:pPr>
              <w:spacing w:after="0"/>
              <w:rPr>
                <w:sz w:val="12"/>
                <w:szCs w:val="12"/>
                <w:color w:val="auto"/>
              </w:rPr>
            </w:pPr>
          </w:p>
        </w:tc>
        <w:tc>
          <w:tcPr>
            <w:tcW w:w="540" w:type="dxa"/>
            <w:vAlign w:val="bottom"/>
            <w:shd w:val="clear" w:color="auto" w:fill="00739D"/>
          </w:tcPr>
          <w:p>
            <w:pPr>
              <w:spacing w:after="0"/>
              <w:rPr>
                <w:sz w:val="12"/>
                <w:szCs w:val="12"/>
                <w:color w:val="auto"/>
              </w:rPr>
            </w:pPr>
          </w:p>
        </w:tc>
        <w:tc>
          <w:tcPr>
            <w:tcW w:w="1120" w:type="dxa"/>
            <w:vAlign w:val="bottom"/>
            <w:shd w:val="clear" w:color="auto" w:fill="00739D"/>
          </w:tcPr>
          <w:p>
            <w:pPr>
              <w:spacing w:after="0"/>
              <w:rPr>
                <w:sz w:val="12"/>
                <w:szCs w:val="12"/>
                <w:color w:val="auto"/>
              </w:rPr>
            </w:pPr>
          </w:p>
        </w:tc>
        <w:tc>
          <w:tcPr>
            <w:tcW w:w="1480" w:type="dxa"/>
            <w:vAlign w:val="bottom"/>
            <w:shd w:val="clear" w:color="auto" w:fill="00739D"/>
          </w:tcPr>
          <w:p>
            <w:pPr>
              <w:spacing w:after="0"/>
              <w:rPr>
                <w:sz w:val="12"/>
                <w:szCs w:val="12"/>
                <w:color w:val="auto"/>
              </w:rPr>
            </w:pPr>
          </w:p>
        </w:tc>
        <w:tc>
          <w:tcPr>
            <w:tcW w:w="660" w:type="dxa"/>
            <w:vAlign w:val="bottom"/>
            <w:shd w:val="clear" w:color="auto" w:fill="00739D"/>
          </w:tcPr>
          <w:p>
            <w:pPr>
              <w:spacing w:after="0"/>
              <w:rPr>
                <w:sz w:val="12"/>
                <w:szCs w:val="12"/>
                <w:color w:val="auto"/>
              </w:rPr>
            </w:pPr>
          </w:p>
        </w:tc>
        <w:tc>
          <w:tcPr>
            <w:tcW w:w="940" w:type="dxa"/>
            <w:vAlign w:val="bottom"/>
            <w:tcBorders>
              <w:right w:val="single" w:sz="8" w:color="00739D"/>
            </w:tcBorders>
            <w:shd w:val="clear" w:color="auto" w:fill="00739D"/>
          </w:tcPr>
          <w:p>
            <w:pPr>
              <w:spacing w:after="0"/>
              <w:rPr>
                <w:sz w:val="12"/>
                <w:szCs w:val="12"/>
                <w:color w:val="auto"/>
              </w:rPr>
            </w:pPr>
          </w:p>
        </w:tc>
        <w:tc>
          <w:tcPr>
            <w:tcW w:w="900" w:type="dxa"/>
            <w:vAlign w:val="bottom"/>
            <w:shd w:val="clear" w:color="auto" w:fill="00739D"/>
          </w:tcPr>
          <w:p>
            <w:pPr>
              <w:spacing w:after="0"/>
              <w:rPr>
                <w:sz w:val="12"/>
                <w:szCs w:val="12"/>
                <w:color w:val="auto"/>
              </w:rPr>
            </w:pPr>
          </w:p>
        </w:tc>
        <w:tc>
          <w:tcPr>
            <w:tcW w:w="1020" w:type="dxa"/>
            <w:vAlign w:val="bottom"/>
            <w:shd w:val="clear" w:color="auto" w:fill="00739D"/>
          </w:tcPr>
          <w:p>
            <w:pPr>
              <w:spacing w:after="0"/>
              <w:rPr>
                <w:sz w:val="12"/>
                <w:szCs w:val="12"/>
                <w:color w:val="auto"/>
              </w:rPr>
            </w:pPr>
          </w:p>
        </w:tc>
        <w:tc>
          <w:tcPr>
            <w:tcW w:w="11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4"/>
              </w:rPr>
              <w:t>Plan</w:t>
            </w:r>
          </w:p>
        </w:tc>
        <w:tc>
          <w:tcPr>
            <w:tcW w:w="1360" w:type="dxa"/>
            <w:vAlign w:val="bottom"/>
            <w:shd w:val="clear" w:color="auto" w:fill="00739D"/>
          </w:tcPr>
          <w:p>
            <w:pPr>
              <w:jc w:val="right"/>
              <w:ind w:right="136"/>
              <w:spacing w:after="0"/>
              <w:rPr>
                <w:sz w:val="20"/>
                <w:szCs w:val="20"/>
                <w:color w:val="auto"/>
              </w:rPr>
            </w:pPr>
            <w:r>
              <w:rPr>
                <w:rFonts w:ascii="Arial" w:cs="Arial" w:eastAsia="Arial" w:hAnsi="Arial"/>
                <w:sz w:val="13"/>
                <w:szCs w:val="13"/>
                <w:b w:val="1"/>
                <w:bCs w:val="1"/>
                <w:color w:val="FFFFFF"/>
              </w:rPr>
              <w:t>Plan</w:t>
            </w:r>
          </w:p>
        </w:tc>
        <w:tc>
          <w:tcPr>
            <w:tcW w:w="0" w:type="dxa"/>
            <w:vAlign w:val="bottom"/>
          </w:tcPr>
          <w:p>
            <w:pPr>
              <w:spacing w:after="0"/>
              <w:rPr>
                <w:sz w:val="1"/>
                <w:szCs w:val="1"/>
                <w:color w:val="auto"/>
              </w:rPr>
            </w:pPr>
          </w:p>
        </w:tc>
      </w:tr>
      <w:tr>
        <w:trPr>
          <w:trHeight w:val="148"/>
        </w:trPr>
        <w:tc>
          <w:tcPr>
            <w:tcW w:w="1200" w:type="dxa"/>
            <w:vAlign w:val="bottom"/>
            <w:shd w:val="clear" w:color="auto" w:fill="00739D"/>
          </w:tcPr>
          <w:p>
            <w:pPr>
              <w:spacing w:after="0"/>
              <w:rPr>
                <w:sz w:val="12"/>
                <w:szCs w:val="12"/>
                <w:color w:val="auto"/>
              </w:rPr>
            </w:pPr>
          </w:p>
        </w:tc>
        <w:tc>
          <w:tcPr>
            <w:tcW w:w="860" w:type="dxa"/>
            <w:vAlign w:val="bottom"/>
            <w:shd w:val="clear" w:color="auto" w:fill="00739D"/>
          </w:tcPr>
          <w:p>
            <w:pPr>
              <w:spacing w:after="0"/>
              <w:rPr>
                <w:sz w:val="12"/>
                <w:szCs w:val="12"/>
                <w:color w:val="auto"/>
              </w:rPr>
            </w:pPr>
          </w:p>
        </w:tc>
        <w:tc>
          <w:tcPr>
            <w:tcW w:w="540" w:type="dxa"/>
            <w:vAlign w:val="bottom"/>
            <w:shd w:val="clear" w:color="auto" w:fill="00739D"/>
          </w:tcPr>
          <w:p>
            <w:pPr>
              <w:spacing w:after="0"/>
              <w:rPr>
                <w:sz w:val="12"/>
                <w:szCs w:val="12"/>
                <w:color w:val="auto"/>
              </w:rPr>
            </w:pPr>
          </w:p>
        </w:tc>
        <w:tc>
          <w:tcPr>
            <w:tcW w:w="1120" w:type="dxa"/>
            <w:vAlign w:val="bottom"/>
            <w:shd w:val="clear" w:color="auto" w:fill="00739D"/>
          </w:tcPr>
          <w:p>
            <w:pPr>
              <w:spacing w:after="0"/>
              <w:rPr>
                <w:sz w:val="12"/>
                <w:szCs w:val="12"/>
                <w:color w:val="auto"/>
              </w:rPr>
            </w:pPr>
          </w:p>
        </w:tc>
        <w:tc>
          <w:tcPr>
            <w:tcW w:w="1480" w:type="dxa"/>
            <w:vAlign w:val="bottom"/>
            <w:shd w:val="clear" w:color="auto" w:fill="00739D"/>
          </w:tcPr>
          <w:p>
            <w:pPr>
              <w:spacing w:after="0"/>
              <w:rPr>
                <w:sz w:val="12"/>
                <w:szCs w:val="12"/>
                <w:color w:val="auto"/>
              </w:rPr>
            </w:pPr>
          </w:p>
        </w:tc>
        <w:tc>
          <w:tcPr>
            <w:tcW w:w="660" w:type="dxa"/>
            <w:vAlign w:val="bottom"/>
            <w:shd w:val="clear" w:color="auto" w:fill="00739D"/>
          </w:tcPr>
          <w:p>
            <w:pPr>
              <w:spacing w:after="0"/>
              <w:rPr>
                <w:sz w:val="12"/>
                <w:szCs w:val="12"/>
                <w:color w:val="auto"/>
              </w:rPr>
            </w:pPr>
          </w:p>
        </w:tc>
        <w:tc>
          <w:tcPr>
            <w:tcW w:w="940" w:type="dxa"/>
            <w:vAlign w:val="bottom"/>
            <w:tcBorders>
              <w:right w:val="single" w:sz="8" w:color="00739D"/>
            </w:tcBorders>
            <w:shd w:val="clear" w:color="auto" w:fill="00739D"/>
          </w:tcPr>
          <w:p>
            <w:pPr>
              <w:spacing w:after="0"/>
              <w:rPr>
                <w:sz w:val="12"/>
                <w:szCs w:val="12"/>
                <w:color w:val="auto"/>
              </w:rPr>
            </w:pPr>
          </w:p>
        </w:tc>
        <w:tc>
          <w:tcPr>
            <w:tcW w:w="900" w:type="dxa"/>
            <w:vAlign w:val="bottom"/>
            <w:shd w:val="clear" w:color="auto" w:fill="00739D"/>
          </w:tcPr>
          <w:p>
            <w:pPr>
              <w:spacing w:after="0"/>
              <w:rPr>
                <w:sz w:val="12"/>
                <w:szCs w:val="12"/>
                <w:color w:val="auto"/>
              </w:rPr>
            </w:pPr>
          </w:p>
        </w:tc>
        <w:tc>
          <w:tcPr>
            <w:tcW w:w="1020" w:type="dxa"/>
            <w:vAlign w:val="bottom"/>
            <w:shd w:val="clear" w:color="auto" w:fill="00739D"/>
          </w:tcPr>
          <w:p>
            <w:pPr>
              <w:spacing w:after="0"/>
              <w:rPr>
                <w:sz w:val="12"/>
                <w:szCs w:val="12"/>
                <w:color w:val="auto"/>
              </w:rPr>
            </w:pPr>
          </w:p>
        </w:tc>
        <w:tc>
          <w:tcPr>
            <w:tcW w:w="11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Awards:</w:t>
            </w:r>
          </w:p>
        </w:tc>
        <w:tc>
          <w:tcPr>
            <w:tcW w:w="1360" w:type="dxa"/>
            <w:vAlign w:val="bottom"/>
            <w:shd w:val="clear" w:color="auto" w:fill="00739D"/>
          </w:tcPr>
          <w:p>
            <w:pPr>
              <w:jc w:val="right"/>
              <w:ind w:right="96"/>
              <w:spacing w:after="0"/>
              <w:rPr>
                <w:sz w:val="20"/>
                <w:szCs w:val="20"/>
                <w:color w:val="auto"/>
              </w:rPr>
            </w:pPr>
            <w:r>
              <w:rPr>
                <w:rFonts w:ascii="Arial" w:cs="Arial" w:eastAsia="Arial" w:hAnsi="Arial"/>
                <w:sz w:val="13"/>
                <w:szCs w:val="13"/>
                <w:b w:val="1"/>
                <w:bCs w:val="1"/>
                <w:color w:val="FFFFFF"/>
              </w:rPr>
              <w:t>Awards:</w:t>
            </w:r>
          </w:p>
        </w:tc>
        <w:tc>
          <w:tcPr>
            <w:tcW w:w="0" w:type="dxa"/>
            <w:vAlign w:val="bottom"/>
          </w:tcPr>
          <w:p>
            <w:pPr>
              <w:spacing w:after="0"/>
              <w:rPr>
                <w:sz w:val="1"/>
                <w:szCs w:val="1"/>
                <w:color w:val="auto"/>
              </w:rPr>
            </w:pPr>
          </w:p>
        </w:tc>
      </w:tr>
      <w:tr>
        <w:trPr>
          <w:trHeight w:val="148"/>
        </w:trPr>
        <w:tc>
          <w:tcPr>
            <w:tcW w:w="1200" w:type="dxa"/>
            <w:vAlign w:val="bottom"/>
            <w:shd w:val="clear" w:color="auto" w:fill="00739D"/>
          </w:tcPr>
          <w:p>
            <w:pPr>
              <w:spacing w:after="0"/>
              <w:rPr>
                <w:sz w:val="12"/>
                <w:szCs w:val="12"/>
                <w:color w:val="auto"/>
              </w:rPr>
            </w:pPr>
          </w:p>
        </w:tc>
        <w:tc>
          <w:tcPr>
            <w:tcW w:w="860" w:type="dxa"/>
            <w:vAlign w:val="bottom"/>
            <w:shd w:val="clear" w:color="auto" w:fill="00739D"/>
          </w:tcPr>
          <w:p>
            <w:pPr>
              <w:spacing w:after="0"/>
              <w:rPr>
                <w:sz w:val="12"/>
                <w:szCs w:val="12"/>
                <w:color w:val="auto"/>
              </w:rPr>
            </w:pPr>
          </w:p>
        </w:tc>
        <w:tc>
          <w:tcPr>
            <w:tcW w:w="540" w:type="dxa"/>
            <w:vAlign w:val="bottom"/>
            <w:shd w:val="clear" w:color="auto" w:fill="00739D"/>
          </w:tcPr>
          <w:p>
            <w:pPr>
              <w:spacing w:after="0"/>
              <w:rPr>
                <w:sz w:val="12"/>
                <w:szCs w:val="12"/>
                <w:color w:val="auto"/>
              </w:rPr>
            </w:pPr>
          </w:p>
        </w:tc>
        <w:tc>
          <w:tcPr>
            <w:tcW w:w="11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480" w:type="dxa"/>
            <w:vAlign w:val="bottom"/>
            <w:shd w:val="clear" w:color="auto" w:fill="00739D"/>
          </w:tcPr>
          <w:p>
            <w:pPr>
              <w:jc w:val="center"/>
              <w:ind w:right="216"/>
              <w:spacing w:after="0"/>
              <w:rPr>
                <w:sz w:val="20"/>
                <w:szCs w:val="20"/>
                <w:color w:val="auto"/>
              </w:rPr>
            </w:pPr>
            <w:r>
              <w:rPr>
                <w:rFonts w:ascii="Arial" w:cs="Arial" w:eastAsia="Arial" w:hAnsi="Arial"/>
                <w:sz w:val="13"/>
                <w:szCs w:val="13"/>
                <w:b w:val="1"/>
                <w:bCs w:val="1"/>
                <w:color w:val="FFFFFF"/>
                <w:w w:val="98"/>
              </w:rPr>
              <w:t>Number of</w:t>
            </w:r>
          </w:p>
        </w:tc>
        <w:tc>
          <w:tcPr>
            <w:tcW w:w="660" w:type="dxa"/>
            <w:vAlign w:val="bottom"/>
            <w:shd w:val="clear" w:color="auto" w:fill="00739D"/>
          </w:tcPr>
          <w:p>
            <w:pPr>
              <w:spacing w:after="0"/>
              <w:rPr>
                <w:sz w:val="12"/>
                <w:szCs w:val="12"/>
                <w:color w:val="auto"/>
              </w:rPr>
            </w:pPr>
          </w:p>
        </w:tc>
        <w:tc>
          <w:tcPr>
            <w:tcW w:w="940" w:type="dxa"/>
            <w:vAlign w:val="bottom"/>
            <w:tcBorders>
              <w:right w:val="single" w:sz="8" w:color="00739D"/>
            </w:tcBorders>
            <w:shd w:val="clear" w:color="auto" w:fill="00739D"/>
          </w:tcPr>
          <w:p>
            <w:pPr>
              <w:spacing w:after="0"/>
              <w:rPr>
                <w:sz w:val="12"/>
                <w:szCs w:val="12"/>
                <w:color w:val="auto"/>
              </w:rPr>
            </w:pPr>
          </w:p>
        </w:tc>
        <w:tc>
          <w:tcPr>
            <w:tcW w:w="9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1020" w:type="dxa"/>
            <w:vAlign w:val="bottom"/>
            <w:shd w:val="clear" w:color="auto" w:fill="00739D"/>
          </w:tcPr>
          <w:p>
            <w:pPr>
              <w:jc w:val="right"/>
              <w:spacing w:after="0"/>
              <w:rPr>
                <w:sz w:val="20"/>
                <w:szCs w:val="20"/>
                <w:color w:val="auto"/>
              </w:rPr>
            </w:pPr>
            <w:r>
              <w:rPr>
                <w:rFonts w:ascii="Arial" w:cs="Arial" w:eastAsia="Arial" w:hAnsi="Arial"/>
                <w:sz w:val="13"/>
                <w:szCs w:val="13"/>
                <w:b w:val="1"/>
                <w:bCs w:val="1"/>
                <w:color w:val="FFFFFF"/>
                <w:w w:val="99"/>
              </w:rPr>
              <w:t>Market Value of</w:t>
            </w:r>
          </w:p>
        </w:tc>
        <w:tc>
          <w:tcPr>
            <w:tcW w:w="11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360" w:type="dxa"/>
            <w:vAlign w:val="bottom"/>
            <w:shd w:val="clear" w:color="auto" w:fill="00739D"/>
          </w:tcPr>
          <w:p>
            <w:pPr>
              <w:jc w:val="right"/>
              <w:ind w:right="96"/>
              <w:spacing w:after="0"/>
              <w:rPr>
                <w:sz w:val="20"/>
                <w:szCs w:val="20"/>
                <w:color w:val="auto"/>
              </w:rPr>
            </w:pPr>
            <w:r>
              <w:rPr>
                <w:rFonts w:ascii="Arial" w:cs="Arial" w:eastAsia="Arial" w:hAnsi="Arial"/>
                <w:sz w:val="13"/>
                <w:szCs w:val="13"/>
                <w:b w:val="1"/>
                <w:bCs w:val="1"/>
                <w:color w:val="FFFFFF"/>
              </w:rPr>
              <w:t>Market or Payout</w:t>
            </w:r>
          </w:p>
        </w:tc>
        <w:tc>
          <w:tcPr>
            <w:tcW w:w="0" w:type="dxa"/>
            <w:vAlign w:val="bottom"/>
          </w:tcPr>
          <w:p>
            <w:pPr>
              <w:spacing w:after="0"/>
              <w:rPr>
                <w:sz w:val="1"/>
                <w:szCs w:val="1"/>
                <w:color w:val="auto"/>
              </w:rPr>
            </w:pPr>
          </w:p>
        </w:tc>
      </w:tr>
      <w:tr>
        <w:trPr>
          <w:trHeight w:val="148"/>
        </w:trPr>
        <w:tc>
          <w:tcPr>
            <w:tcW w:w="1200" w:type="dxa"/>
            <w:vAlign w:val="bottom"/>
            <w:shd w:val="clear" w:color="auto" w:fill="00739D"/>
          </w:tcPr>
          <w:p>
            <w:pPr>
              <w:spacing w:after="0"/>
              <w:rPr>
                <w:sz w:val="12"/>
                <w:szCs w:val="12"/>
                <w:color w:val="auto"/>
              </w:rPr>
            </w:pPr>
          </w:p>
        </w:tc>
        <w:tc>
          <w:tcPr>
            <w:tcW w:w="860" w:type="dxa"/>
            <w:vAlign w:val="bottom"/>
            <w:shd w:val="clear" w:color="auto" w:fill="00739D"/>
          </w:tcPr>
          <w:p>
            <w:pPr>
              <w:spacing w:after="0"/>
              <w:rPr>
                <w:sz w:val="12"/>
                <w:szCs w:val="12"/>
                <w:color w:val="auto"/>
              </w:rPr>
            </w:pPr>
          </w:p>
        </w:tc>
        <w:tc>
          <w:tcPr>
            <w:tcW w:w="540" w:type="dxa"/>
            <w:vAlign w:val="bottom"/>
            <w:shd w:val="clear" w:color="auto" w:fill="00739D"/>
          </w:tcPr>
          <w:p>
            <w:pPr>
              <w:spacing w:after="0"/>
              <w:rPr>
                <w:sz w:val="12"/>
                <w:szCs w:val="12"/>
                <w:color w:val="auto"/>
              </w:rPr>
            </w:pPr>
          </w:p>
        </w:tc>
        <w:tc>
          <w:tcPr>
            <w:tcW w:w="11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1480" w:type="dxa"/>
            <w:vAlign w:val="bottom"/>
            <w:shd w:val="clear" w:color="auto" w:fill="00739D"/>
          </w:tcPr>
          <w:p>
            <w:pPr>
              <w:jc w:val="center"/>
              <w:ind w:right="216"/>
              <w:spacing w:after="0"/>
              <w:rPr>
                <w:sz w:val="20"/>
                <w:szCs w:val="20"/>
                <w:color w:val="auto"/>
              </w:rPr>
            </w:pPr>
            <w:r>
              <w:rPr>
                <w:rFonts w:ascii="Arial" w:cs="Arial" w:eastAsia="Arial" w:hAnsi="Arial"/>
                <w:sz w:val="13"/>
                <w:szCs w:val="13"/>
                <w:b w:val="1"/>
                <w:bCs w:val="1"/>
                <w:color w:val="FFFFFF"/>
                <w:w w:val="96"/>
              </w:rPr>
              <w:t>Securities</w:t>
            </w:r>
          </w:p>
        </w:tc>
        <w:tc>
          <w:tcPr>
            <w:tcW w:w="660" w:type="dxa"/>
            <w:vAlign w:val="bottom"/>
            <w:shd w:val="clear" w:color="auto" w:fill="00739D"/>
          </w:tcPr>
          <w:p>
            <w:pPr>
              <w:spacing w:after="0"/>
              <w:rPr>
                <w:sz w:val="12"/>
                <w:szCs w:val="12"/>
                <w:color w:val="auto"/>
              </w:rPr>
            </w:pPr>
          </w:p>
        </w:tc>
        <w:tc>
          <w:tcPr>
            <w:tcW w:w="940" w:type="dxa"/>
            <w:vAlign w:val="bottom"/>
            <w:tcBorders>
              <w:right w:val="single" w:sz="8" w:color="00739D"/>
            </w:tcBorders>
            <w:shd w:val="clear" w:color="auto" w:fill="00739D"/>
          </w:tcPr>
          <w:p>
            <w:pPr>
              <w:spacing w:after="0"/>
              <w:rPr>
                <w:sz w:val="12"/>
                <w:szCs w:val="12"/>
                <w:color w:val="auto"/>
              </w:rPr>
            </w:pPr>
          </w:p>
        </w:tc>
        <w:tc>
          <w:tcPr>
            <w:tcW w:w="9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Shares or</w:t>
            </w:r>
          </w:p>
        </w:tc>
        <w:tc>
          <w:tcPr>
            <w:tcW w:w="1020" w:type="dxa"/>
            <w:vAlign w:val="bottom"/>
            <w:shd w:val="clear" w:color="auto" w:fill="00739D"/>
          </w:tcPr>
          <w:p>
            <w:pPr>
              <w:jc w:val="right"/>
              <w:spacing w:after="0"/>
              <w:rPr>
                <w:sz w:val="20"/>
                <w:szCs w:val="20"/>
                <w:color w:val="auto"/>
              </w:rPr>
            </w:pPr>
            <w:r>
              <w:rPr>
                <w:rFonts w:ascii="Arial" w:cs="Arial" w:eastAsia="Arial" w:hAnsi="Arial"/>
                <w:sz w:val="13"/>
                <w:szCs w:val="13"/>
                <w:b w:val="1"/>
                <w:bCs w:val="1"/>
                <w:color w:val="FFFFFF"/>
                <w:w w:val="99"/>
              </w:rPr>
              <w:t>Shares or Units</w:t>
            </w:r>
          </w:p>
        </w:tc>
        <w:tc>
          <w:tcPr>
            <w:tcW w:w="11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5"/>
              </w:rPr>
              <w:t>Unearned Shares,</w:t>
            </w:r>
          </w:p>
        </w:tc>
        <w:tc>
          <w:tcPr>
            <w:tcW w:w="1360" w:type="dxa"/>
            <w:vAlign w:val="bottom"/>
            <w:shd w:val="clear" w:color="auto" w:fill="00739D"/>
          </w:tcPr>
          <w:p>
            <w:pPr>
              <w:jc w:val="right"/>
              <w:ind w:right="96"/>
              <w:spacing w:after="0"/>
              <w:rPr>
                <w:sz w:val="20"/>
                <w:szCs w:val="20"/>
                <w:color w:val="auto"/>
              </w:rPr>
            </w:pPr>
            <w:r>
              <w:rPr>
                <w:rFonts w:ascii="Arial" w:cs="Arial" w:eastAsia="Arial" w:hAnsi="Arial"/>
                <w:sz w:val="13"/>
                <w:szCs w:val="13"/>
                <w:b w:val="1"/>
                <w:bCs w:val="1"/>
                <w:color w:val="FFFFFF"/>
              </w:rPr>
              <w:t>Value of Unearned</w:t>
            </w:r>
          </w:p>
        </w:tc>
        <w:tc>
          <w:tcPr>
            <w:tcW w:w="0" w:type="dxa"/>
            <w:vAlign w:val="bottom"/>
          </w:tcPr>
          <w:p>
            <w:pPr>
              <w:spacing w:after="0"/>
              <w:rPr>
                <w:sz w:val="1"/>
                <w:szCs w:val="1"/>
                <w:color w:val="auto"/>
              </w:rPr>
            </w:pPr>
          </w:p>
        </w:tc>
      </w:tr>
      <w:tr>
        <w:trPr>
          <w:trHeight w:val="148"/>
        </w:trPr>
        <w:tc>
          <w:tcPr>
            <w:tcW w:w="1200" w:type="dxa"/>
            <w:vAlign w:val="bottom"/>
            <w:shd w:val="clear" w:color="auto" w:fill="00739D"/>
          </w:tcPr>
          <w:p>
            <w:pPr>
              <w:spacing w:after="0"/>
              <w:rPr>
                <w:sz w:val="12"/>
                <w:szCs w:val="12"/>
                <w:color w:val="auto"/>
              </w:rPr>
            </w:pPr>
          </w:p>
        </w:tc>
        <w:tc>
          <w:tcPr>
            <w:tcW w:w="860" w:type="dxa"/>
            <w:vAlign w:val="bottom"/>
            <w:shd w:val="clear" w:color="auto" w:fill="00739D"/>
          </w:tcPr>
          <w:p>
            <w:pPr>
              <w:spacing w:after="0"/>
              <w:rPr>
                <w:sz w:val="12"/>
                <w:szCs w:val="12"/>
                <w:color w:val="auto"/>
              </w:rPr>
            </w:pPr>
          </w:p>
        </w:tc>
        <w:tc>
          <w:tcPr>
            <w:tcW w:w="540" w:type="dxa"/>
            <w:vAlign w:val="bottom"/>
            <w:shd w:val="clear" w:color="auto" w:fill="00739D"/>
          </w:tcPr>
          <w:p>
            <w:pPr>
              <w:spacing w:after="0"/>
              <w:rPr>
                <w:sz w:val="12"/>
                <w:szCs w:val="12"/>
                <w:color w:val="auto"/>
              </w:rPr>
            </w:pPr>
          </w:p>
        </w:tc>
        <w:tc>
          <w:tcPr>
            <w:tcW w:w="11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1480" w:type="dxa"/>
            <w:vAlign w:val="bottom"/>
            <w:shd w:val="clear" w:color="auto" w:fill="00739D"/>
          </w:tcPr>
          <w:p>
            <w:pPr>
              <w:jc w:val="center"/>
              <w:ind w:right="196"/>
              <w:spacing w:after="0"/>
              <w:rPr>
                <w:sz w:val="20"/>
                <w:szCs w:val="20"/>
                <w:color w:val="auto"/>
              </w:rPr>
            </w:pPr>
            <w:r>
              <w:rPr>
                <w:rFonts w:ascii="Arial" w:cs="Arial" w:eastAsia="Arial" w:hAnsi="Arial"/>
                <w:sz w:val="13"/>
                <w:szCs w:val="13"/>
                <w:b w:val="1"/>
                <w:bCs w:val="1"/>
                <w:color w:val="FFFFFF"/>
                <w:w w:val="97"/>
              </w:rPr>
              <w:t>Underlying</w:t>
            </w:r>
          </w:p>
        </w:tc>
        <w:tc>
          <w:tcPr>
            <w:tcW w:w="660" w:type="dxa"/>
            <w:vAlign w:val="bottom"/>
            <w:shd w:val="clear" w:color="auto" w:fill="00739D"/>
          </w:tcPr>
          <w:p>
            <w:pPr>
              <w:jc w:val="right"/>
              <w:ind w:right="35"/>
              <w:spacing w:after="0"/>
              <w:rPr>
                <w:sz w:val="20"/>
                <w:szCs w:val="20"/>
                <w:color w:val="auto"/>
              </w:rPr>
            </w:pPr>
            <w:r>
              <w:rPr>
                <w:rFonts w:ascii="Arial" w:cs="Arial" w:eastAsia="Arial" w:hAnsi="Arial"/>
                <w:sz w:val="13"/>
                <w:szCs w:val="13"/>
                <w:b w:val="1"/>
                <w:bCs w:val="1"/>
                <w:color w:val="FFFFFF"/>
              </w:rPr>
              <w:t>Option</w:t>
            </w:r>
          </w:p>
        </w:tc>
        <w:tc>
          <w:tcPr>
            <w:tcW w:w="940" w:type="dxa"/>
            <w:vAlign w:val="bottom"/>
            <w:tcBorders>
              <w:right w:val="single" w:sz="8" w:color="00739D"/>
            </w:tcBorders>
            <w:shd w:val="clear" w:color="auto" w:fill="00739D"/>
          </w:tcPr>
          <w:p>
            <w:pPr>
              <w:spacing w:after="0"/>
              <w:rPr>
                <w:sz w:val="12"/>
                <w:szCs w:val="12"/>
                <w:color w:val="auto"/>
              </w:rPr>
            </w:pPr>
          </w:p>
        </w:tc>
        <w:tc>
          <w:tcPr>
            <w:tcW w:w="9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Units of Stock</w:t>
            </w:r>
          </w:p>
        </w:tc>
        <w:tc>
          <w:tcPr>
            <w:tcW w:w="1020" w:type="dxa"/>
            <w:vAlign w:val="bottom"/>
            <w:shd w:val="clear" w:color="auto" w:fill="00739D"/>
          </w:tcPr>
          <w:p>
            <w:pPr>
              <w:jc w:val="right"/>
              <w:spacing w:after="0"/>
              <w:rPr>
                <w:sz w:val="20"/>
                <w:szCs w:val="20"/>
                <w:color w:val="auto"/>
              </w:rPr>
            </w:pPr>
            <w:r>
              <w:rPr>
                <w:rFonts w:ascii="Arial" w:cs="Arial" w:eastAsia="Arial" w:hAnsi="Arial"/>
                <w:sz w:val="13"/>
                <w:szCs w:val="13"/>
                <w:b w:val="1"/>
                <w:bCs w:val="1"/>
                <w:color w:val="FFFFFF"/>
              </w:rPr>
              <w:t>of Stock that</w:t>
            </w:r>
          </w:p>
        </w:tc>
        <w:tc>
          <w:tcPr>
            <w:tcW w:w="11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8"/>
              </w:rPr>
              <w:t>Units or Other</w:t>
            </w:r>
          </w:p>
        </w:tc>
        <w:tc>
          <w:tcPr>
            <w:tcW w:w="1360" w:type="dxa"/>
            <w:vAlign w:val="bottom"/>
            <w:shd w:val="clear" w:color="auto" w:fill="00739D"/>
          </w:tcPr>
          <w:p>
            <w:pPr>
              <w:jc w:val="right"/>
              <w:ind w:right="96"/>
              <w:spacing w:after="0"/>
              <w:rPr>
                <w:sz w:val="20"/>
                <w:szCs w:val="20"/>
                <w:color w:val="auto"/>
              </w:rPr>
            </w:pPr>
            <w:r>
              <w:rPr>
                <w:rFonts w:ascii="Arial" w:cs="Arial" w:eastAsia="Arial" w:hAnsi="Arial"/>
                <w:sz w:val="13"/>
                <w:szCs w:val="13"/>
                <w:b w:val="1"/>
                <w:bCs w:val="1"/>
                <w:color w:val="FFFFFF"/>
              </w:rPr>
              <w:t>Shares, Units or</w:t>
            </w:r>
          </w:p>
        </w:tc>
        <w:tc>
          <w:tcPr>
            <w:tcW w:w="0" w:type="dxa"/>
            <w:vAlign w:val="bottom"/>
          </w:tcPr>
          <w:p>
            <w:pPr>
              <w:spacing w:after="0"/>
              <w:rPr>
                <w:sz w:val="1"/>
                <w:szCs w:val="1"/>
                <w:color w:val="auto"/>
              </w:rPr>
            </w:pPr>
          </w:p>
        </w:tc>
      </w:tr>
      <w:tr>
        <w:trPr>
          <w:trHeight w:val="148"/>
        </w:trPr>
        <w:tc>
          <w:tcPr>
            <w:tcW w:w="1200" w:type="dxa"/>
            <w:vAlign w:val="bottom"/>
            <w:shd w:val="clear" w:color="auto" w:fill="00739D"/>
          </w:tcPr>
          <w:p>
            <w:pPr>
              <w:spacing w:after="0"/>
              <w:rPr>
                <w:sz w:val="12"/>
                <w:szCs w:val="12"/>
                <w:color w:val="auto"/>
              </w:rPr>
            </w:pPr>
          </w:p>
        </w:tc>
        <w:tc>
          <w:tcPr>
            <w:tcW w:w="860" w:type="dxa"/>
            <w:vAlign w:val="bottom"/>
            <w:shd w:val="clear" w:color="auto" w:fill="00739D"/>
          </w:tcPr>
          <w:p>
            <w:pPr>
              <w:spacing w:after="0"/>
              <w:rPr>
                <w:sz w:val="12"/>
                <w:szCs w:val="12"/>
                <w:color w:val="auto"/>
              </w:rPr>
            </w:pPr>
          </w:p>
        </w:tc>
        <w:tc>
          <w:tcPr>
            <w:tcW w:w="540" w:type="dxa"/>
            <w:vAlign w:val="bottom"/>
            <w:shd w:val="clear" w:color="auto" w:fill="00739D"/>
          </w:tcPr>
          <w:p>
            <w:pPr>
              <w:spacing w:after="0"/>
              <w:rPr>
                <w:sz w:val="12"/>
                <w:szCs w:val="12"/>
                <w:color w:val="auto"/>
              </w:rPr>
            </w:pPr>
          </w:p>
        </w:tc>
        <w:tc>
          <w:tcPr>
            <w:tcW w:w="11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5"/>
              </w:rPr>
              <w:t>Unexercised</w:t>
            </w:r>
          </w:p>
        </w:tc>
        <w:tc>
          <w:tcPr>
            <w:tcW w:w="1480" w:type="dxa"/>
            <w:vAlign w:val="bottom"/>
            <w:shd w:val="clear" w:color="auto" w:fill="00739D"/>
          </w:tcPr>
          <w:p>
            <w:pPr>
              <w:jc w:val="center"/>
              <w:ind w:right="216"/>
              <w:spacing w:after="0"/>
              <w:rPr>
                <w:sz w:val="20"/>
                <w:szCs w:val="20"/>
                <w:color w:val="auto"/>
              </w:rPr>
            </w:pPr>
            <w:r>
              <w:rPr>
                <w:rFonts w:ascii="Arial" w:cs="Arial" w:eastAsia="Arial" w:hAnsi="Arial"/>
                <w:sz w:val="13"/>
                <w:szCs w:val="13"/>
                <w:b w:val="1"/>
                <w:bCs w:val="1"/>
                <w:color w:val="FFFFFF"/>
                <w:w w:val="98"/>
              </w:rPr>
              <w:t>Unexercised</w:t>
            </w:r>
          </w:p>
        </w:tc>
        <w:tc>
          <w:tcPr>
            <w:tcW w:w="660" w:type="dxa"/>
            <w:vAlign w:val="bottom"/>
            <w:shd w:val="clear" w:color="auto" w:fill="00739D"/>
          </w:tcPr>
          <w:p>
            <w:pPr>
              <w:jc w:val="right"/>
              <w:ind w:right="35"/>
              <w:spacing w:after="0"/>
              <w:rPr>
                <w:sz w:val="20"/>
                <w:szCs w:val="20"/>
                <w:color w:val="auto"/>
              </w:rPr>
            </w:pPr>
            <w:r>
              <w:rPr>
                <w:rFonts w:ascii="Arial" w:cs="Arial" w:eastAsia="Arial" w:hAnsi="Arial"/>
                <w:sz w:val="13"/>
                <w:szCs w:val="13"/>
                <w:b w:val="1"/>
                <w:bCs w:val="1"/>
                <w:color w:val="FFFFFF"/>
              </w:rPr>
              <w:t>Exercise</w:t>
            </w:r>
          </w:p>
        </w:tc>
        <w:tc>
          <w:tcPr>
            <w:tcW w:w="940" w:type="dxa"/>
            <w:vAlign w:val="bottom"/>
            <w:tcBorders>
              <w:right w:val="single" w:sz="8" w:color="00739D"/>
            </w:tcBorders>
            <w:shd w:val="clear" w:color="auto" w:fill="00739D"/>
          </w:tcPr>
          <w:p>
            <w:pPr>
              <w:jc w:val="center"/>
              <w:ind w:right="55"/>
              <w:spacing w:after="0"/>
              <w:rPr>
                <w:sz w:val="20"/>
                <w:szCs w:val="20"/>
                <w:color w:val="auto"/>
              </w:rPr>
            </w:pPr>
            <w:r>
              <w:rPr>
                <w:rFonts w:ascii="Arial" w:cs="Arial" w:eastAsia="Arial" w:hAnsi="Arial"/>
                <w:sz w:val="13"/>
                <w:szCs w:val="13"/>
                <w:b w:val="1"/>
                <w:bCs w:val="1"/>
                <w:color w:val="FFFFFF"/>
              </w:rPr>
              <w:t>Option</w:t>
            </w:r>
          </w:p>
        </w:tc>
        <w:tc>
          <w:tcPr>
            <w:tcW w:w="9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5"/>
              </w:rPr>
              <w:t>that Have Not</w:t>
            </w:r>
          </w:p>
        </w:tc>
        <w:tc>
          <w:tcPr>
            <w:tcW w:w="1020" w:type="dxa"/>
            <w:vAlign w:val="bottom"/>
            <w:shd w:val="clear" w:color="auto" w:fill="00739D"/>
          </w:tcPr>
          <w:p>
            <w:pPr>
              <w:jc w:val="right"/>
              <w:spacing w:after="0"/>
              <w:rPr>
                <w:sz w:val="20"/>
                <w:szCs w:val="20"/>
                <w:color w:val="auto"/>
              </w:rPr>
            </w:pPr>
            <w:r>
              <w:rPr>
                <w:rFonts w:ascii="Arial" w:cs="Arial" w:eastAsia="Arial" w:hAnsi="Arial"/>
                <w:sz w:val="13"/>
                <w:szCs w:val="13"/>
                <w:b w:val="1"/>
                <w:bCs w:val="1"/>
                <w:color w:val="FFFFFF"/>
              </w:rPr>
              <w:t>Have Not</w:t>
            </w:r>
          </w:p>
        </w:tc>
        <w:tc>
          <w:tcPr>
            <w:tcW w:w="11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Rights That Have</w:t>
            </w:r>
          </w:p>
        </w:tc>
        <w:tc>
          <w:tcPr>
            <w:tcW w:w="1360" w:type="dxa"/>
            <w:vAlign w:val="bottom"/>
            <w:shd w:val="clear" w:color="auto" w:fill="00739D"/>
          </w:tcPr>
          <w:p>
            <w:pPr>
              <w:jc w:val="right"/>
              <w:ind w:right="96"/>
              <w:spacing w:after="0"/>
              <w:rPr>
                <w:sz w:val="20"/>
                <w:szCs w:val="20"/>
                <w:color w:val="auto"/>
              </w:rPr>
            </w:pPr>
            <w:r>
              <w:rPr>
                <w:rFonts w:ascii="Arial" w:cs="Arial" w:eastAsia="Arial" w:hAnsi="Arial"/>
                <w:sz w:val="13"/>
                <w:szCs w:val="13"/>
                <w:b w:val="1"/>
                <w:bCs w:val="1"/>
                <w:color w:val="FFFFFF"/>
              </w:rPr>
              <w:t>Other Rights That</w:t>
            </w:r>
          </w:p>
        </w:tc>
        <w:tc>
          <w:tcPr>
            <w:tcW w:w="0" w:type="dxa"/>
            <w:vAlign w:val="bottom"/>
          </w:tcPr>
          <w:p>
            <w:pPr>
              <w:spacing w:after="0"/>
              <w:rPr>
                <w:sz w:val="1"/>
                <w:szCs w:val="1"/>
                <w:color w:val="auto"/>
              </w:rPr>
            </w:pPr>
          </w:p>
        </w:tc>
      </w:tr>
      <w:tr>
        <w:trPr>
          <w:trHeight w:val="149"/>
        </w:trPr>
        <w:tc>
          <w:tcPr>
            <w:tcW w:w="1200" w:type="dxa"/>
            <w:vAlign w:val="bottom"/>
            <w:shd w:val="clear" w:color="auto" w:fill="00739D"/>
          </w:tcPr>
          <w:p>
            <w:pPr>
              <w:spacing w:after="0"/>
              <w:rPr>
                <w:sz w:val="12"/>
                <w:szCs w:val="12"/>
                <w:color w:val="auto"/>
              </w:rPr>
            </w:pPr>
          </w:p>
        </w:tc>
        <w:tc>
          <w:tcPr>
            <w:tcW w:w="860" w:type="dxa"/>
            <w:vAlign w:val="bottom"/>
            <w:shd w:val="clear" w:color="auto" w:fill="00739D"/>
          </w:tcPr>
          <w:p>
            <w:pPr>
              <w:spacing w:after="0"/>
              <w:rPr>
                <w:sz w:val="12"/>
                <w:szCs w:val="12"/>
                <w:color w:val="auto"/>
              </w:rPr>
            </w:pPr>
          </w:p>
        </w:tc>
        <w:tc>
          <w:tcPr>
            <w:tcW w:w="540" w:type="dxa"/>
            <w:vAlign w:val="bottom"/>
            <w:shd w:val="clear" w:color="auto" w:fill="00739D"/>
          </w:tcPr>
          <w:p>
            <w:pPr>
              <w:spacing w:after="0"/>
              <w:rPr>
                <w:sz w:val="12"/>
                <w:szCs w:val="12"/>
                <w:color w:val="auto"/>
              </w:rPr>
            </w:pPr>
          </w:p>
        </w:tc>
        <w:tc>
          <w:tcPr>
            <w:tcW w:w="11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Options (#)</w:t>
            </w:r>
          </w:p>
        </w:tc>
        <w:tc>
          <w:tcPr>
            <w:tcW w:w="1480" w:type="dxa"/>
            <w:vAlign w:val="bottom"/>
            <w:shd w:val="clear" w:color="auto" w:fill="00739D"/>
          </w:tcPr>
          <w:p>
            <w:pPr>
              <w:jc w:val="center"/>
              <w:ind w:right="216"/>
              <w:spacing w:after="0"/>
              <w:rPr>
                <w:sz w:val="20"/>
                <w:szCs w:val="20"/>
                <w:color w:val="auto"/>
              </w:rPr>
            </w:pPr>
            <w:r>
              <w:rPr>
                <w:rFonts w:ascii="Arial" w:cs="Arial" w:eastAsia="Arial" w:hAnsi="Arial"/>
                <w:sz w:val="13"/>
                <w:szCs w:val="13"/>
                <w:b w:val="1"/>
                <w:bCs w:val="1"/>
                <w:color w:val="FFFFFF"/>
                <w:w w:val="99"/>
              </w:rPr>
              <w:t>Options (#)</w:t>
            </w:r>
          </w:p>
        </w:tc>
        <w:tc>
          <w:tcPr>
            <w:tcW w:w="660" w:type="dxa"/>
            <w:vAlign w:val="bottom"/>
            <w:shd w:val="clear" w:color="auto" w:fill="00739D"/>
          </w:tcPr>
          <w:p>
            <w:pPr>
              <w:jc w:val="right"/>
              <w:ind w:right="35"/>
              <w:spacing w:after="0"/>
              <w:rPr>
                <w:sz w:val="20"/>
                <w:szCs w:val="20"/>
                <w:color w:val="auto"/>
              </w:rPr>
            </w:pPr>
            <w:r>
              <w:rPr>
                <w:rFonts w:ascii="Arial" w:cs="Arial" w:eastAsia="Arial" w:hAnsi="Arial"/>
                <w:sz w:val="13"/>
                <w:szCs w:val="13"/>
                <w:b w:val="1"/>
                <w:bCs w:val="1"/>
                <w:color w:val="FFFFFF"/>
              </w:rPr>
              <w:t>Price</w:t>
            </w:r>
          </w:p>
        </w:tc>
        <w:tc>
          <w:tcPr>
            <w:tcW w:w="940" w:type="dxa"/>
            <w:vAlign w:val="bottom"/>
            <w:tcBorders>
              <w:right w:val="single" w:sz="8" w:color="00739D"/>
            </w:tcBorders>
            <w:shd w:val="clear" w:color="auto" w:fill="00739D"/>
          </w:tcPr>
          <w:p>
            <w:pPr>
              <w:jc w:val="center"/>
              <w:ind w:right="15"/>
              <w:spacing w:after="0"/>
              <w:rPr>
                <w:sz w:val="20"/>
                <w:szCs w:val="20"/>
                <w:color w:val="auto"/>
              </w:rPr>
            </w:pPr>
            <w:r>
              <w:rPr>
                <w:rFonts w:ascii="Arial" w:cs="Arial" w:eastAsia="Arial" w:hAnsi="Arial"/>
                <w:sz w:val="13"/>
                <w:szCs w:val="13"/>
                <w:b w:val="1"/>
                <w:bCs w:val="1"/>
                <w:color w:val="FFFFFF"/>
                <w:w w:val="97"/>
              </w:rPr>
              <w:t>Expiration</w:t>
            </w:r>
          </w:p>
        </w:tc>
        <w:tc>
          <w:tcPr>
            <w:tcW w:w="9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3"/>
              </w:rPr>
              <w:t>Vested</w:t>
            </w:r>
          </w:p>
        </w:tc>
        <w:tc>
          <w:tcPr>
            <w:tcW w:w="1020" w:type="dxa"/>
            <w:vAlign w:val="bottom"/>
            <w:shd w:val="clear" w:color="auto" w:fill="00739D"/>
          </w:tcPr>
          <w:p>
            <w:pPr>
              <w:jc w:val="right"/>
              <w:spacing w:after="0" w:line="148" w:lineRule="exact"/>
              <w:rPr>
                <w:sz w:val="20"/>
                <w:szCs w:val="20"/>
                <w:color w:val="auto"/>
              </w:rPr>
            </w:pPr>
            <w:r>
              <w:rPr>
                <w:rFonts w:ascii="Arial" w:cs="Arial" w:eastAsia="Arial" w:hAnsi="Arial"/>
                <w:sz w:val="13"/>
                <w:szCs w:val="13"/>
                <w:b w:val="1"/>
                <w:bCs w:val="1"/>
                <w:color w:val="FFFFFF"/>
              </w:rPr>
              <w:t>Vested</w:t>
            </w:r>
            <w:r>
              <w:rPr>
                <w:rFonts w:ascii="Arial" w:cs="Arial" w:eastAsia="Arial" w:hAnsi="Arial"/>
                <w:sz w:val="16"/>
                <w:szCs w:val="16"/>
                <w:b w:val="1"/>
                <w:bCs w:val="1"/>
                <w:color w:val="FFFFFF"/>
                <w:vertAlign w:val="superscript"/>
              </w:rPr>
              <w:t>(13)</w:t>
            </w:r>
          </w:p>
        </w:tc>
        <w:tc>
          <w:tcPr>
            <w:tcW w:w="11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Not Vested</w:t>
            </w:r>
          </w:p>
        </w:tc>
        <w:tc>
          <w:tcPr>
            <w:tcW w:w="1360" w:type="dxa"/>
            <w:vAlign w:val="bottom"/>
            <w:shd w:val="clear" w:color="auto" w:fill="00739D"/>
          </w:tcPr>
          <w:p>
            <w:pPr>
              <w:jc w:val="right"/>
              <w:ind w:right="96"/>
              <w:spacing w:after="0" w:line="148" w:lineRule="exact"/>
              <w:rPr>
                <w:sz w:val="20"/>
                <w:szCs w:val="20"/>
                <w:color w:val="auto"/>
              </w:rPr>
            </w:pPr>
            <w:r>
              <w:rPr>
                <w:rFonts w:ascii="Arial" w:cs="Arial" w:eastAsia="Arial" w:hAnsi="Arial"/>
                <w:sz w:val="13"/>
                <w:szCs w:val="13"/>
                <w:b w:val="1"/>
                <w:bCs w:val="1"/>
                <w:color w:val="FFFFFF"/>
                <w:w w:val="97"/>
              </w:rPr>
              <w:t>Have Not Vested</w:t>
            </w:r>
            <w:r>
              <w:rPr>
                <w:rFonts w:ascii="Arial" w:cs="Arial" w:eastAsia="Arial" w:hAnsi="Arial"/>
                <w:sz w:val="16"/>
                <w:szCs w:val="16"/>
                <w:b w:val="1"/>
                <w:bCs w:val="1"/>
                <w:color w:val="FFFFFF"/>
                <w:w w:val="97"/>
                <w:vertAlign w:val="superscript"/>
              </w:rPr>
              <w:t>(14)</w:t>
            </w:r>
          </w:p>
        </w:tc>
        <w:tc>
          <w:tcPr>
            <w:tcW w:w="0" w:type="dxa"/>
            <w:vAlign w:val="bottom"/>
          </w:tcPr>
          <w:p>
            <w:pPr>
              <w:spacing w:after="0"/>
              <w:rPr>
                <w:sz w:val="1"/>
                <w:szCs w:val="1"/>
                <w:color w:val="auto"/>
              </w:rPr>
            </w:pPr>
          </w:p>
        </w:tc>
      </w:tr>
      <w:tr>
        <w:trPr>
          <w:trHeight w:val="168"/>
        </w:trPr>
        <w:tc>
          <w:tcPr>
            <w:tcW w:w="120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w:t>
            </w:r>
          </w:p>
        </w:tc>
        <w:tc>
          <w:tcPr>
            <w:tcW w:w="860" w:type="dxa"/>
            <w:vAlign w:val="bottom"/>
            <w:shd w:val="clear" w:color="auto" w:fill="00739D"/>
          </w:tcPr>
          <w:p>
            <w:pPr>
              <w:ind w:left="140"/>
              <w:spacing w:after="0"/>
              <w:rPr>
                <w:sz w:val="20"/>
                <w:szCs w:val="20"/>
                <w:color w:val="auto"/>
              </w:rPr>
            </w:pPr>
            <w:r>
              <w:rPr>
                <w:rFonts w:ascii="Arial" w:cs="Arial" w:eastAsia="Arial" w:hAnsi="Arial"/>
                <w:sz w:val="13"/>
                <w:szCs w:val="13"/>
                <w:b w:val="1"/>
                <w:bCs w:val="1"/>
                <w:color w:val="FFFFFF"/>
              </w:rPr>
              <w:t>Grant Date</w:t>
            </w:r>
          </w:p>
        </w:tc>
        <w:tc>
          <w:tcPr>
            <w:tcW w:w="540" w:type="dxa"/>
            <w:vAlign w:val="bottom"/>
            <w:shd w:val="clear" w:color="auto" w:fill="00739D"/>
          </w:tcPr>
          <w:p>
            <w:pPr>
              <w:spacing w:after="0"/>
              <w:rPr>
                <w:sz w:val="14"/>
                <w:szCs w:val="14"/>
                <w:color w:val="auto"/>
              </w:rPr>
            </w:pPr>
          </w:p>
        </w:tc>
        <w:tc>
          <w:tcPr>
            <w:tcW w:w="11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Exercisable</w:t>
            </w:r>
          </w:p>
        </w:tc>
        <w:tc>
          <w:tcPr>
            <w:tcW w:w="1480" w:type="dxa"/>
            <w:vAlign w:val="bottom"/>
            <w:shd w:val="clear" w:color="auto" w:fill="00739D"/>
          </w:tcPr>
          <w:p>
            <w:pPr>
              <w:jc w:val="center"/>
              <w:ind w:right="216"/>
              <w:spacing w:after="0"/>
              <w:rPr>
                <w:sz w:val="20"/>
                <w:szCs w:val="20"/>
                <w:color w:val="auto"/>
              </w:rPr>
            </w:pPr>
            <w:r>
              <w:rPr>
                <w:rFonts w:ascii="Arial" w:cs="Arial" w:eastAsia="Arial" w:hAnsi="Arial"/>
                <w:sz w:val="13"/>
                <w:szCs w:val="13"/>
                <w:b w:val="1"/>
                <w:bCs w:val="1"/>
                <w:color w:val="FFFFFF"/>
                <w:w w:val="95"/>
              </w:rPr>
              <w:t>Unexercisable</w:t>
            </w:r>
          </w:p>
        </w:tc>
        <w:tc>
          <w:tcPr>
            <w:tcW w:w="660" w:type="dxa"/>
            <w:vAlign w:val="bottom"/>
            <w:shd w:val="clear" w:color="auto" w:fill="00739D"/>
          </w:tcPr>
          <w:p>
            <w:pPr>
              <w:jc w:val="right"/>
              <w:ind w:right="35"/>
              <w:spacing w:after="0"/>
              <w:rPr>
                <w:sz w:val="20"/>
                <w:szCs w:val="20"/>
                <w:color w:val="auto"/>
              </w:rPr>
            </w:pPr>
            <w:r>
              <w:rPr>
                <w:rFonts w:ascii="Arial" w:cs="Arial" w:eastAsia="Arial" w:hAnsi="Arial"/>
                <w:sz w:val="13"/>
                <w:szCs w:val="13"/>
                <w:b w:val="1"/>
                <w:bCs w:val="1"/>
                <w:color w:val="FFFFFF"/>
              </w:rPr>
              <w:t>($)</w:t>
            </w:r>
          </w:p>
        </w:tc>
        <w:tc>
          <w:tcPr>
            <w:tcW w:w="940" w:type="dxa"/>
            <w:vAlign w:val="bottom"/>
            <w:tcBorders>
              <w:right w:val="single" w:sz="8" w:color="00739D"/>
            </w:tcBorders>
            <w:shd w:val="clear" w:color="auto" w:fill="00739D"/>
          </w:tcPr>
          <w:p>
            <w:pPr>
              <w:jc w:val="center"/>
              <w:ind w:right="15"/>
              <w:spacing w:after="0"/>
              <w:rPr>
                <w:sz w:val="20"/>
                <w:szCs w:val="20"/>
                <w:color w:val="auto"/>
              </w:rPr>
            </w:pPr>
            <w:r>
              <w:rPr>
                <w:rFonts w:ascii="Arial" w:cs="Arial" w:eastAsia="Arial" w:hAnsi="Arial"/>
                <w:sz w:val="13"/>
                <w:szCs w:val="13"/>
                <w:b w:val="1"/>
                <w:bCs w:val="1"/>
                <w:color w:val="FFFFFF"/>
                <w:w w:val="92"/>
              </w:rPr>
              <w:t>Date</w:t>
            </w:r>
          </w:p>
        </w:tc>
        <w:tc>
          <w:tcPr>
            <w:tcW w:w="9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t>
            </w:r>
          </w:p>
        </w:tc>
        <w:tc>
          <w:tcPr>
            <w:tcW w:w="1020" w:type="dxa"/>
            <w:vAlign w:val="bottom"/>
            <w:shd w:val="clear" w:color="auto" w:fill="00739D"/>
          </w:tcPr>
          <w:p>
            <w:pPr>
              <w:jc w:val="right"/>
              <w:spacing w:after="0"/>
              <w:rPr>
                <w:sz w:val="20"/>
                <w:szCs w:val="20"/>
                <w:color w:val="auto"/>
              </w:rPr>
            </w:pPr>
            <w:r>
              <w:rPr>
                <w:rFonts w:ascii="Arial" w:cs="Arial" w:eastAsia="Arial" w:hAnsi="Arial"/>
                <w:sz w:val="13"/>
                <w:szCs w:val="13"/>
                <w:b w:val="1"/>
                <w:bCs w:val="1"/>
                <w:color w:val="FFFFFF"/>
              </w:rPr>
              <w:t>($)</w:t>
            </w:r>
          </w:p>
        </w:tc>
        <w:tc>
          <w:tcPr>
            <w:tcW w:w="11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87"/>
              </w:rPr>
              <w:t>(#)</w:t>
            </w:r>
          </w:p>
        </w:tc>
        <w:tc>
          <w:tcPr>
            <w:tcW w:w="1360" w:type="dxa"/>
            <w:vAlign w:val="bottom"/>
            <w:shd w:val="clear" w:color="auto" w:fill="00739D"/>
          </w:tcPr>
          <w:p>
            <w:pPr>
              <w:jc w:val="right"/>
              <w:ind w:right="96"/>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83"/>
        </w:trPr>
        <w:tc>
          <w:tcPr>
            <w:tcW w:w="1200" w:type="dxa"/>
            <w:vAlign w:val="bottom"/>
            <w:shd w:val="clear" w:color="auto" w:fill="00739D"/>
          </w:tcPr>
          <w:p>
            <w:pPr>
              <w:spacing w:after="0"/>
              <w:rPr>
                <w:sz w:val="7"/>
                <w:szCs w:val="7"/>
                <w:color w:val="auto"/>
              </w:rPr>
            </w:pPr>
          </w:p>
        </w:tc>
        <w:tc>
          <w:tcPr>
            <w:tcW w:w="860" w:type="dxa"/>
            <w:vAlign w:val="bottom"/>
            <w:shd w:val="clear" w:color="auto" w:fill="00739D"/>
          </w:tcPr>
          <w:p>
            <w:pPr>
              <w:spacing w:after="0"/>
              <w:rPr>
                <w:sz w:val="7"/>
                <w:szCs w:val="7"/>
                <w:color w:val="auto"/>
              </w:rPr>
            </w:pPr>
          </w:p>
        </w:tc>
        <w:tc>
          <w:tcPr>
            <w:tcW w:w="540" w:type="dxa"/>
            <w:vAlign w:val="bottom"/>
            <w:shd w:val="clear" w:color="auto" w:fill="00739D"/>
          </w:tcPr>
          <w:p>
            <w:pPr>
              <w:spacing w:after="0"/>
              <w:rPr>
                <w:sz w:val="7"/>
                <w:szCs w:val="7"/>
                <w:color w:val="auto"/>
              </w:rPr>
            </w:pPr>
          </w:p>
        </w:tc>
        <w:tc>
          <w:tcPr>
            <w:tcW w:w="1120" w:type="dxa"/>
            <w:vAlign w:val="bottom"/>
            <w:shd w:val="clear" w:color="auto" w:fill="00739D"/>
          </w:tcPr>
          <w:p>
            <w:pPr>
              <w:spacing w:after="0"/>
              <w:rPr>
                <w:sz w:val="7"/>
                <w:szCs w:val="7"/>
                <w:color w:val="auto"/>
              </w:rPr>
            </w:pPr>
          </w:p>
        </w:tc>
        <w:tc>
          <w:tcPr>
            <w:tcW w:w="1480" w:type="dxa"/>
            <w:vAlign w:val="bottom"/>
            <w:shd w:val="clear" w:color="auto" w:fill="00739D"/>
          </w:tcPr>
          <w:p>
            <w:pPr>
              <w:spacing w:after="0"/>
              <w:rPr>
                <w:sz w:val="7"/>
                <w:szCs w:val="7"/>
                <w:color w:val="auto"/>
              </w:rPr>
            </w:pPr>
          </w:p>
        </w:tc>
        <w:tc>
          <w:tcPr>
            <w:tcW w:w="660" w:type="dxa"/>
            <w:vAlign w:val="bottom"/>
            <w:shd w:val="clear" w:color="auto" w:fill="00739D"/>
          </w:tcPr>
          <w:p>
            <w:pPr>
              <w:spacing w:after="0"/>
              <w:rPr>
                <w:sz w:val="7"/>
                <w:szCs w:val="7"/>
                <w:color w:val="auto"/>
              </w:rPr>
            </w:pPr>
          </w:p>
        </w:tc>
        <w:tc>
          <w:tcPr>
            <w:tcW w:w="940" w:type="dxa"/>
            <w:vAlign w:val="bottom"/>
            <w:tcBorders>
              <w:right w:val="single" w:sz="8" w:color="00739D"/>
            </w:tcBorders>
            <w:shd w:val="clear" w:color="auto" w:fill="00739D"/>
          </w:tcPr>
          <w:p>
            <w:pPr>
              <w:spacing w:after="0"/>
              <w:rPr>
                <w:sz w:val="7"/>
                <w:szCs w:val="7"/>
                <w:color w:val="auto"/>
              </w:rPr>
            </w:pPr>
          </w:p>
        </w:tc>
        <w:tc>
          <w:tcPr>
            <w:tcW w:w="900" w:type="dxa"/>
            <w:vAlign w:val="bottom"/>
            <w:shd w:val="clear" w:color="auto" w:fill="00739D"/>
          </w:tcPr>
          <w:p>
            <w:pPr>
              <w:spacing w:after="0"/>
              <w:rPr>
                <w:sz w:val="7"/>
                <w:szCs w:val="7"/>
                <w:color w:val="auto"/>
              </w:rPr>
            </w:pPr>
          </w:p>
        </w:tc>
        <w:tc>
          <w:tcPr>
            <w:tcW w:w="1020" w:type="dxa"/>
            <w:vAlign w:val="bottom"/>
            <w:shd w:val="clear" w:color="auto" w:fill="00739D"/>
          </w:tcPr>
          <w:p>
            <w:pPr>
              <w:spacing w:after="0"/>
              <w:rPr>
                <w:sz w:val="7"/>
                <w:szCs w:val="7"/>
                <w:color w:val="auto"/>
              </w:rPr>
            </w:pPr>
          </w:p>
        </w:tc>
        <w:tc>
          <w:tcPr>
            <w:tcW w:w="1160" w:type="dxa"/>
            <w:vAlign w:val="bottom"/>
            <w:shd w:val="clear" w:color="auto" w:fill="00739D"/>
          </w:tcPr>
          <w:p>
            <w:pPr>
              <w:spacing w:after="0"/>
              <w:rPr>
                <w:sz w:val="7"/>
                <w:szCs w:val="7"/>
                <w:color w:val="auto"/>
              </w:rPr>
            </w:pPr>
          </w:p>
        </w:tc>
        <w:tc>
          <w:tcPr>
            <w:tcW w:w="1360" w:type="dxa"/>
            <w:vAlign w:val="bottom"/>
            <w:shd w:val="clear" w:color="auto" w:fill="00739D"/>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2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0E191E"/>
              </w:rPr>
              <w:t>3/8/2013</w:t>
            </w:r>
          </w:p>
        </w:tc>
        <w:tc>
          <w:tcPr>
            <w:tcW w:w="540" w:type="dxa"/>
            <w:vAlign w:val="bottom"/>
          </w:tcPr>
          <w:p>
            <w:pPr>
              <w:ind w:left="80"/>
              <w:spacing w:after="0"/>
              <w:rPr>
                <w:sz w:val="20"/>
                <w:szCs w:val="20"/>
                <w:color w:val="auto"/>
              </w:rPr>
            </w:pPr>
            <w:r>
              <w:rPr>
                <w:rFonts w:ascii="Arial" w:cs="Arial" w:eastAsia="Arial" w:hAnsi="Arial"/>
                <w:sz w:val="15"/>
                <w:szCs w:val="15"/>
                <w:color w:val="0E191E"/>
              </w:rPr>
              <w:t>(10)</w:t>
            </w:r>
          </w:p>
        </w:tc>
        <w:tc>
          <w:tcPr>
            <w:tcW w:w="1120" w:type="dxa"/>
            <w:vAlign w:val="bottom"/>
          </w:tcPr>
          <w:p>
            <w:pPr>
              <w:jc w:val="center"/>
              <w:spacing w:after="0"/>
              <w:rPr>
                <w:sz w:val="20"/>
                <w:szCs w:val="20"/>
                <w:color w:val="auto"/>
              </w:rPr>
            </w:pPr>
            <w:r>
              <w:rPr>
                <w:rFonts w:ascii="Arial" w:cs="Arial" w:eastAsia="Arial" w:hAnsi="Arial"/>
                <w:sz w:val="13"/>
                <w:szCs w:val="13"/>
                <w:color w:val="0E191E"/>
              </w:rPr>
              <w:t>192</w:t>
            </w:r>
          </w:p>
        </w:tc>
        <w:tc>
          <w:tcPr>
            <w:tcW w:w="1480" w:type="dxa"/>
            <w:vAlign w:val="bottom"/>
          </w:tcPr>
          <w:p>
            <w:pPr>
              <w:spacing w:after="0"/>
              <w:rPr>
                <w:sz w:val="22"/>
                <w:szCs w:val="22"/>
                <w:color w:val="auto"/>
              </w:rPr>
            </w:pPr>
          </w:p>
        </w:tc>
        <w:tc>
          <w:tcPr>
            <w:tcW w:w="660" w:type="dxa"/>
            <w:vAlign w:val="bottom"/>
          </w:tcPr>
          <w:p>
            <w:pPr>
              <w:jc w:val="right"/>
              <w:ind w:right="95"/>
              <w:spacing w:after="0"/>
              <w:rPr>
                <w:sz w:val="20"/>
                <w:szCs w:val="20"/>
                <w:color w:val="auto"/>
              </w:rPr>
            </w:pPr>
            <w:r>
              <w:rPr>
                <w:rFonts w:ascii="Arial" w:cs="Arial" w:eastAsia="Arial" w:hAnsi="Arial"/>
                <w:sz w:val="13"/>
                <w:szCs w:val="13"/>
                <w:color w:val="0E191E"/>
              </w:rPr>
              <w:t>36.97</w:t>
            </w:r>
          </w:p>
        </w:tc>
        <w:tc>
          <w:tcPr>
            <w:tcW w:w="940" w:type="dxa"/>
            <w:vAlign w:val="bottom"/>
          </w:tcPr>
          <w:p>
            <w:pPr>
              <w:jc w:val="center"/>
              <w:ind w:right="55"/>
              <w:spacing w:after="0"/>
              <w:rPr>
                <w:sz w:val="20"/>
                <w:szCs w:val="20"/>
                <w:color w:val="auto"/>
              </w:rPr>
            </w:pPr>
            <w:r>
              <w:rPr>
                <w:rFonts w:ascii="Arial" w:cs="Arial" w:eastAsia="Arial" w:hAnsi="Arial"/>
                <w:sz w:val="13"/>
                <w:szCs w:val="13"/>
                <w:color w:val="0E191E"/>
              </w:rPr>
              <w:t>3/8/2023</w:t>
            </w:r>
          </w:p>
        </w:tc>
        <w:tc>
          <w:tcPr>
            <w:tcW w:w="9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1200" w:type="dxa"/>
            <w:vAlign w:val="bottom"/>
          </w:tcPr>
          <w:p>
            <w:pPr>
              <w:spacing w:after="0"/>
              <w:rPr>
                <w:sz w:val="5"/>
                <w:szCs w:val="5"/>
                <w:color w:val="auto"/>
              </w:rPr>
            </w:pPr>
          </w:p>
        </w:tc>
        <w:tc>
          <w:tcPr>
            <w:tcW w:w="860" w:type="dxa"/>
            <w:vAlign w:val="bottom"/>
            <w:tcBorders>
              <w:bottom w:val="single" w:sz="8" w:color="0E191E"/>
            </w:tcBorders>
          </w:tcPr>
          <w:p>
            <w:pPr>
              <w:spacing w:after="0"/>
              <w:rPr>
                <w:sz w:val="5"/>
                <w:szCs w:val="5"/>
                <w:color w:val="auto"/>
              </w:rPr>
            </w:pPr>
          </w:p>
        </w:tc>
        <w:tc>
          <w:tcPr>
            <w:tcW w:w="540" w:type="dxa"/>
            <w:vAlign w:val="bottom"/>
            <w:tcBorders>
              <w:bottom w:val="single" w:sz="8" w:color="0E191E"/>
            </w:tcBorders>
          </w:tcPr>
          <w:p>
            <w:pPr>
              <w:spacing w:after="0"/>
              <w:rPr>
                <w:sz w:val="5"/>
                <w:szCs w:val="5"/>
                <w:color w:val="auto"/>
              </w:rPr>
            </w:pPr>
          </w:p>
        </w:tc>
        <w:tc>
          <w:tcPr>
            <w:tcW w:w="1120" w:type="dxa"/>
            <w:vAlign w:val="bottom"/>
            <w:tcBorders>
              <w:bottom w:val="single" w:sz="8" w:color="0E191E"/>
            </w:tcBorders>
          </w:tcPr>
          <w:p>
            <w:pPr>
              <w:spacing w:after="0"/>
              <w:rPr>
                <w:sz w:val="5"/>
                <w:szCs w:val="5"/>
                <w:color w:val="auto"/>
              </w:rPr>
            </w:pPr>
          </w:p>
        </w:tc>
        <w:tc>
          <w:tcPr>
            <w:tcW w:w="1480" w:type="dxa"/>
            <w:vAlign w:val="bottom"/>
            <w:tcBorders>
              <w:bottom w:val="single" w:sz="8" w:color="0E191E"/>
            </w:tcBorders>
          </w:tcPr>
          <w:p>
            <w:pPr>
              <w:spacing w:after="0"/>
              <w:rPr>
                <w:sz w:val="5"/>
                <w:szCs w:val="5"/>
                <w:color w:val="auto"/>
              </w:rPr>
            </w:pPr>
          </w:p>
        </w:tc>
        <w:tc>
          <w:tcPr>
            <w:tcW w:w="66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00" w:type="dxa"/>
            <w:vAlign w:val="bottom"/>
            <w:tcBorders>
              <w:bottom w:val="single" w:sz="8" w:color="0E191E"/>
            </w:tcBorders>
          </w:tcPr>
          <w:p>
            <w:pPr>
              <w:spacing w:after="0"/>
              <w:rPr>
                <w:sz w:val="5"/>
                <w:szCs w:val="5"/>
                <w:color w:val="auto"/>
              </w:rPr>
            </w:pPr>
          </w:p>
        </w:tc>
        <w:tc>
          <w:tcPr>
            <w:tcW w:w="1020" w:type="dxa"/>
            <w:vAlign w:val="bottom"/>
            <w:tcBorders>
              <w:bottom w:val="single" w:sz="8" w:color="0E191E"/>
            </w:tcBorders>
          </w:tcPr>
          <w:p>
            <w:pPr>
              <w:spacing w:after="0"/>
              <w:rPr>
                <w:sz w:val="5"/>
                <w:szCs w:val="5"/>
                <w:color w:val="auto"/>
              </w:rPr>
            </w:pPr>
          </w:p>
        </w:tc>
        <w:tc>
          <w:tcPr>
            <w:tcW w:w="116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0E191E"/>
              </w:rPr>
              <w:t>9/13/2013</w:t>
            </w:r>
          </w:p>
        </w:tc>
        <w:tc>
          <w:tcPr>
            <w:tcW w:w="540" w:type="dxa"/>
            <w:vAlign w:val="bottom"/>
          </w:tcPr>
          <w:p>
            <w:pPr>
              <w:ind w:left="80"/>
              <w:spacing w:after="0"/>
              <w:rPr>
                <w:sz w:val="20"/>
                <w:szCs w:val="20"/>
                <w:color w:val="auto"/>
              </w:rPr>
            </w:pPr>
            <w:r>
              <w:rPr>
                <w:rFonts w:ascii="Arial" w:cs="Arial" w:eastAsia="Arial" w:hAnsi="Arial"/>
                <w:sz w:val="15"/>
                <w:szCs w:val="15"/>
                <w:color w:val="0E191E"/>
              </w:rPr>
              <w:t>(10)</w:t>
            </w:r>
          </w:p>
        </w:tc>
        <w:tc>
          <w:tcPr>
            <w:tcW w:w="1120" w:type="dxa"/>
            <w:vAlign w:val="bottom"/>
          </w:tcPr>
          <w:p>
            <w:pPr>
              <w:jc w:val="center"/>
              <w:spacing w:after="0"/>
              <w:rPr>
                <w:sz w:val="20"/>
                <w:szCs w:val="20"/>
                <w:color w:val="auto"/>
              </w:rPr>
            </w:pPr>
            <w:r>
              <w:rPr>
                <w:rFonts w:ascii="Arial" w:cs="Arial" w:eastAsia="Arial" w:hAnsi="Arial"/>
                <w:sz w:val="13"/>
                <w:szCs w:val="13"/>
                <w:color w:val="0E191E"/>
                <w:w w:val="96"/>
              </w:rPr>
              <w:t>42</w:t>
            </w:r>
          </w:p>
        </w:tc>
        <w:tc>
          <w:tcPr>
            <w:tcW w:w="1480" w:type="dxa"/>
            <w:vAlign w:val="bottom"/>
          </w:tcPr>
          <w:p>
            <w:pPr>
              <w:spacing w:after="0"/>
              <w:rPr>
                <w:sz w:val="21"/>
                <w:szCs w:val="21"/>
                <w:color w:val="auto"/>
              </w:rPr>
            </w:pPr>
          </w:p>
        </w:tc>
        <w:tc>
          <w:tcPr>
            <w:tcW w:w="660" w:type="dxa"/>
            <w:vAlign w:val="bottom"/>
          </w:tcPr>
          <w:p>
            <w:pPr>
              <w:jc w:val="right"/>
              <w:ind w:right="95"/>
              <w:spacing w:after="0"/>
              <w:rPr>
                <w:sz w:val="20"/>
                <w:szCs w:val="20"/>
                <w:color w:val="auto"/>
              </w:rPr>
            </w:pPr>
            <w:r>
              <w:rPr>
                <w:rFonts w:ascii="Arial" w:cs="Arial" w:eastAsia="Arial" w:hAnsi="Arial"/>
                <w:sz w:val="13"/>
                <w:szCs w:val="13"/>
                <w:color w:val="0E191E"/>
              </w:rPr>
              <w:t>46.77</w:t>
            </w:r>
          </w:p>
        </w:tc>
        <w:tc>
          <w:tcPr>
            <w:tcW w:w="940" w:type="dxa"/>
            <w:vAlign w:val="bottom"/>
          </w:tcPr>
          <w:p>
            <w:pPr>
              <w:jc w:val="center"/>
              <w:ind w:right="35"/>
              <w:spacing w:after="0"/>
              <w:rPr>
                <w:sz w:val="20"/>
                <w:szCs w:val="20"/>
                <w:color w:val="auto"/>
              </w:rPr>
            </w:pPr>
            <w:r>
              <w:rPr>
                <w:rFonts w:ascii="Arial" w:cs="Arial" w:eastAsia="Arial" w:hAnsi="Arial"/>
                <w:sz w:val="13"/>
                <w:szCs w:val="13"/>
                <w:color w:val="0E191E"/>
              </w:rPr>
              <w:t>9/13/2023</w:t>
            </w:r>
          </w:p>
        </w:tc>
        <w:tc>
          <w:tcPr>
            <w:tcW w:w="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00" w:type="dxa"/>
            <w:vAlign w:val="bottom"/>
          </w:tcPr>
          <w:p>
            <w:pPr>
              <w:spacing w:after="0"/>
              <w:rPr>
                <w:sz w:val="5"/>
                <w:szCs w:val="5"/>
                <w:color w:val="auto"/>
              </w:rPr>
            </w:pPr>
          </w:p>
        </w:tc>
        <w:tc>
          <w:tcPr>
            <w:tcW w:w="860" w:type="dxa"/>
            <w:vAlign w:val="bottom"/>
            <w:tcBorders>
              <w:bottom w:val="single" w:sz="8" w:color="0E191E"/>
            </w:tcBorders>
          </w:tcPr>
          <w:p>
            <w:pPr>
              <w:spacing w:after="0"/>
              <w:rPr>
                <w:sz w:val="5"/>
                <w:szCs w:val="5"/>
                <w:color w:val="auto"/>
              </w:rPr>
            </w:pPr>
          </w:p>
        </w:tc>
        <w:tc>
          <w:tcPr>
            <w:tcW w:w="540" w:type="dxa"/>
            <w:vAlign w:val="bottom"/>
            <w:tcBorders>
              <w:bottom w:val="single" w:sz="8" w:color="0E191E"/>
            </w:tcBorders>
          </w:tcPr>
          <w:p>
            <w:pPr>
              <w:spacing w:after="0"/>
              <w:rPr>
                <w:sz w:val="5"/>
                <w:szCs w:val="5"/>
                <w:color w:val="auto"/>
              </w:rPr>
            </w:pPr>
          </w:p>
        </w:tc>
        <w:tc>
          <w:tcPr>
            <w:tcW w:w="1120" w:type="dxa"/>
            <w:vAlign w:val="bottom"/>
            <w:tcBorders>
              <w:bottom w:val="single" w:sz="8" w:color="0E191E"/>
            </w:tcBorders>
          </w:tcPr>
          <w:p>
            <w:pPr>
              <w:spacing w:after="0"/>
              <w:rPr>
                <w:sz w:val="5"/>
                <w:szCs w:val="5"/>
                <w:color w:val="auto"/>
              </w:rPr>
            </w:pPr>
          </w:p>
        </w:tc>
        <w:tc>
          <w:tcPr>
            <w:tcW w:w="1480" w:type="dxa"/>
            <w:vAlign w:val="bottom"/>
            <w:tcBorders>
              <w:bottom w:val="single" w:sz="8" w:color="0E191E"/>
            </w:tcBorders>
          </w:tcPr>
          <w:p>
            <w:pPr>
              <w:spacing w:after="0"/>
              <w:rPr>
                <w:sz w:val="5"/>
                <w:szCs w:val="5"/>
                <w:color w:val="auto"/>
              </w:rPr>
            </w:pPr>
          </w:p>
        </w:tc>
        <w:tc>
          <w:tcPr>
            <w:tcW w:w="66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00" w:type="dxa"/>
            <w:vAlign w:val="bottom"/>
            <w:tcBorders>
              <w:bottom w:val="single" w:sz="8" w:color="0E191E"/>
            </w:tcBorders>
          </w:tcPr>
          <w:p>
            <w:pPr>
              <w:spacing w:after="0"/>
              <w:rPr>
                <w:sz w:val="5"/>
                <w:szCs w:val="5"/>
                <w:color w:val="auto"/>
              </w:rPr>
            </w:pPr>
          </w:p>
        </w:tc>
        <w:tc>
          <w:tcPr>
            <w:tcW w:w="1020" w:type="dxa"/>
            <w:vAlign w:val="bottom"/>
            <w:tcBorders>
              <w:bottom w:val="single" w:sz="8" w:color="0E191E"/>
            </w:tcBorders>
          </w:tcPr>
          <w:p>
            <w:pPr>
              <w:spacing w:after="0"/>
              <w:rPr>
                <w:sz w:val="5"/>
                <w:szCs w:val="5"/>
                <w:color w:val="auto"/>
              </w:rPr>
            </w:pPr>
          </w:p>
        </w:tc>
        <w:tc>
          <w:tcPr>
            <w:tcW w:w="116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0E191E"/>
              </w:rPr>
              <w:t>9/4/2014</w:t>
            </w:r>
          </w:p>
        </w:tc>
        <w:tc>
          <w:tcPr>
            <w:tcW w:w="540" w:type="dxa"/>
            <w:vAlign w:val="bottom"/>
          </w:tcPr>
          <w:p>
            <w:pPr>
              <w:ind w:left="80"/>
              <w:spacing w:after="0"/>
              <w:rPr>
                <w:sz w:val="20"/>
                <w:szCs w:val="20"/>
                <w:color w:val="auto"/>
              </w:rPr>
            </w:pPr>
            <w:r>
              <w:rPr>
                <w:rFonts w:ascii="Arial" w:cs="Arial" w:eastAsia="Arial" w:hAnsi="Arial"/>
                <w:sz w:val="15"/>
                <w:szCs w:val="15"/>
                <w:color w:val="0E191E"/>
              </w:rPr>
              <w:t>(10)</w:t>
            </w:r>
          </w:p>
        </w:tc>
        <w:tc>
          <w:tcPr>
            <w:tcW w:w="1120" w:type="dxa"/>
            <w:vAlign w:val="bottom"/>
          </w:tcPr>
          <w:p>
            <w:pPr>
              <w:jc w:val="center"/>
              <w:spacing w:after="0"/>
              <w:rPr>
                <w:sz w:val="20"/>
                <w:szCs w:val="20"/>
                <w:color w:val="auto"/>
              </w:rPr>
            </w:pPr>
            <w:r>
              <w:rPr>
                <w:rFonts w:ascii="Arial" w:cs="Arial" w:eastAsia="Arial" w:hAnsi="Arial"/>
                <w:sz w:val="13"/>
                <w:szCs w:val="13"/>
                <w:color w:val="0E191E"/>
              </w:rPr>
              <w:t>105</w:t>
            </w:r>
          </w:p>
        </w:tc>
        <w:tc>
          <w:tcPr>
            <w:tcW w:w="1480" w:type="dxa"/>
            <w:vAlign w:val="bottom"/>
          </w:tcPr>
          <w:p>
            <w:pPr>
              <w:spacing w:after="0"/>
              <w:rPr>
                <w:sz w:val="21"/>
                <w:szCs w:val="21"/>
                <w:color w:val="auto"/>
              </w:rPr>
            </w:pPr>
          </w:p>
        </w:tc>
        <w:tc>
          <w:tcPr>
            <w:tcW w:w="660" w:type="dxa"/>
            <w:vAlign w:val="bottom"/>
          </w:tcPr>
          <w:p>
            <w:pPr>
              <w:jc w:val="right"/>
              <w:ind w:right="95"/>
              <w:spacing w:after="0"/>
              <w:rPr>
                <w:sz w:val="20"/>
                <w:szCs w:val="20"/>
                <w:color w:val="auto"/>
              </w:rPr>
            </w:pPr>
            <w:r>
              <w:rPr>
                <w:rFonts w:ascii="Arial" w:cs="Arial" w:eastAsia="Arial" w:hAnsi="Arial"/>
                <w:sz w:val="13"/>
                <w:szCs w:val="13"/>
                <w:color w:val="0E191E"/>
              </w:rPr>
              <w:t>45.27</w:t>
            </w:r>
          </w:p>
        </w:tc>
        <w:tc>
          <w:tcPr>
            <w:tcW w:w="940" w:type="dxa"/>
            <w:vAlign w:val="bottom"/>
          </w:tcPr>
          <w:p>
            <w:pPr>
              <w:jc w:val="center"/>
              <w:ind w:right="55"/>
              <w:spacing w:after="0"/>
              <w:rPr>
                <w:sz w:val="20"/>
                <w:szCs w:val="20"/>
                <w:color w:val="auto"/>
              </w:rPr>
            </w:pPr>
            <w:r>
              <w:rPr>
                <w:rFonts w:ascii="Arial" w:cs="Arial" w:eastAsia="Arial" w:hAnsi="Arial"/>
                <w:sz w:val="13"/>
                <w:szCs w:val="13"/>
                <w:color w:val="0E191E"/>
              </w:rPr>
              <w:t>9/4/2024</w:t>
            </w:r>
          </w:p>
        </w:tc>
        <w:tc>
          <w:tcPr>
            <w:tcW w:w="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00" w:type="dxa"/>
            <w:vAlign w:val="bottom"/>
          </w:tcPr>
          <w:p>
            <w:pPr>
              <w:spacing w:after="0"/>
              <w:rPr>
                <w:sz w:val="5"/>
                <w:szCs w:val="5"/>
                <w:color w:val="auto"/>
              </w:rPr>
            </w:pPr>
          </w:p>
        </w:tc>
        <w:tc>
          <w:tcPr>
            <w:tcW w:w="860" w:type="dxa"/>
            <w:vAlign w:val="bottom"/>
            <w:tcBorders>
              <w:bottom w:val="single" w:sz="8" w:color="0E191E"/>
            </w:tcBorders>
          </w:tcPr>
          <w:p>
            <w:pPr>
              <w:spacing w:after="0"/>
              <w:rPr>
                <w:sz w:val="5"/>
                <w:szCs w:val="5"/>
                <w:color w:val="auto"/>
              </w:rPr>
            </w:pPr>
          </w:p>
        </w:tc>
        <w:tc>
          <w:tcPr>
            <w:tcW w:w="540" w:type="dxa"/>
            <w:vAlign w:val="bottom"/>
            <w:tcBorders>
              <w:bottom w:val="single" w:sz="8" w:color="0E191E"/>
            </w:tcBorders>
          </w:tcPr>
          <w:p>
            <w:pPr>
              <w:spacing w:after="0"/>
              <w:rPr>
                <w:sz w:val="5"/>
                <w:szCs w:val="5"/>
                <w:color w:val="auto"/>
              </w:rPr>
            </w:pPr>
          </w:p>
        </w:tc>
        <w:tc>
          <w:tcPr>
            <w:tcW w:w="1120" w:type="dxa"/>
            <w:vAlign w:val="bottom"/>
            <w:tcBorders>
              <w:bottom w:val="single" w:sz="8" w:color="0E191E"/>
            </w:tcBorders>
          </w:tcPr>
          <w:p>
            <w:pPr>
              <w:spacing w:after="0"/>
              <w:rPr>
                <w:sz w:val="5"/>
                <w:szCs w:val="5"/>
                <w:color w:val="auto"/>
              </w:rPr>
            </w:pPr>
          </w:p>
        </w:tc>
        <w:tc>
          <w:tcPr>
            <w:tcW w:w="1480" w:type="dxa"/>
            <w:vAlign w:val="bottom"/>
            <w:tcBorders>
              <w:bottom w:val="single" w:sz="8" w:color="0E191E"/>
            </w:tcBorders>
          </w:tcPr>
          <w:p>
            <w:pPr>
              <w:spacing w:after="0"/>
              <w:rPr>
                <w:sz w:val="5"/>
                <w:szCs w:val="5"/>
                <w:color w:val="auto"/>
              </w:rPr>
            </w:pPr>
          </w:p>
        </w:tc>
        <w:tc>
          <w:tcPr>
            <w:tcW w:w="66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00" w:type="dxa"/>
            <w:vAlign w:val="bottom"/>
            <w:tcBorders>
              <w:bottom w:val="single" w:sz="8" w:color="0E191E"/>
            </w:tcBorders>
          </w:tcPr>
          <w:p>
            <w:pPr>
              <w:spacing w:after="0"/>
              <w:rPr>
                <w:sz w:val="5"/>
                <w:szCs w:val="5"/>
                <w:color w:val="auto"/>
              </w:rPr>
            </w:pPr>
          </w:p>
        </w:tc>
        <w:tc>
          <w:tcPr>
            <w:tcW w:w="1020" w:type="dxa"/>
            <w:vAlign w:val="bottom"/>
            <w:tcBorders>
              <w:bottom w:val="single" w:sz="8" w:color="0E191E"/>
            </w:tcBorders>
          </w:tcPr>
          <w:p>
            <w:pPr>
              <w:spacing w:after="0"/>
              <w:rPr>
                <w:sz w:val="5"/>
                <w:szCs w:val="5"/>
                <w:color w:val="auto"/>
              </w:rPr>
            </w:pPr>
          </w:p>
        </w:tc>
        <w:tc>
          <w:tcPr>
            <w:tcW w:w="116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0E191E"/>
              </w:rPr>
              <w:t>9/12/2017</w:t>
            </w:r>
          </w:p>
        </w:tc>
        <w:tc>
          <w:tcPr>
            <w:tcW w:w="540" w:type="dxa"/>
            <w:vAlign w:val="bottom"/>
          </w:tcPr>
          <w:p>
            <w:pPr>
              <w:ind w:left="80"/>
              <w:spacing w:after="0"/>
              <w:rPr>
                <w:sz w:val="20"/>
                <w:szCs w:val="20"/>
                <w:color w:val="auto"/>
              </w:rPr>
            </w:pPr>
            <w:r>
              <w:rPr>
                <w:rFonts w:ascii="Arial" w:cs="Arial" w:eastAsia="Arial" w:hAnsi="Arial"/>
                <w:sz w:val="15"/>
                <w:szCs w:val="15"/>
                <w:color w:val="0E191E"/>
              </w:rPr>
              <w:t>(4)</w:t>
            </w:r>
          </w:p>
        </w:tc>
        <w:tc>
          <w:tcPr>
            <w:tcW w:w="1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444</w:t>
            </w:r>
          </w:p>
        </w:tc>
        <w:tc>
          <w:tcPr>
            <w:tcW w:w="1020" w:type="dxa"/>
            <w:vAlign w:val="bottom"/>
          </w:tcPr>
          <w:p>
            <w:pPr>
              <w:jc w:val="right"/>
              <w:ind w:right="34"/>
              <w:spacing w:after="0"/>
              <w:rPr>
                <w:sz w:val="20"/>
                <w:szCs w:val="20"/>
                <w:color w:val="auto"/>
              </w:rPr>
            </w:pPr>
            <w:r>
              <w:rPr>
                <w:rFonts w:ascii="Arial" w:cs="Arial" w:eastAsia="Arial" w:hAnsi="Arial"/>
                <w:sz w:val="13"/>
                <w:szCs w:val="13"/>
                <w:color w:val="0E191E"/>
              </w:rPr>
              <w:t>51,149</w:t>
            </w:r>
          </w:p>
        </w:tc>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00" w:type="dxa"/>
            <w:vAlign w:val="bottom"/>
          </w:tcPr>
          <w:p>
            <w:pPr>
              <w:spacing w:after="0"/>
              <w:rPr>
                <w:sz w:val="5"/>
                <w:szCs w:val="5"/>
                <w:color w:val="auto"/>
              </w:rPr>
            </w:pPr>
          </w:p>
        </w:tc>
        <w:tc>
          <w:tcPr>
            <w:tcW w:w="860" w:type="dxa"/>
            <w:vAlign w:val="bottom"/>
            <w:tcBorders>
              <w:bottom w:val="single" w:sz="8" w:color="0E191E"/>
            </w:tcBorders>
          </w:tcPr>
          <w:p>
            <w:pPr>
              <w:spacing w:after="0"/>
              <w:rPr>
                <w:sz w:val="5"/>
                <w:szCs w:val="5"/>
                <w:color w:val="auto"/>
              </w:rPr>
            </w:pPr>
          </w:p>
        </w:tc>
        <w:tc>
          <w:tcPr>
            <w:tcW w:w="540" w:type="dxa"/>
            <w:vAlign w:val="bottom"/>
            <w:tcBorders>
              <w:bottom w:val="single" w:sz="8" w:color="0E191E"/>
            </w:tcBorders>
          </w:tcPr>
          <w:p>
            <w:pPr>
              <w:spacing w:after="0"/>
              <w:rPr>
                <w:sz w:val="5"/>
                <w:szCs w:val="5"/>
                <w:color w:val="auto"/>
              </w:rPr>
            </w:pPr>
          </w:p>
        </w:tc>
        <w:tc>
          <w:tcPr>
            <w:tcW w:w="1120" w:type="dxa"/>
            <w:vAlign w:val="bottom"/>
            <w:tcBorders>
              <w:bottom w:val="single" w:sz="8" w:color="0E191E"/>
            </w:tcBorders>
          </w:tcPr>
          <w:p>
            <w:pPr>
              <w:spacing w:after="0"/>
              <w:rPr>
                <w:sz w:val="5"/>
                <w:szCs w:val="5"/>
                <w:color w:val="auto"/>
              </w:rPr>
            </w:pPr>
          </w:p>
        </w:tc>
        <w:tc>
          <w:tcPr>
            <w:tcW w:w="1480" w:type="dxa"/>
            <w:vAlign w:val="bottom"/>
            <w:tcBorders>
              <w:bottom w:val="single" w:sz="8" w:color="0E191E"/>
            </w:tcBorders>
          </w:tcPr>
          <w:p>
            <w:pPr>
              <w:spacing w:after="0"/>
              <w:rPr>
                <w:sz w:val="5"/>
                <w:szCs w:val="5"/>
                <w:color w:val="auto"/>
              </w:rPr>
            </w:pPr>
          </w:p>
        </w:tc>
        <w:tc>
          <w:tcPr>
            <w:tcW w:w="66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00" w:type="dxa"/>
            <w:vAlign w:val="bottom"/>
            <w:tcBorders>
              <w:bottom w:val="single" w:sz="8" w:color="0E191E"/>
            </w:tcBorders>
          </w:tcPr>
          <w:p>
            <w:pPr>
              <w:spacing w:after="0"/>
              <w:rPr>
                <w:sz w:val="5"/>
                <w:szCs w:val="5"/>
                <w:color w:val="auto"/>
              </w:rPr>
            </w:pPr>
          </w:p>
        </w:tc>
        <w:tc>
          <w:tcPr>
            <w:tcW w:w="1020" w:type="dxa"/>
            <w:vAlign w:val="bottom"/>
            <w:tcBorders>
              <w:bottom w:val="single" w:sz="8" w:color="0E191E"/>
            </w:tcBorders>
          </w:tcPr>
          <w:p>
            <w:pPr>
              <w:spacing w:after="0"/>
              <w:rPr>
                <w:sz w:val="5"/>
                <w:szCs w:val="5"/>
                <w:color w:val="auto"/>
              </w:rPr>
            </w:pPr>
          </w:p>
        </w:tc>
        <w:tc>
          <w:tcPr>
            <w:tcW w:w="116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0E191E"/>
              </w:rPr>
              <w:t>9/12/2017</w:t>
            </w:r>
          </w:p>
        </w:tc>
        <w:tc>
          <w:tcPr>
            <w:tcW w:w="540" w:type="dxa"/>
            <w:vAlign w:val="bottom"/>
          </w:tcPr>
          <w:p>
            <w:pPr>
              <w:ind w:left="80"/>
              <w:spacing w:after="0"/>
              <w:rPr>
                <w:sz w:val="20"/>
                <w:szCs w:val="20"/>
                <w:color w:val="auto"/>
              </w:rPr>
            </w:pPr>
            <w:r>
              <w:rPr>
                <w:rFonts w:ascii="Arial" w:cs="Arial" w:eastAsia="Arial" w:hAnsi="Arial"/>
                <w:sz w:val="15"/>
                <w:szCs w:val="15"/>
                <w:color w:val="0E191E"/>
              </w:rPr>
              <w:t>(9)</w:t>
            </w:r>
          </w:p>
        </w:tc>
        <w:tc>
          <w:tcPr>
            <w:tcW w:w="1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291</w:t>
            </w:r>
          </w:p>
        </w:tc>
        <w:tc>
          <w:tcPr>
            <w:tcW w:w="1020" w:type="dxa"/>
            <w:vAlign w:val="bottom"/>
          </w:tcPr>
          <w:p>
            <w:pPr>
              <w:jc w:val="right"/>
              <w:ind w:right="34"/>
              <w:spacing w:after="0"/>
              <w:rPr>
                <w:sz w:val="20"/>
                <w:szCs w:val="20"/>
                <w:color w:val="auto"/>
              </w:rPr>
            </w:pPr>
            <w:r>
              <w:rPr>
                <w:rFonts w:ascii="Arial" w:cs="Arial" w:eastAsia="Arial" w:hAnsi="Arial"/>
                <w:sz w:val="13"/>
                <w:szCs w:val="13"/>
                <w:color w:val="0E191E"/>
              </w:rPr>
              <w:t>33,523</w:t>
            </w:r>
          </w:p>
        </w:tc>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00" w:type="dxa"/>
            <w:vAlign w:val="bottom"/>
          </w:tcPr>
          <w:p>
            <w:pPr>
              <w:spacing w:after="0"/>
              <w:rPr>
                <w:sz w:val="5"/>
                <w:szCs w:val="5"/>
                <w:color w:val="auto"/>
              </w:rPr>
            </w:pPr>
          </w:p>
        </w:tc>
        <w:tc>
          <w:tcPr>
            <w:tcW w:w="860" w:type="dxa"/>
            <w:vAlign w:val="bottom"/>
            <w:tcBorders>
              <w:bottom w:val="single" w:sz="8" w:color="0E191E"/>
            </w:tcBorders>
          </w:tcPr>
          <w:p>
            <w:pPr>
              <w:spacing w:after="0"/>
              <w:rPr>
                <w:sz w:val="5"/>
                <w:szCs w:val="5"/>
                <w:color w:val="auto"/>
              </w:rPr>
            </w:pPr>
          </w:p>
        </w:tc>
        <w:tc>
          <w:tcPr>
            <w:tcW w:w="540" w:type="dxa"/>
            <w:vAlign w:val="bottom"/>
            <w:tcBorders>
              <w:bottom w:val="single" w:sz="8" w:color="0E191E"/>
            </w:tcBorders>
          </w:tcPr>
          <w:p>
            <w:pPr>
              <w:spacing w:after="0"/>
              <w:rPr>
                <w:sz w:val="5"/>
                <w:szCs w:val="5"/>
                <w:color w:val="auto"/>
              </w:rPr>
            </w:pPr>
          </w:p>
        </w:tc>
        <w:tc>
          <w:tcPr>
            <w:tcW w:w="1120" w:type="dxa"/>
            <w:vAlign w:val="bottom"/>
            <w:tcBorders>
              <w:bottom w:val="single" w:sz="8" w:color="0E191E"/>
            </w:tcBorders>
          </w:tcPr>
          <w:p>
            <w:pPr>
              <w:spacing w:after="0"/>
              <w:rPr>
                <w:sz w:val="5"/>
                <w:szCs w:val="5"/>
                <w:color w:val="auto"/>
              </w:rPr>
            </w:pPr>
          </w:p>
        </w:tc>
        <w:tc>
          <w:tcPr>
            <w:tcW w:w="1480" w:type="dxa"/>
            <w:vAlign w:val="bottom"/>
            <w:tcBorders>
              <w:bottom w:val="single" w:sz="8" w:color="0E191E"/>
            </w:tcBorders>
          </w:tcPr>
          <w:p>
            <w:pPr>
              <w:spacing w:after="0"/>
              <w:rPr>
                <w:sz w:val="5"/>
                <w:szCs w:val="5"/>
                <w:color w:val="auto"/>
              </w:rPr>
            </w:pPr>
          </w:p>
        </w:tc>
        <w:tc>
          <w:tcPr>
            <w:tcW w:w="66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00" w:type="dxa"/>
            <w:vAlign w:val="bottom"/>
            <w:tcBorders>
              <w:bottom w:val="single" w:sz="8" w:color="0E191E"/>
            </w:tcBorders>
          </w:tcPr>
          <w:p>
            <w:pPr>
              <w:spacing w:after="0"/>
              <w:rPr>
                <w:sz w:val="5"/>
                <w:szCs w:val="5"/>
                <w:color w:val="auto"/>
              </w:rPr>
            </w:pPr>
          </w:p>
        </w:tc>
        <w:tc>
          <w:tcPr>
            <w:tcW w:w="1020" w:type="dxa"/>
            <w:vAlign w:val="bottom"/>
            <w:tcBorders>
              <w:bottom w:val="single" w:sz="8" w:color="0E191E"/>
            </w:tcBorders>
          </w:tcPr>
          <w:p>
            <w:pPr>
              <w:spacing w:after="0"/>
              <w:rPr>
                <w:sz w:val="5"/>
                <w:szCs w:val="5"/>
                <w:color w:val="auto"/>
              </w:rPr>
            </w:pPr>
          </w:p>
        </w:tc>
        <w:tc>
          <w:tcPr>
            <w:tcW w:w="116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0E191E"/>
              </w:rPr>
              <w:t>9/12/2018</w:t>
            </w:r>
          </w:p>
        </w:tc>
        <w:tc>
          <w:tcPr>
            <w:tcW w:w="540" w:type="dxa"/>
            <w:vAlign w:val="bottom"/>
          </w:tcPr>
          <w:p>
            <w:pPr>
              <w:ind w:left="80"/>
              <w:spacing w:after="0"/>
              <w:rPr>
                <w:sz w:val="20"/>
                <w:szCs w:val="20"/>
                <w:color w:val="auto"/>
              </w:rPr>
            </w:pPr>
            <w:r>
              <w:rPr>
                <w:rFonts w:ascii="Arial" w:cs="Arial" w:eastAsia="Arial" w:hAnsi="Arial"/>
                <w:sz w:val="15"/>
                <w:szCs w:val="15"/>
                <w:color w:val="0E191E"/>
              </w:rPr>
              <w:t>(4)</w:t>
            </w:r>
          </w:p>
        </w:tc>
        <w:tc>
          <w:tcPr>
            <w:tcW w:w="1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2,032</w:t>
            </w:r>
          </w:p>
        </w:tc>
        <w:tc>
          <w:tcPr>
            <w:tcW w:w="1020" w:type="dxa"/>
            <w:vAlign w:val="bottom"/>
          </w:tcPr>
          <w:p>
            <w:pPr>
              <w:jc w:val="right"/>
              <w:ind w:right="34"/>
              <w:spacing w:after="0"/>
              <w:rPr>
                <w:sz w:val="20"/>
                <w:szCs w:val="20"/>
                <w:color w:val="auto"/>
              </w:rPr>
            </w:pPr>
            <w:r>
              <w:rPr>
                <w:rFonts w:ascii="Arial" w:cs="Arial" w:eastAsia="Arial" w:hAnsi="Arial"/>
                <w:sz w:val="13"/>
                <w:szCs w:val="13"/>
                <w:color w:val="0E191E"/>
              </w:rPr>
              <w:t>234,086</w:t>
            </w:r>
          </w:p>
        </w:tc>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00" w:type="dxa"/>
            <w:vAlign w:val="bottom"/>
          </w:tcPr>
          <w:p>
            <w:pPr>
              <w:spacing w:after="0"/>
              <w:rPr>
                <w:sz w:val="5"/>
                <w:szCs w:val="5"/>
                <w:color w:val="auto"/>
              </w:rPr>
            </w:pPr>
          </w:p>
        </w:tc>
        <w:tc>
          <w:tcPr>
            <w:tcW w:w="860" w:type="dxa"/>
            <w:vAlign w:val="bottom"/>
            <w:tcBorders>
              <w:bottom w:val="single" w:sz="8" w:color="0E191E"/>
            </w:tcBorders>
          </w:tcPr>
          <w:p>
            <w:pPr>
              <w:spacing w:after="0"/>
              <w:rPr>
                <w:sz w:val="5"/>
                <w:szCs w:val="5"/>
                <w:color w:val="auto"/>
              </w:rPr>
            </w:pPr>
          </w:p>
        </w:tc>
        <w:tc>
          <w:tcPr>
            <w:tcW w:w="540" w:type="dxa"/>
            <w:vAlign w:val="bottom"/>
            <w:tcBorders>
              <w:bottom w:val="single" w:sz="8" w:color="0E191E"/>
            </w:tcBorders>
          </w:tcPr>
          <w:p>
            <w:pPr>
              <w:spacing w:after="0"/>
              <w:rPr>
                <w:sz w:val="5"/>
                <w:szCs w:val="5"/>
                <w:color w:val="auto"/>
              </w:rPr>
            </w:pPr>
          </w:p>
        </w:tc>
        <w:tc>
          <w:tcPr>
            <w:tcW w:w="1120" w:type="dxa"/>
            <w:vAlign w:val="bottom"/>
            <w:tcBorders>
              <w:bottom w:val="single" w:sz="8" w:color="0E191E"/>
            </w:tcBorders>
          </w:tcPr>
          <w:p>
            <w:pPr>
              <w:spacing w:after="0"/>
              <w:rPr>
                <w:sz w:val="5"/>
                <w:szCs w:val="5"/>
                <w:color w:val="auto"/>
              </w:rPr>
            </w:pPr>
          </w:p>
        </w:tc>
        <w:tc>
          <w:tcPr>
            <w:tcW w:w="1480" w:type="dxa"/>
            <w:vAlign w:val="bottom"/>
            <w:tcBorders>
              <w:bottom w:val="single" w:sz="8" w:color="0E191E"/>
            </w:tcBorders>
          </w:tcPr>
          <w:p>
            <w:pPr>
              <w:spacing w:after="0"/>
              <w:rPr>
                <w:sz w:val="5"/>
                <w:szCs w:val="5"/>
                <w:color w:val="auto"/>
              </w:rPr>
            </w:pPr>
          </w:p>
        </w:tc>
        <w:tc>
          <w:tcPr>
            <w:tcW w:w="66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00" w:type="dxa"/>
            <w:vAlign w:val="bottom"/>
            <w:tcBorders>
              <w:bottom w:val="single" w:sz="8" w:color="0E191E"/>
            </w:tcBorders>
          </w:tcPr>
          <w:p>
            <w:pPr>
              <w:spacing w:after="0"/>
              <w:rPr>
                <w:sz w:val="5"/>
                <w:szCs w:val="5"/>
                <w:color w:val="auto"/>
              </w:rPr>
            </w:pPr>
          </w:p>
        </w:tc>
        <w:tc>
          <w:tcPr>
            <w:tcW w:w="1020" w:type="dxa"/>
            <w:vAlign w:val="bottom"/>
            <w:tcBorders>
              <w:bottom w:val="single" w:sz="8" w:color="0E191E"/>
            </w:tcBorders>
          </w:tcPr>
          <w:p>
            <w:pPr>
              <w:spacing w:after="0"/>
              <w:rPr>
                <w:sz w:val="5"/>
                <w:szCs w:val="5"/>
                <w:color w:val="auto"/>
              </w:rPr>
            </w:pPr>
          </w:p>
        </w:tc>
        <w:tc>
          <w:tcPr>
            <w:tcW w:w="116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0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Winston King</w:t>
            </w:r>
          </w:p>
        </w:tc>
        <w:tc>
          <w:tcPr>
            <w:tcW w:w="860" w:type="dxa"/>
            <w:vAlign w:val="bottom"/>
          </w:tcPr>
          <w:p>
            <w:pPr>
              <w:jc w:val="center"/>
              <w:spacing w:after="0"/>
              <w:rPr>
                <w:sz w:val="20"/>
                <w:szCs w:val="20"/>
                <w:color w:val="auto"/>
              </w:rPr>
            </w:pPr>
            <w:r>
              <w:rPr>
                <w:rFonts w:ascii="Arial" w:cs="Arial" w:eastAsia="Arial" w:hAnsi="Arial"/>
                <w:sz w:val="13"/>
                <w:szCs w:val="13"/>
                <w:color w:val="0E191E"/>
              </w:rPr>
              <w:t>9/12/2018</w:t>
            </w:r>
          </w:p>
        </w:tc>
        <w:tc>
          <w:tcPr>
            <w:tcW w:w="540" w:type="dxa"/>
            <w:vAlign w:val="bottom"/>
          </w:tcPr>
          <w:p>
            <w:pPr>
              <w:ind w:left="80"/>
              <w:spacing w:after="0"/>
              <w:rPr>
                <w:sz w:val="20"/>
                <w:szCs w:val="20"/>
                <w:color w:val="auto"/>
              </w:rPr>
            </w:pPr>
            <w:r>
              <w:rPr>
                <w:rFonts w:ascii="Arial" w:cs="Arial" w:eastAsia="Arial" w:hAnsi="Arial"/>
                <w:sz w:val="15"/>
                <w:szCs w:val="15"/>
                <w:color w:val="0E191E"/>
              </w:rPr>
              <w:t>(7)</w:t>
            </w:r>
          </w:p>
        </w:tc>
        <w:tc>
          <w:tcPr>
            <w:tcW w:w="1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1,373</w:t>
            </w:r>
          </w:p>
        </w:tc>
        <w:tc>
          <w:tcPr>
            <w:tcW w:w="1020" w:type="dxa"/>
            <w:vAlign w:val="bottom"/>
          </w:tcPr>
          <w:p>
            <w:pPr>
              <w:jc w:val="right"/>
              <w:ind w:right="34"/>
              <w:spacing w:after="0"/>
              <w:rPr>
                <w:sz w:val="20"/>
                <w:szCs w:val="20"/>
                <w:color w:val="auto"/>
              </w:rPr>
            </w:pPr>
            <w:r>
              <w:rPr>
                <w:rFonts w:ascii="Arial" w:cs="Arial" w:eastAsia="Arial" w:hAnsi="Arial"/>
                <w:sz w:val="13"/>
                <w:szCs w:val="13"/>
                <w:color w:val="0E191E"/>
              </w:rPr>
              <w:t>158,170</w:t>
            </w:r>
          </w:p>
        </w:tc>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00" w:type="dxa"/>
            <w:vAlign w:val="bottom"/>
            <w:vMerge w:val="continue"/>
          </w:tcPr>
          <w:p>
            <w:pPr>
              <w:spacing w:after="0"/>
              <w:rPr>
                <w:sz w:val="5"/>
                <w:szCs w:val="5"/>
                <w:color w:val="auto"/>
              </w:rPr>
            </w:pPr>
          </w:p>
        </w:tc>
        <w:tc>
          <w:tcPr>
            <w:tcW w:w="860" w:type="dxa"/>
            <w:vAlign w:val="bottom"/>
            <w:tcBorders>
              <w:bottom w:val="single" w:sz="8" w:color="0E191E"/>
            </w:tcBorders>
          </w:tcPr>
          <w:p>
            <w:pPr>
              <w:spacing w:after="0"/>
              <w:rPr>
                <w:sz w:val="5"/>
                <w:szCs w:val="5"/>
                <w:color w:val="auto"/>
              </w:rPr>
            </w:pPr>
          </w:p>
        </w:tc>
        <w:tc>
          <w:tcPr>
            <w:tcW w:w="540" w:type="dxa"/>
            <w:vAlign w:val="bottom"/>
            <w:tcBorders>
              <w:bottom w:val="single" w:sz="8" w:color="0E191E"/>
            </w:tcBorders>
          </w:tcPr>
          <w:p>
            <w:pPr>
              <w:spacing w:after="0"/>
              <w:rPr>
                <w:sz w:val="5"/>
                <w:szCs w:val="5"/>
                <w:color w:val="auto"/>
              </w:rPr>
            </w:pPr>
          </w:p>
        </w:tc>
        <w:tc>
          <w:tcPr>
            <w:tcW w:w="1120" w:type="dxa"/>
            <w:vAlign w:val="bottom"/>
            <w:tcBorders>
              <w:bottom w:val="single" w:sz="8" w:color="0E191E"/>
            </w:tcBorders>
          </w:tcPr>
          <w:p>
            <w:pPr>
              <w:spacing w:after="0"/>
              <w:rPr>
                <w:sz w:val="5"/>
                <w:szCs w:val="5"/>
                <w:color w:val="auto"/>
              </w:rPr>
            </w:pPr>
          </w:p>
        </w:tc>
        <w:tc>
          <w:tcPr>
            <w:tcW w:w="1480" w:type="dxa"/>
            <w:vAlign w:val="bottom"/>
            <w:tcBorders>
              <w:bottom w:val="single" w:sz="8" w:color="0E191E"/>
            </w:tcBorders>
          </w:tcPr>
          <w:p>
            <w:pPr>
              <w:spacing w:after="0"/>
              <w:rPr>
                <w:sz w:val="5"/>
                <w:szCs w:val="5"/>
                <w:color w:val="auto"/>
              </w:rPr>
            </w:pPr>
          </w:p>
        </w:tc>
        <w:tc>
          <w:tcPr>
            <w:tcW w:w="66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00" w:type="dxa"/>
            <w:vAlign w:val="bottom"/>
            <w:tcBorders>
              <w:bottom w:val="single" w:sz="8" w:color="0E191E"/>
            </w:tcBorders>
          </w:tcPr>
          <w:p>
            <w:pPr>
              <w:spacing w:after="0"/>
              <w:rPr>
                <w:sz w:val="5"/>
                <w:szCs w:val="5"/>
                <w:color w:val="auto"/>
              </w:rPr>
            </w:pPr>
          </w:p>
        </w:tc>
        <w:tc>
          <w:tcPr>
            <w:tcW w:w="1020" w:type="dxa"/>
            <w:vAlign w:val="bottom"/>
            <w:tcBorders>
              <w:bottom w:val="single" w:sz="8" w:color="0E191E"/>
            </w:tcBorders>
          </w:tcPr>
          <w:p>
            <w:pPr>
              <w:spacing w:after="0"/>
              <w:rPr>
                <w:sz w:val="5"/>
                <w:szCs w:val="5"/>
                <w:color w:val="auto"/>
              </w:rPr>
            </w:pPr>
          </w:p>
        </w:tc>
        <w:tc>
          <w:tcPr>
            <w:tcW w:w="116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200" w:type="dxa"/>
            <w:vAlign w:val="bottom"/>
            <w:vMerge w:val="continue"/>
          </w:tcPr>
          <w:p>
            <w:pPr>
              <w:spacing w:after="0"/>
              <w:rPr>
                <w:sz w:val="5"/>
                <w:szCs w:val="5"/>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color w:val="0E191E"/>
              </w:rPr>
              <w:t>6/12/2019</w:t>
            </w:r>
          </w:p>
        </w:tc>
        <w:tc>
          <w:tcPr>
            <w:tcW w:w="540" w:type="dxa"/>
            <w:vAlign w:val="bottom"/>
            <w:vMerge w:val="restart"/>
          </w:tcPr>
          <w:p>
            <w:pPr>
              <w:ind w:left="80"/>
              <w:spacing w:after="0"/>
              <w:rPr>
                <w:sz w:val="20"/>
                <w:szCs w:val="20"/>
                <w:color w:val="auto"/>
              </w:rPr>
            </w:pPr>
            <w:r>
              <w:rPr>
                <w:rFonts w:ascii="Arial" w:cs="Arial" w:eastAsia="Arial" w:hAnsi="Arial"/>
                <w:sz w:val="15"/>
                <w:szCs w:val="15"/>
                <w:color w:val="0E191E"/>
              </w:rPr>
              <w:t>(4)</w:t>
            </w:r>
          </w:p>
        </w:tc>
        <w:tc>
          <w:tcPr>
            <w:tcW w:w="1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0E191E"/>
              </w:rPr>
              <w:t>2,604</w:t>
            </w:r>
          </w:p>
        </w:tc>
        <w:tc>
          <w:tcPr>
            <w:tcW w:w="1020" w:type="dxa"/>
            <w:vAlign w:val="bottom"/>
            <w:vMerge w:val="restart"/>
          </w:tcPr>
          <w:p>
            <w:pPr>
              <w:jc w:val="right"/>
              <w:ind w:right="34"/>
              <w:spacing w:after="0"/>
              <w:rPr>
                <w:sz w:val="20"/>
                <w:szCs w:val="20"/>
                <w:color w:val="auto"/>
              </w:rPr>
            </w:pPr>
            <w:r>
              <w:rPr>
                <w:rFonts w:ascii="Arial" w:cs="Arial" w:eastAsia="Arial" w:hAnsi="Arial"/>
                <w:sz w:val="13"/>
                <w:szCs w:val="13"/>
                <w:color w:val="0E191E"/>
              </w:rPr>
              <w:t>299,981</w:t>
            </w:r>
          </w:p>
        </w:tc>
        <w:tc>
          <w:tcPr>
            <w:tcW w:w="11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1200" w:type="dxa"/>
            <w:vAlign w:val="bottom"/>
          </w:tcPr>
          <w:p>
            <w:pPr>
              <w:spacing w:after="0"/>
              <w:rPr>
                <w:sz w:val="5"/>
                <w:szCs w:val="5"/>
                <w:color w:val="auto"/>
              </w:rPr>
            </w:pPr>
          </w:p>
        </w:tc>
        <w:tc>
          <w:tcPr>
            <w:tcW w:w="860" w:type="dxa"/>
            <w:vAlign w:val="bottom"/>
            <w:tcBorders>
              <w:bottom w:val="single" w:sz="8" w:color="0E191E"/>
            </w:tcBorders>
          </w:tcPr>
          <w:p>
            <w:pPr>
              <w:spacing w:after="0"/>
              <w:rPr>
                <w:sz w:val="5"/>
                <w:szCs w:val="5"/>
                <w:color w:val="auto"/>
              </w:rPr>
            </w:pPr>
          </w:p>
        </w:tc>
        <w:tc>
          <w:tcPr>
            <w:tcW w:w="540" w:type="dxa"/>
            <w:vAlign w:val="bottom"/>
            <w:tcBorders>
              <w:bottom w:val="single" w:sz="8" w:color="0E191E"/>
            </w:tcBorders>
          </w:tcPr>
          <w:p>
            <w:pPr>
              <w:spacing w:after="0"/>
              <w:rPr>
                <w:sz w:val="5"/>
                <w:szCs w:val="5"/>
                <w:color w:val="auto"/>
              </w:rPr>
            </w:pPr>
          </w:p>
        </w:tc>
        <w:tc>
          <w:tcPr>
            <w:tcW w:w="1120" w:type="dxa"/>
            <w:vAlign w:val="bottom"/>
            <w:tcBorders>
              <w:bottom w:val="single" w:sz="8" w:color="0E191E"/>
            </w:tcBorders>
          </w:tcPr>
          <w:p>
            <w:pPr>
              <w:spacing w:after="0"/>
              <w:rPr>
                <w:sz w:val="5"/>
                <w:szCs w:val="5"/>
                <w:color w:val="auto"/>
              </w:rPr>
            </w:pPr>
          </w:p>
        </w:tc>
        <w:tc>
          <w:tcPr>
            <w:tcW w:w="1480" w:type="dxa"/>
            <w:vAlign w:val="bottom"/>
            <w:tcBorders>
              <w:bottom w:val="single" w:sz="8" w:color="0E191E"/>
            </w:tcBorders>
          </w:tcPr>
          <w:p>
            <w:pPr>
              <w:spacing w:after="0"/>
              <w:rPr>
                <w:sz w:val="5"/>
                <w:szCs w:val="5"/>
                <w:color w:val="auto"/>
              </w:rPr>
            </w:pPr>
          </w:p>
        </w:tc>
        <w:tc>
          <w:tcPr>
            <w:tcW w:w="66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00" w:type="dxa"/>
            <w:vAlign w:val="bottom"/>
            <w:tcBorders>
              <w:bottom w:val="single" w:sz="8" w:color="0E191E"/>
            </w:tcBorders>
          </w:tcPr>
          <w:p>
            <w:pPr>
              <w:spacing w:after="0"/>
              <w:rPr>
                <w:sz w:val="5"/>
                <w:szCs w:val="5"/>
                <w:color w:val="auto"/>
              </w:rPr>
            </w:pPr>
          </w:p>
        </w:tc>
        <w:tc>
          <w:tcPr>
            <w:tcW w:w="1020" w:type="dxa"/>
            <w:vAlign w:val="bottom"/>
            <w:tcBorders>
              <w:bottom w:val="single" w:sz="8" w:color="0E191E"/>
            </w:tcBorders>
          </w:tcPr>
          <w:p>
            <w:pPr>
              <w:spacing w:after="0"/>
              <w:rPr>
                <w:sz w:val="5"/>
                <w:szCs w:val="5"/>
                <w:color w:val="auto"/>
              </w:rPr>
            </w:pPr>
          </w:p>
        </w:tc>
        <w:tc>
          <w:tcPr>
            <w:tcW w:w="116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0E191E"/>
              </w:rPr>
              <w:t>9/6/2019</w:t>
            </w:r>
          </w:p>
        </w:tc>
        <w:tc>
          <w:tcPr>
            <w:tcW w:w="540" w:type="dxa"/>
            <w:vAlign w:val="bottom"/>
          </w:tcPr>
          <w:p>
            <w:pPr>
              <w:ind w:left="80"/>
              <w:spacing w:after="0"/>
              <w:rPr>
                <w:sz w:val="20"/>
                <w:szCs w:val="20"/>
                <w:color w:val="auto"/>
              </w:rPr>
            </w:pPr>
            <w:r>
              <w:rPr>
                <w:rFonts w:ascii="Arial" w:cs="Arial" w:eastAsia="Arial" w:hAnsi="Arial"/>
                <w:sz w:val="15"/>
                <w:szCs w:val="15"/>
                <w:color w:val="0E191E"/>
              </w:rPr>
              <w:t>(4)</w:t>
            </w:r>
          </w:p>
        </w:tc>
        <w:tc>
          <w:tcPr>
            <w:tcW w:w="1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3,938</w:t>
            </w:r>
          </w:p>
        </w:tc>
        <w:tc>
          <w:tcPr>
            <w:tcW w:w="1020" w:type="dxa"/>
            <w:vAlign w:val="bottom"/>
          </w:tcPr>
          <w:p>
            <w:pPr>
              <w:jc w:val="right"/>
              <w:ind w:right="34"/>
              <w:spacing w:after="0"/>
              <w:rPr>
                <w:sz w:val="20"/>
                <w:szCs w:val="20"/>
                <w:color w:val="auto"/>
              </w:rPr>
            </w:pPr>
            <w:r>
              <w:rPr>
                <w:rFonts w:ascii="Arial" w:cs="Arial" w:eastAsia="Arial" w:hAnsi="Arial"/>
                <w:sz w:val="13"/>
                <w:szCs w:val="13"/>
                <w:color w:val="0E191E"/>
              </w:rPr>
              <w:t>453,658</w:t>
            </w:r>
          </w:p>
        </w:tc>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00" w:type="dxa"/>
            <w:vAlign w:val="bottom"/>
          </w:tcPr>
          <w:p>
            <w:pPr>
              <w:spacing w:after="0"/>
              <w:rPr>
                <w:sz w:val="5"/>
                <w:szCs w:val="5"/>
                <w:color w:val="auto"/>
              </w:rPr>
            </w:pPr>
          </w:p>
        </w:tc>
        <w:tc>
          <w:tcPr>
            <w:tcW w:w="860" w:type="dxa"/>
            <w:vAlign w:val="bottom"/>
            <w:tcBorders>
              <w:bottom w:val="single" w:sz="8" w:color="0E191E"/>
            </w:tcBorders>
          </w:tcPr>
          <w:p>
            <w:pPr>
              <w:spacing w:after="0"/>
              <w:rPr>
                <w:sz w:val="5"/>
                <w:szCs w:val="5"/>
                <w:color w:val="auto"/>
              </w:rPr>
            </w:pPr>
          </w:p>
        </w:tc>
        <w:tc>
          <w:tcPr>
            <w:tcW w:w="540" w:type="dxa"/>
            <w:vAlign w:val="bottom"/>
            <w:tcBorders>
              <w:bottom w:val="single" w:sz="8" w:color="0E191E"/>
            </w:tcBorders>
          </w:tcPr>
          <w:p>
            <w:pPr>
              <w:spacing w:after="0"/>
              <w:rPr>
                <w:sz w:val="5"/>
                <w:szCs w:val="5"/>
                <w:color w:val="auto"/>
              </w:rPr>
            </w:pPr>
          </w:p>
        </w:tc>
        <w:tc>
          <w:tcPr>
            <w:tcW w:w="1120" w:type="dxa"/>
            <w:vAlign w:val="bottom"/>
            <w:tcBorders>
              <w:bottom w:val="single" w:sz="8" w:color="0E191E"/>
            </w:tcBorders>
          </w:tcPr>
          <w:p>
            <w:pPr>
              <w:spacing w:after="0"/>
              <w:rPr>
                <w:sz w:val="5"/>
                <w:szCs w:val="5"/>
                <w:color w:val="auto"/>
              </w:rPr>
            </w:pPr>
          </w:p>
        </w:tc>
        <w:tc>
          <w:tcPr>
            <w:tcW w:w="1480" w:type="dxa"/>
            <w:vAlign w:val="bottom"/>
            <w:tcBorders>
              <w:bottom w:val="single" w:sz="8" w:color="0E191E"/>
            </w:tcBorders>
          </w:tcPr>
          <w:p>
            <w:pPr>
              <w:spacing w:after="0"/>
              <w:rPr>
                <w:sz w:val="5"/>
                <w:szCs w:val="5"/>
                <w:color w:val="auto"/>
              </w:rPr>
            </w:pPr>
          </w:p>
        </w:tc>
        <w:tc>
          <w:tcPr>
            <w:tcW w:w="66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00" w:type="dxa"/>
            <w:vAlign w:val="bottom"/>
            <w:tcBorders>
              <w:bottom w:val="single" w:sz="8" w:color="0E191E"/>
            </w:tcBorders>
          </w:tcPr>
          <w:p>
            <w:pPr>
              <w:spacing w:after="0"/>
              <w:rPr>
                <w:sz w:val="5"/>
                <w:szCs w:val="5"/>
                <w:color w:val="auto"/>
              </w:rPr>
            </w:pPr>
          </w:p>
        </w:tc>
        <w:tc>
          <w:tcPr>
            <w:tcW w:w="1020" w:type="dxa"/>
            <w:vAlign w:val="bottom"/>
            <w:tcBorders>
              <w:bottom w:val="single" w:sz="8" w:color="0E191E"/>
            </w:tcBorders>
          </w:tcPr>
          <w:p>
            <w:pPr>
              <w:spacing w:after="0"/>
              <w:rPr>
                <w:sz w:val="5"/>
                <w:szCs w:val="5"/>
                <w:color w:val="auto"/>
              </w:rPr>
            </w:pPr>
          </w:p>
        </w:tc>
        <w:tc>
          <w:tcPr>
            <w:tcW w:w="116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0E191E"/>
              </w:rPr>
              <w:t>9/6/2019</w:t>
            </w:r>
          </w:p>
        </w:tc>
        <w:tc>
          <w:tcPr>
            <w:tcW w:w="540" w:type="dxa"/>
            <w:vAlign w:val="bottom"/>
          </w:tcPr>
          <w:p>
            <w:pPr>
              <w:ind w:left="80"/>
              <w:spacing w:after="0"/>
              <w:rPr>
                <w:sz w:val="20"/>
                <w:szCs w:val="20"/>
                <w:color w:val="auto"/>
              </w:rPr>
            </w:pPr>
            <w:r>
              <w:rPr>
                <w:rFonts w:ascii="Arial" w:cs="Arial" w:eastAsia="Arial" w:hAnsi="Arial"/>
                <w:sz w:val="15"/>
                <w:szCs w:val="15"/>
                <w:color w:val="0E191E"/>
              </w:rPr>
              <w:t>(2)</w:t>
            </w:r>
          </w:p>
        </w:tc>
        <w:tc>
          <w:tcPr>
            <w:tcW w:w="1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1,723</w:t>
            </w:r>
          </w:p>
        </w:tc>
        <w:tc>
          <w:tcPr>
            <w:tcW w:w="1020" w:type="dxa"/>
            <w:vAlign w:val="bottom"/>
          </w:tcPr>
          <w:p>
            <w:pPr>
              <w:jc w:val="right"/>
              <w:ind w:right="34"/>
              <w:spacing w:after="0"/>
              <w:rPr>
                <w:sz w:val="20"/>
                <w:szCs w:val="20"/>
                <w:color w:val="auto"/>
              </w:rPr>
            </w:pPr>
            <w:r>
              <w:rPr>
                <w:rFonts w:ascii="Arial" w:cs="Arial" w:eastAsia="Arial" w:hAnsi="Arial"/>
                <w:sz w:val="13"/>
                <w:szCs w:val="13"/>
                <w:color w:val="0E191E"/>
              </w:rPr>
              <w:t>198,490</w:t>
            </w:r>
          </w:p>
        </w:tc>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00" w:type="dxa"/>
            <w:vAlign w:val="bottom"/>
          </w:tcPr>
          <w:p>
            <w:pPr>
              <w:spacing w:after="0"/>
              <w:rPr>
                <w:sz w:val="5"/>
                <w:szCs w:val="5"/>
                <w:color w:val="auto"/>
              </w:rPr>
            </w:pPr>
          </w:p>
        </w:tc>
        <w:tc>
          <w:tcPr>
            <w:tcW w:w="860" w:type="dxa"/>
            <w:vAlign w:val="bottom"/>
            <w:tcBorders>
              <w:bottom w:val="single" w:sz="8" w:color="0E191E"/>
            </w:tcBorders>
          </w:tcPr>
          <w:p>
            <w:pPr>
              <w:spacing w:after="0"/>
              <w:rPr>
                <w:sz w:val="5"/>
                <w:szCs w:val="5"/>
                <w:color w:val="auto"/>
              </w:rPr>
            </w:pPr>
          </w:p>
        </w:tc>
        <w:tc>
          <w:tcPr>
            <w:tcW w:w="540" w:type="dxa"/>
            <w:vAlign w:val="bottom"/>
            <w:tcBorders>
              <w:bottom w:val="single" w:sz="8" w:color="0E191E"/>
            </w:tcBorders>
          </w:tcPr>
          <w:p>
            <w:pPr>
              <w:spacing w:after="0"/>
              <w:rPr>
                <w:sz w:val="5"/>
                <w:szCs w:val="5"/>
                <w:color w:val="auto"/>
              </w:rPr>
            </w:pPr>
          </w:p>
        </w:tc>
        <w:tc>
          <w:tcPr>
            <w:tcW w:w="1120" w:type="dxa"/>
            <w:vAlign w:val="bottom"/>
            <w:tcBorders>
              <w:bottom w:val="single" w:sz="8" w:color="0E191E"/>
            </w:tcBorders>
          </w:tcPr>
          <w:p>
            <w:pPr>
              <w:spacing w:after="0"/>
              <w:rPr>
                <w:sz w:val="5"/>
                <w:szCs w:val="5"/>
                <w:color w:val="auto"/>
              </w:rPr>
            </w:pPr>
          </w:p>
        </w:tc>
        <w:tc>
          <w:tcPr>
            <w:tcW w:w="1480" w:type="dxa"/>
            <w:vAlign w:val="bottom"/>
            <w:tcBorders>
              <w:bottom w:val="single" w:sz="8" w:color="0E191E"/>
            </w:tcBorders>
          </w:tcPr>
          <w:p>
            <w:pPr>
              <w:spacing w:after="0"/>
              <w:rPr>
                <w:sz w:val="5"/>
                <w:szCs w:val="5"/>
                <w:color w:val="auto"/>
              </w:rPr>
            </w:pPr>
          </w:p>
        </w:tc>
        <w:tc>
          <w:tcPr>
            <w:tcW w:w="66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00" w:type="dxa"/>
            <w:vAlign w:val="bottom"/>
            <w:tcBorders>
              <w:bottom w:val="single" w:sz="8" w:color="0E191E"/>
            </w:tcBorders>
          </w:tcPr>
          <w:p>
            <w:pPr>
              <w:spacing w:after="0"/>
              <w:rPr>
                <w:sz w:val="5"/>
                <w:szCs w:val="5"/>
                <w:color w:val="auto"/>
              </w:rPr>
            </w:pPr>
          </w:p>
        </w:tc>
        <w:tc>
          <w:tcPr>
            <w:tcW w:w="1020" w:type="dxa"/>
            <w:vAlign w:val="bottom"/>
            <w:tcBorders>
              <w:bottom w:val="single" w:sz="8" w:color="0E191E"/>
            </w:tcBorders>
          </w:tcPr>
          <w:p>
            <w:pPr>
              <w:spacing w:after="0"/>
              <w:rPr>
                <w:sz w:val="5"/>
                <w:szCs w:val="5"/>
                <w:color w:val="auto"/>
              </w:rPr>
            </w:pPr>
          </w:p>
        </w:tc>
        <w:tc>
          <w:tcPr>
            <w:tcW w:w="116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0E191E"/>
              </w:rPr>
              <w:t>9/6/2019</w:t>
            </w:r>
          </w:p>
        </w:tc>
        <w:tc>
          <w:tcPr>
            <w:tcW w:w="540" w:type="dxa"/>
            <w:vAlign w:val="bottom"/>
          </w:tcPr>
          <w:p>
            <w:pPr>
              <w:ind w:left="80"/>
              <w:spacing w:after="0"/>
              <w:rPr>
                <w:sz w:val="20"/>
                <w:szCs w:val="20"/>
                <w:color w:val="auto"/>
              </w:rPr>
            </w:pPr>
            <w:r>
              <w:rPr>
                <w:rFonts w:ascii="Arial" w:cs="Arial" w:eastAsia="Arial" w:hAnsi="Arial"/>
                <w:sz w:val="15"/>
                <w:szCs w:val="15"/>
                <w:color w:val="0E191E"/>
              </w:rPr>
              <w:t>(3)</w:t>
            </w:r>
          </w:p>
        </w:tc>
        <w:tc>
          <w:tcPr>
            <w:tcW w:w="1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0E191E"/>
              </w:rPr>
              <w:t>2,800</w:t>
            </w:r>
          </w:p>
        </w:tc>
        <w:tc>
          <w:tcPr>
            <w:tcW w:w="1360" w:type="dxa"/>
            <w:vAlign w:val="bottom"/>
          </w:tcPr>
          <w:p>
            <w:pPr>
              <w:jc w:val="right"/>
              <w:ind w:right="156"/>
              <w:spacing w:after="0"/>
              <w:rPr>
                <w:sz w:val="20"/>
                <w:szCs w:val="20"/>
                <w:color w:val="auto"/>
              </w:rPr>
            </w:pPr>
            <w:r>
              <w:rPr>
                <w:rFonts w:ascii="Arial" w:cs="Arial" w:eastAsia="Arial" w:hAnsi="Arial"/>
                <w:sz w:val="13"/>
                <w:szCs w:val="13"/>
                <w:color w:val="0E191E"/>
              </w:rPr>
              <w:t>322,560</w:t>
            </w:r>
          </w:p>
        </w:tc>
        <w:tc>
          <w:tcPr>
            <w:tcW w:w="0" w:type="dxa"/>
            <w:vAlign w:val="bottom"/>
          </w:tcPr>
          <w:p>
            <w:pPr>
              <w:spacing w:after="0"/>
              <w:rPr>
                <w:sz w:val="1"/>
                <w:szCs w:val="1"/>
                <w:color w:val="auto"/>
              </w:rPr>
            </w:pPr>
          </w:p>
        </w:tc>
      </w:tr>
      <w:tr>
        <w:trPr>
          <w:trHeight w:val="62"/>
        </w:trPr>
        <w:tc>
          <w:tcPr>
            <w:tcW w:w="1200" w:type="dxa"/>
            <w:vAlign w:val="bottom"/>
          </w:tcPr>
          <w:p>
            <w:pPr>
              <w:spacing w:after="0"/>
              <w:rPr>
                <w:sz w:val="5"/>
                <w:szCs w:val="5"/>
                <w:color w:val="auto"/>
              </w:rPr>
            </w:pPr>
          </w:p>
        </w:tc>
        <w:tc>
          <w:tcPr>
            <w:tcW w:w="860" w:type="dxa"/>
            <w:vAlign w:val="bottom"/>
            <w:tcBorders>
              <w:bottom w:val="single" w:sz="8" w:color="0E191E"/>
            </w:tcBorders>
          </w:tcPr>
          <w:p>
            <w:pPr>
              <w:spacing w:after="0"/>
              <w:rPr>
                <w:sz w:val="5"/>
                <w:szCs w:val="5"/>
                <w:color w:val="auto"/>
              </w:rPr>
            </w:pPr>
          </w:p>
        </w:tc>
        <w:tc>
          <w:tcPr>
            <w:tcW w:w="540" w:type="dxa"/>
            <w:vAlign w:val="bottom"/>
            <w:tcBorders>
              <w:bottom w:val="single" w:sz="8" w:color="0E191E"/>
            </w:tcBorders>
          </w:tcPr>
          <w:p>
            <w:pPr>
              <w:spacing w:after="0"/>
              <w:rPr>
                <w:sz w:val="5"/>
                <w:szCs w:val="5"/>
                <w:color w:val="auto"/>
              </w:rPr>
            </w:pPr>
          </w:p>
        </w:tc>
        <w:tc>
          <w:tcPr>
            <w:tcW w:w="1120" w:type="dxa"/>
            <w:vAlign w:val="bottom"/>
            <w:tcBorders>
              <w:bottom w:val="single" w:sz="8" w:color="0E191E"/>
            </w:tcBorders>
          </w:tcPr>
          <w:p>
            <w:pPr>
              <w:spacing w:after="0"/>
              <w:rPr>
                <w:sz w:val="5"/>
                <w:szCs w:val="5"/>
                <w:color w:val="auto"/>
              </w:rPr>
            </w:pPr>
          </w:p>
        </w:tc>
        <w:tc>
          <w:tcPr>
            <w:tcW w:w="1480" w:type="dxa"/>
            <w:vAlign w:val="bottom"/>
            <w:tcBorders>
              <w:bottom w:val="single" w:sz="8" w:color="0E191E"/>
            </w:tcBorders>
          </w:tcPr>
          <w:p>
            <w:pPr>
              <w:spacing w:after="0"/>
              <w:rPr>
                <w:sz w:val="5"/>
                <w:szCs w:val="5"/>
                <w:color w:val="auto"/>
              </w:rPr>
            </w:pPr>
          </w:p>
        </w:tc>
        <w:tc>
          <w:tcPr>
            <w:tcW w:w="66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00" w:type="dxa"/>
            <w:vAlign w:val="bottom"/>
            <w:tcBorders>
              <w:bottom w:val="single" w:sz="8" w:color="0E191E"/>
            </w:tcBorders>
          </w:tcPr>
          <w:p>
            <w:pPr>
              <w:spacing w:after="0"/>
              <w:rPr>
                <w:sz w:val="5"/>
                <w:szCs w:val="5"/>
                <w:color w:val="auto"/>
              </w:rPr>
            </w:pPr>
          </w:p>
        </w:tc>
        <w:tc>
          <w:tcPr>
            <w:tcW w:w="1020" w:type="dxa"/>
            <w:vAlign w:val="bottom"/>
            <w:tcBorders>
              <w:bottom w:val="single" w:sz="8" w:color="0E191E"/>
            </w:tcBorders>
          </w:tcPr>
          <w:p>
            <w:pPr>
              <w:spacing w:after="0"/>
              <w:rPr>
                <w:sz w:val="5"/>
                <w:szCs w:val="5"/>
                <w:color w:val="auto"/>
              </w:rPr>
            </w:pPr>
          </w:p>
        </w:tc>
        <w:tc>
          <w:tcPr>
            <w:tcW w:w="116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0E191E"/>
              </w:rPr>
              <w:t>3/10/2020</w:t>
            </w:r>
          </w:p>
        </w:tc>
        <w:tc>
          <w:tcPr>
            <w:tcW w:w="540" w:type="dxa"/>
            <w:vAlign w:val="bottom"/>
          </w:tcPr>
          <w:p>
            <w:pPr>
              <w:ind w:left="80"/>
              <w:spacing w:after="0"/>
              <w:rPr>
                <w:sz w:val="20"/>
                <w:szCs w:val="20"/>
                <w:color w:val="auto"/>
              </w:rPr>
            </w:pPr>
            <w:r>
              <w:rPr>
                <w:rFonts w:ascii="Arial" w:cs="Arial" w:eastAsia="Arial" w:hAnsi="Arial"/>
                <w:sz w:val="15"/>
                <w:szCs w:val="15"/>
                <w:color w:val="0E191E"/>
              </w:rPr>
              <w:t>(8)</w:t>
            </w:r>
          </w:p>
        </w:tc>
        <w:tc>
          <w:tcPr>
            <w:tcW w:w="1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1,500</w:t>
            </w:r>
          </w:p>
        </w:tc>
        <w:tc>
          <w:tcPr>
            <w:tcW w:w="1020" w:type="dxa"/>
            <w:vAlign w:val="bottom"/>
          </w:tcPr>
          <w:p>
            <w:pPr>
              <w:jc w:val="right"/>
              <w:ind w:right="34"/>
              <w:spacing w:after="0"/>
              <w:rPr>
                <w:sz w:val="20"/>
                <w:szCs w:val="20"/>
                <w:color w:val="auto"/>
              </w:rPr>
            </w:pPr>
            <w:r>
              <w:rPr>
                <w:rFonts w:ascii="Arial" w:cs="Arial" w:eastAsia="Arial" w:hAnsi="Arial"/>
                <w:sz w:val="13"/>
                <w:szCs w:val="13"/>
                <w:color w:val="0E191E"/>
              </w:rPr>
              <w:t>172,800</w:t>
            </w:r>
          </w:p>
        </w:tc>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00" w:type="dxa"/>
            <w:vAlign w:val="bottom"/>
          </w:tcPr>
          <w:p>
            <w:pPr>
              <w:spacing w:after="0"/>
              <w:rPr>
                <w:sz w:val="5"/>
                <w:szCs w:val="5"/>
                <w:color w:val="auto"/>
              </w:rPr>
            </w:pPr>
          </w:p>
        </w:tc>
        <w:tc>
          <w:tcPr>
            <w:tcW w:w="860" w:type="dxa"/>
            <w:vAlign w:val="bottom"/>
            <w:tcBorders>
              <w:bottom w:val="single" w:sz="8" w:color="0E191E"/>
            </w:tcBorders>
          </w:tcPr>
          <w:p>
            <w:pPr>
              <w:spacing w:after="0"/>
              <w:rPr>
                <w:sz w:val="5"/>
                <w:szCs w:val="5"/>
                <w:color w:val="auto"/>
              </w:rPr>
            </w:pPr>
          </w:p>
        </w:tc>
        <w:tc>
          <w:tcPr>
            <w:tcW w:w="540" w:type="dxa"/>
            <w:vAlign w:val="bottom"/>
            <w:tcBorders>
              <w:bottom w:val="single" w:sz="8" w:color="0E191E"/>
            </w:tcBorders>
          </w:tcPr>
          <w:p>
            <w:pPr>
              <w:spacing w:after="0"/>
              <w:rPr>
                <w:sz w:val="5"/>
                <w:szCs w:val="5"/>
                <w:color w:val="auto"/>
              </w:rPr>
            </w:pPr>
          </w:p>
        </w:tc>
        <w:tc>
          <w:tcPr>
            <w:tcW w:w="1120" w:type="dxa"/>
            <w:vAlign w:val="bottom"/>
            <w:tcBorders>
              <w:bottom w:val="single" w:sz="8" w:color="0E191E"/>
            </w:tcBorders>
          </w:tcPr>
          <w:p>
            <w:pPr>
              <w:spacing w:after="0"/>
              <w:rPr>
                <w:sz w:val="5"/>
                <w:szCs w:val="5"/>
                <w:color w:val="auto"/>
              </w:rPr>
            </w:pPr>
          </w:p>
        </w:tc>
        <w:tc>
          <w:tcPr>
            <w:tcW w:w="1480" w:type="dxa"/>
            <w:vAlign w:val="bottom"/>
            <w:tcBorders>
              <w:bottom w:val="single" w:sz="8" w:color="0E191E"/>
            </w:tcBorders>
          </w:tcPr>
          <w:p>
            <w:pPr>
              <w:spacing w:after="0"/>
              <w:rPr>
                <w:sz w:val="5"/>
                <w:szCs w:val="5"/>
                <w:color w:val="auto"/>
              </w:rPr>
            </w:pPr>
          </w:p>
        </w:tc>
        <w:tc>
          <w:tcPr>
            <w:tcW w:w="66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00" w:type="dxa"/>
            <w:vAlign w:val="bottom"/>
            <w:tcBorders>
              <w:bottom w:val="single" w:sz="8" w:color="0E191E"/>
            </w:tcBorders>
          </w:tcPr>
          <w:p>
            <w:pPr>
              <w:spacing w:after="0"/>
              <w:rPr>
                <w:sz w:val="5"/>
                <w:szCs w:val="5"/>
                <w:color w:val="auto"/>
              </w:rPr>
            </w:pPr>
          </w:p>
        </w:tc>
        <w:tc>
          <w:tcPr>
            <w:tcW w:w="1020" w:type="dxa"/>
            <w:vAlign w:val="bottom"/>
            <w:tcBorders>
              <w:bottom w:val="single" w:sz="8" w:color="0E191E"/>
            </w:tcBorders>
          </w:tcPr>
          <w:p>
            <w:pPr>
              <w:spacing w:after="0"/>
              <w:rPr>
                <w:sz w:val="5"/>
                <w:szCs w:val="5"/>
                <w:color w:val="auto"/>
              </w:rPr>
            </w:pPr>
          </w:p>
        </w:tc>
        <w:tc>
          <w:tcPr>
            <w:tcW w:w="116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0E191E"/>
              </w:rPr>
              <w:t>9/9/2020</w:t>
            </w:r>
          </w:p>
        </w:tc>
        <w:tc>
          <w:tcPr>
            <w:tcW w:w="540" w:type="dxa"/>
            <w:vAlign w:val="bottom"/>
          </w:tcPr>
          <w:p>
            <w:pPr>
              <w:ind w:left="80"/>
              <w:spacing w:after="0"/>
              <w:rPr>
                <w:sz w:val="20"/>
                <w:szCs w:val="20"/>
                <w:color w:val="auto"/>
              </w:rPr>
            </w:pPr>
            <w:r>
              <w:rPr>
                <w:rFonts w:ascii="Arial" w:cs="Arial" w:eastAsia="Arial" w:hAnsi="Arial"/>
                <w:sz w:val="15"/>
                <w:szCs w:val="15"/>
                <w:color w:val="0E191E"/>
              </w:rPr>
              <w:t>(4)</w:t>
            </w:r>
          </w:p>
        </w:tc>
        <w:tc>
          <w:tcPr>
            <w:tcW w:w="1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7,313</w:t>
            </w:r>
          </w:p>
        </w:tc>
        <w:tc>
          <w:tcPr>
            <w:tcW w:w="1020" w:type="dxa"/>
            <w:vAlign w:val="bottom"/>
          </w:tcPr>
          <w:p>
            <w:pPr>
              <w:jc w:val="right"/>
              <w:ind w:right="34"/>
              <w:spacing w:after="0"/>
              <w:rPr>
                <w:sz w:val="20"/>
                <w:szCs w:val="20"/>
                <w:color w:val="auto"/>
              </w:rPr>
            </w:pPr>
            <w:r>
              <w:rPr>
                <w:rFonts w:ascii="Arial" w:cs="Arial" w:eastAsia="Arial" w:hAnsi="Arial"/>
                <w:sz w:val="13"/>
                <w:szCs w:val="13"/>
                <w:color w:val="0E191E"/>
              </w:rPr>
              <w:t>842,458</w:t>
            </w:r>
          </w:p>
        </w:tc>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00" w:type="dxa"/>
            <w:vAlign w:val="bottom"/>
          </w:tcPr>
          <w:p>
            <w:pPr>
              <w:spacing w:after="0"/>
              <w:rPr>
                <w:sz w:val="5"/>
                <w:szCs w:val="5"/>
                <w:color w:val="auto"/>
              </w:rPr>
            </w:pPr>
          </w:p>
        </w:tc>
        <w:tc>
          <w:tcPr>
            <w:tcW w:w="860" w:type="dxa"/>
            <w:vAlign w:val="bottom"/>
            <w:tcBorders>
              <w:bottom w:val="single" w:sz="8" w:color="0E191E"/>
            </w:tcBorders>
          </w:tcPr>
          <w:p>
            <w:pPr>
              <w:spacing w:after="0"/>
              <w:rPr>
                <w:sz w:val="5"/>
                <w:szCs w:val="5"/>
                <w:color w:val="auto"/>
              </w:rPr>
            </w:pPr>
          </w:p>
        </w:tc>
        <w:tc>
          <w:tcPr>
            <w:tcW w:w="540" w:type="dxa"/>
            <w:vAlign w:val="bottom"/>
            <w:tcBorders>
              <w:bottom w:val="single" w:sz="8" w:color="0E191E"/>
            </w:tcBorders>
          </w:tcPr>
          <w:p>
            <w:pPr>
              <w:spacing w:after="0"/>
              <w:rPr>
                <w:sz w:val="5"/>
                <w:szCs w:val="5"/>
                <w:color w:val="auto"/>
              </w:rPr>
            </w:pPr>
          </w:p>
        </w:tc>
        <w:tc>
          <w:tcPr>
            <w:tcW w:w="1120" w:type="dxa"/>
            <w:vAlign w:val="bottom"/>
            <w:tcBorders>
              <w:bottom w:val="single" w:sz="8" w:color="0E191E"/>
            </w:tcBorders>
          </w:tcPr>
          <w:p>
            <w:pPr>
              <w:spacing w:after="0"/>
              <w:rPr>
                <w:sz w:val="5"/>
                <w:szCs w:val="5"/>
                <w:color w:val="auto"/>
              </w:rPr>
            </w:pPr>
          </w:p>
        </w:tc>
        <w:tc>
          <w:tcPr>
            <w:tcW w:w="1480" w:type="dxa"/>
            <w:vAlign w:val="bottom"/>
            <w:tcBorders>
              <w:bottom w:val="single" w:sz="8" w:color="0E191E"/>
            </w:tcBorders>
          </w:tcPr>
          <w:p>
            <w:pPr>
              <w:spacing w:after="0"/>
              <w:rPr>
                <w:sz w:val="5"/>
                <w:szCs w:val="5"/>
                <w:color w:val="auto"/>
              </w:rPr>
            </w:pPr>
          </w:p>
        </w:tc>
        <w:tc>
          <w:tcPr>
            <w:tcW w:w="66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900" w:type="dxa"/>
            <w:vAlign w:val="bottom"/>
            <w:tcBorders>
              <w:bottom w:val="single" w:sz="8" w:color="0E191E"/>
            </w:tcBorders>
          </w:tcPr>
          <w:p>
            <w:pPr>
              <w:spacing w:after="0"/>
              <w:rPr>
                <w:sz w:val="5"/>
                <w:szCs w:val="5"/>
                <w:color w:val="auto"/>
              </w:rPr>
            </w:pPr>
          </w:p>
        </w:tc>
        <w:tc>
          <w:tcPr>
            <w:tcW w:w="1020" w:type="dxa"/>
            <w:vAlign w:val="bottom"/>
            <w:tcBorders>
              <w:bottom w:val="single" w:sz="8" w:color="0E191E"/>
            </w:tcBorders>
          </w:tcPr>
          <w:p>
            <w:pPr>
              <w:spacing w:after="0"/>
              <w:rPr>
                <w:sz w:val="5"/>
                <w:szCs w:val="5"/>
                <w:color w:val="auto"/>
              </w:rPr>
            </w:pPr>
          </w:p>
        </w:tc>
        <w:tc>
          <w:tcPr>
            <w:tcW w:w="1160" w:type="dxa"/>
            <w:vAlign w:val="bottom"/>
            <w:tcBorders>
              <w:bottom w:val="single" w:sz="8" w:color="0E191E"/>
            </w:tcBorders>
          </w:tcPr>
          <w:p>
            <w:pPr>
              <w:spacing w:after="0"/>
              <w:rPr>
                <w:sz w:val="5"/>
                <w:szCs w:val="5"/>
                <w:color w:val="auto"/>
              </w:rPr>
            </w:pPr>
          </w:p>
        </w:tc>
        <w:tc>
          <w:tcPr>
            <w:tcW w:w="136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0E191E"/>
              </w:rPr>
              <w:t>9/9/2020</w:t>
            </w:r>
          </w:p>
        </w:tc>
        <w:tc>
          <w:tcPr>
            <w:tcW w:w="540" w:type="dxa"/>
            <w:vAlign w:val="bottom"/>
          </w:tcPr>
          <w:p>
            <w:pPr>
              <w:ind w:left="80"/>
              <w:spacing w:after="0"/>
              <w:rPr>
                <w:sz w:val="20"/>
                <w:szCs w:val="20"/>
                <w:color w:val="auto"/>
              </w:rPr>
            </w:pPr>
            <w:r>
              <w:rPr>
                <w:rFonts w:ascii="Arial" w:cs="Arial" w:eastAsia="Arial" w:hAnsi="Arial"/>
                <w:sz w:val="15"/>
                <w:szCs w:val="15"/>
                <w:color w:val="0E191E"/>
              </w:rPr>
              <w:t>(5)</w:t>
            </w:r>
          </w:p>
        </w:tc>
        <w:tc>
          <w:tcPr>
            <w:tcW w:w="1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E191E"/>
              </w:rPr>
              <w:t>4,695</w:t>
            </w:r>
          </w:p>
        </w:tc>
        <w:tc>
          <w:tcPr>
            <w:tcW w:w="1020" w:type="dxa"/>
            <w:vAlign w:val="bottom"/>
          </w:tcPr>
          <w:p>
            <w:pPr>
              <w:jc w:val="right"/>
              <w:ind w:right="34"/>
              <w:spacing w:after="0"/>
              <w:rPr>
                <w:sz w:val="20"/>
                <w:szCs w:val="20"/>
                <w:color w:val="auto"/>
              </w:rPr>
            </w:pPr>
            <w:r>
              <w:rPr>
                <w:rFonts w:ascii="Arial" w:cs="Arial" w:eastAsia="Arial" w:hAnsi="Arial"/>
                <w:sz w:val="13"/>
                <w:szCs w:val="13"/>
                <w:color w:val="0E191E"/>
              </w:rPr>
              <w:t>540,864</w:t>
            </w:r>
          </w:p>
        </w:tc>
        <w:tc>
          <w:tcPr>
            <w:tcW w:w="1160" w:type="dxa"/>
            <w:vAlign w:val="bottom"/>
          </w:tcPr>
          <w:p>
            <w:pPr>
              <w:jc w:val="center"/>
              <w:spacing w:after="0"/>
              <w:rPr>
                <w:sz w:val="20"/>
                <w:szCs w:val="20"/>
                <w:color w:val="auto"/>
              </w:rPr>
            </w:pPr>
            <w:r>
              <w:rPr>
                <w:rFonts w:ascii="Arial" w:cs="Arial" w:eastAsia="Arial" w:hAnsi="Arial"/>
                <w:sz w:val="13"/>
                <w:szCs w:val="13"/>
                <w:color w:val="0E191E"/>
              </w:rPr>
              <w:t>4,500</w:t>
            </w:r>
          </w:p>
        </w:tc>
        <w:tc>
          <w:tcPr>
            <w:tcW w:w="1360" w:type="dxa"/>
            <w:vAlign w:val="bottom"/>
          </w:tcPr>
          <w:p>
            <w:pPr>
              <w:jc w:val="right"/>
              <w:ind w:right="156"/>
              <w:spacing w:after="0"/>
              <w:rPr>
                <w:sz w:val="20"/>
                <w:szCs w:val="20"/>
                <w:color w:val="auto"/>
              </w:rPr>
            </w:pPr>
            <w:r>
              <w:rPr>
                <w:rFonts w:ascii="Arial" w:cs="Arial" w:eastAsia="Arial" w:hAnsi="Arial"/>
                <w:sz w:val="13"/>
                <w:szCs w:val="13"/>
                <w:color w:val="0E191E"/>
              </w:rPr>
              <w:t>518,400</w:t>
            </w:r>
          </w:p>
        </w:tc>
        <w:tc>
          <w:tcPr>
            <w:tcW w:w="0" w:type="dxa"/>
            <w:vAlign w:val="bottom"/>
          </w:tcPr>
          <w:p>
            <w:pPr>
              <w:spacing w:after="0"/>
              <w:rPr>
                <w:sz w:val="1"/>
                <w:szCs w:val="1"/>
                <w:color w:val="auto"/>
              </w:rPr>
            </w:pPr>
          </w:p>
        </w:tc>
      </w:tr>
      <w:tr>
        <w:trPr>
          <w:trHeight w:val="62"/>
        </w:trPr>
        <w:tc>
          <w:tcPr>
            <w:tcW w:w="12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20" w:type="dxa"/>
            <w:vAlign w:val="bottom"/>
            <w:tcBorders>
              <w:bottom w:val="single" w:sz="8" w:color="FFC000"/>
            </w:tcBorders>
          </w:tcPr>
          <w:p>
            <w:pPr>
              <w:spacing w:after="0"/>
              <w:rPr>
                <w:sz w:val="5"/>
                <w:szCs w:val="5"/>
                <w:color w:val="auto"/>
              </w:rPr>
            </w:pPr>
          </w:p>
        </w:tc>
        <w:tc>
          <w:tcPr>
            <w:tcW w:w="1480" w:type="dxa"/>
            <w:vAlign w:val="bottom"/>
            <w:tcBorders>
              <w:bottom w:val="single" w:sz="8" w:color="FFC000"/>
            </w:tcBorders>
          </w:tcPr>
          <w:p>
            <w:pPr>
              <w:spacing w:after="0"/>
              <w:rPr>
                <w:sz w:val="5"/>
                <w:szCs w:val="5"/>
                <w:color w:val="auto"/>
              </w:rPr>
            </w:pPr>
          </w:p>
        </w:tc>
        <w:tc>
          <w:tcPr>
            <w:tcW w:w="660" w:type="dxa"/>
            <w:vAlign w:val="bottom"/>
            <w:tcBorders>
              <w:bottom w:val="single" w:sz="8" w:color="FFC000"/>
            </w:tcBorders>
          </w:tcPr>
          <w:p>
            <w:pPr>
              <w:spacing w:after="0"/>
              <w:rPr>
                <w:sz w:val="5"/>
                <w:szCs w:val="5"/>
                <w:color w:val="auto"/>
              </w:rPr>
            </w:pPr>
          </w:p>
        </w:tc>
        <w:tc>
          <w:tcPr>
            <w:tcW w:w="940" w:type="dxa"/>
            <w:vAlign w:val="bottom"/>
            <w:tcBorders>
              <w:bottom w:val="single" w:sz="8" w:color="FFC000"/>
            </w:tcBorders>
          </w:tcPr>
          <w:p>
            <w:pPr>
              <w:spacing w:after="0"/>
              <w:rPr>
                <w:sz w:val="5"/>
                <w:szCs w:val="5"/>
                <w:color w:val="auto"/>
              </w:rPr>
            </w:pPr>
          </w:p>
        </w:tc>
        <w:tc>
          <w:tcPr>
            <w:tcW w:w="900" w:type="dxa"/>
            <w:vAlign w:val="bottom"/>
            <w:tcBorders>
              <w:bottom w:val="single" w:sz="8" w:color="1EB7DF"/>
            </w:tcBorders>
          </w:tcPr>
          <w:p>
            <w:pPr>
              <w:spacing w:after="0"/>
              <w:rPr>
                <w:sz w:val="5"/>
                <w:szCs w:val="5"/>
                <w:color w:val="auto"/>
              </w:rPr>
            </w:pPr>
          </w:p>
        </w:tc>
        <w:tc>
          <w:tcPr>
            <w:tcW w:w="1020" w:type="dxa"/>
            <w:vAlign w:val="bottom"/>
            <w:tcBorders>
              <w:bottom w:val="single" w:sz="8" w:color="1EB7DF"/>
            </w:tcBorders>
          </w:tcPr>
          <w:p>
            <w:pPr>
              <w:spacing w:after="0"/>
              <w:rPr>
                <w:sz w:val="5"/>
                <w:szCs w:val="5"/>
                <w:color w:val="auto"/>
              </w:rPr>
            </w:pPr>
          </w:p>
        </w:tc>
        <w:tc>
          <w:tcPr>
            <w:tcW w:w="1160" w:type="dxa"/>
            <w:vAlign w:val="bottom"/>
            <w:tcBorders>
              <w:bottom w:val="single" w:sz="8" w:color="1EB7DF"/>
            </w:tcBorders>
          </w:tcPr>
          <w:p>
            <w:pPr>
              <w:spacing w:after="0"/>
              <w:rPr>
                <w:sz w:val="5"/>
                <w:szCs w:val="5"/>
                <w:color w:val="auto"/>
              </w:rPr>
            </w:pPr>
          </w:p>
        </w:tc>
        <w:tc>
          <w:tcPr>
            <w:tcW w:w="1360" w:type="dxa"/>
            <w:vAlign w:val="bottom"/>
            <w:tcBorders>
              <w:bottom w:val="single" w:sz="8" w:color="1EB7D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-33655</wp:posOffset>
            </wp:positionV>
            <wp:extent cx="2540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pacing w:after="0" w:line="152" w:lineRule="exact"/>
        <w:rPr>
          <w:sz w:val="20"/>
          <w:szCs w:val="20"/>
          <w:color w:val="auto"/>
        </w:rPr>
      </w:pPr>
    </w:p>
    <w:p>
      <w:pPr>
        <w:ind w:left="460" w:hanging="234"/>
        <w:spacing w:after="0"/>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0E191E"/>
        </w:rPr>
        <w:t>Time-Vesting RSUs vest over four years (25% cliff vest on the first anniversary of September 15, 2019, then in equal quarterly installments thereafter).</w:t>
      </w:r>
    </w:p>
    <w:p>
      <w:pPr>
        <w:spacing w:after="0" w:line="70" w:lineRule="exact"/>
        <w:rPr>
          <w:rFonts w:ascii="Arial" w:cs="Arial" w:eastAsia="Arial" w:hAnsi="Arial"/>
          <w:sz w:val="15"/>
          <w:szCs w:val="15"/>
          <w:color w:val="auto"/>
        </w:rPr>
      </w:pPr>
    </w:p>
    <w:p>
      <w:pPr>
        <w:ind w:left="460" w:right="480" w:hanging="234"/>
        <w:spacing w:after="0" w:line="279"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0E191E"/>
        </w:rPr>
        <w:t>Performance-Vesting RSUs vest over four years (25% after 1 year, then in equal quarterly installments thereafter), commencing on September 15, 2019, assuming attainment of pre-defined financial results for fiscal year 2020, which were attained at 73%.</w:t>
      </w:r>
    </w:p>
    <w:p>
      <w:pPr>
        <w:spacing w:after="0" w:line="30" w:lineRule="exact"/>
        <w:rPr>
          <w:rFonts w:ascii="Arial" w:cs="Arial" w:eastAsia="Arial" w:hAnsi="Arial"/>
          <w:sz w:val="15"/>
          <w:szCs w:val="15"/>
          <w:color w:val="auto"/>
        </w:rPr>
      </w:pPr>
    </w:p>
    <w:p>
      <w:pPr>
        <w:ind w:left="460" w:right="120" w:hanging="234"/>
        <w:spacing w:after="0" w:line="271"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0E191E"/>
        </w:rPr>
        <w:t>TSR RSUs at the target achievement of 100%. Achievement level between 0% to 125% of the reported target number of TSR RSUs may be earned based on the Company’s TSR percentile ranking relative to the S&amp;P Software and Services Select Industry Index for a three year cumulative performance period commencing August 1, 2019 and ending July 31, 2022.</w:t>
      </w:r>
    </w:p>
    <w:p>
      <w:pPr>
        <w:spacing w:after="0" w:line="36" w:lineRule="exact"/>
        <w:rPr>
          <w:rFonts w:ascii="Arial" w:cs="Arial" w:eastAsia="Arial" w:hAnsi="Arial"/>
          <w:sz w:val="15"/>
          <w:szCs w:val="15"/>
          <w:color w:val="auto"/>
        </w:rPr>
      </w:pPr>
    </w:p>
    <w:p>
      <w:pPr>
        <w:ind w:left="460" w:hanging="234"/>
        <w:spacing w:after="0"/>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0E191E"/>
        </w:rPr>
        <w:t>Time-Vesting RSUs vest in equal quarterly installments over four years, commencing on the grant date.</w:t>
      </w:r>
    </w:p>
    <w:p>
      <w:pPr>
        <w:spacing w:after="0" w:line="70" w:lineRule="exact"/>
        <w:rPr>
          <w:rFonts w:ascii="Arial" w:cs="Arial" w:eastAsia="Arial" w:hAnsi="Arial"/>
          <w:sz w:val="15"/>
          <w:szCs w:val="15"/>
          <w:color w:val="auto"/>
        </w:rPr>
      </w:pPr>
    </w:p>
    <w:p>
      <w:pPr>
        <w:jc w:val="both"/>
        <w:ind w:left="460" w:right="20" w:hanging="234"/>
        <w:spacing w:after="0" w:line="271"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0E191E"/>
        </w:rPr>
        <w:t>Performance-Vesting RSUs vest over three years (33% of 50% of the shares vest after 1 year, then in equal annual installments over 2 years), commencing on September 15, 2020, assuming attainment of predefined financial results for fiscal year 2021, which were attained at 104.3%. The remaining 50% of the shares will vest in year 3 assuming attainment of predefined financial results for fiscal year 2023.</w:t>
      </w:r>
    </w:p>
    <w:p>
      <w:pPr>
        <w:spacing w:after="0" w:line="36" w:lineRule="exact"/>
        <w:rPr>
          <w:rFonts w:ascii="Arial" w:cs="Arial" w:eastAsia="Arial" w:hAnsi="Arial"/>
          <w:sz w:val="15"/>
          <w:szCs w:val="15"/>
          <w:color w:val="auto"/>
        </w:rPr>
      </w:pPr>
    </w:p>
    <w:p>
      <w:pPr>
        <w:ind w:left="460" w:hanging="234"/>
        <w:spacing w:after="0"/>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0E191E"/>
        </w:rPr>
        <w:t>Time-Vesting RSUs vest over four years (25% cliff vest on the first anniversary of December 15, 2017, then in equal quarterly installments thereafter).</w:t>
      </w:r>
    </w:p>
    <w:p>
      <w:pPr>
        <w:spacing w:after="0" w:line="70" w:lineRule="exact"/>
        <w:rPr>
          <w:rFonts w:ascii="Arial" w:cs="Arial" w:eastAsia="Arial" w:hAnsi="Arial"/>
          <w:sz w:val="15"/>
          <w:szCs w:val="15"/>
          <w:color w:val="auto"/>
        </w:rPr>
      </w:pPr>
    </w:p>
    <w:p>
      <w:pPr>
        <w:ind w:left="460" w:right="480" w:hanging="234"/>
        <w:spacing w:after="0" w:line="279"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0E191E"/>
        </w:rPr>
        <w:t>Performance-Vesting RSUs vest over four years (25% after 1 year, then in equal quarterly installments thereafter), commencing on September 15, 2018, assuming attainment of predefined financial results for fiscal year 2019, which were attained at 112.5%.</w:t>
      </w:r>
    </w:p>
    <w:p>
      <w:pPr>
        <w:spacing w:after="0" w:line="30" w:lineRule="exact"/>
        <w:rPr>
          <w:rFonts w:ascii="Arial" w:cs="Arial" w:eastAsia="Arial" w:hAnsi="Arial"/>
          <w:sz w:val="15"/>
          <w:szCs w:val="15"/>
          <w:color w:val="auto"/>
        </w:rPr>
      </w:pPr>
    </w:p>
    <w:p>
      <w:pPr>
        <w:ind w:left="460" w:right="480" w:hanging="234"/>
        <w:spacing w:after="0" w:line="279"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0E191E"/>
        </w:rPr>
        <w:t>Performance-Vesting RSUs vest on September 15, 2021, assuming attainment of predefined financial results for fiscal year 2021, which were attained at 100%..</w:t>
      </w:r>
    </w:p>
    <w:p>
      <w:pPr>
        <w:spacing w:after="0" w:line="30" w:lineRule="exact"/>
        <w:rPr>
          <w:rFonts w:ascii="Arial" w:cs="Arial" w:eastAsia="Arial" w:hAnsi="Arial"/>
          <w:sz w:val="15"/>
          <w:szCs w:val="15"/>
          <w:color w:val="auto"/>
        </w:rPr>
      </w:pPr>
    </w:p>
    <w:p>
      <w:pPr>
        <w:ind w:left="460" w:right="480" w:hanging="234"/>
        <w:spacing w:after="0" w:line="279"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0E191E"/>
        </w:rPr>
        <w:t>Performance-Vesting RSUs vest over four years (25% after 1 year, then in equal quarterly installments thereafter), commencing on September 15, 2017, assuming attainment of predefined financial results for fiscal year 2018, which were attained at 108%.</w:t>
      </w:r>
    </w:p>
    <w:p>
      <w:pPr>
        <w:spacing w:after="0" w:line="200" w:lineRule="exact"/>
        <w:rPr>
          <w:sz w:val="20"/>
          <w:szCs w:val="20"/>
          <w:color w:val="auto"/>
        </w:rPr>
      </w:pPr>
    </w:p>
    <w:p>
      <w:pPr>
        <w:spacing w:after="0" w:line="299"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52</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5" w:right="339" w:bottom="1440" w:gutter="0" w:footer="0" w:header="0"/>
        </w:sectPr>
      </w:pPr>
    </w:p>
    <w:bookmarkStart w:id="56" w:name="page57"/>
    <w:bookmarkEnd w:id="56"/>
    <w:p>
      <w:pPr>
        <w:ind w:left="460" w:hanging="319"/>
        <w:spacing w:after="0"/>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0E191E"/>
        </w:rPr>
        <w:t>The time-based vesting condition has been met and the option is fully-vested and exercisable.</w:t>
      </w:r>
    </w:p>
    <w:p>
      <w:pPr>
        <w:spacing w:after="0" w:line="70" w:lineRule="exact"/>
        <w:rPr>
          <w:rFonts w:ascii="Arial" w:cs="Arial" w:eastAsia="Arial" w:hAnsi="Arial"/>
          <w:sz w:val="15"/>
          <w:szCs w:val="15"/>
          <w:color w:val="auto"/>
        </w:rPr>
      </w:pPr>
    </w:p>
    <w:p>
      <w:pPr>
        <w:ind w:left="460" w:hanging="319"/>
        <w:spacing w:after="0"/>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0E191E"/>
        </w:rPr>
        <w:t>Time-Vesting RSUs vest over four years (25% cliff vest on the first anniversary of June 15, 2020, then in equal quarterly installments thereafter).</w:t>
      </w:r>
    </w:p>
    <w:p>
      <w:pPr>
        <w:spacing w:after="0" w:line="70" w:lineRule="exact"/>
        <w:rPr>
          <w:rFonts w:ascii="Arial" w:cs="Arial" w:eastAsia="Arial" w:hAnsi="Arial"/>
          <w:sz w:val="15"/>
          <w:szCs w:val="15"/>
          <w:color w:val="auto"/>
        </w:rPr>
      </w:pPr>
    </w:p>
    <w:p>
      <w:pPr>
        <w:ind w:left="460" w:hanging="319"/>
        <w:spacing w:after="0"/>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0E191E"/>
        </w:rPr>
        <w:t>The amounts shown are based on a price of $115.20 per share, which was the closing price of our common stock as reported on the NYSE on July 30, 2021.</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Option Exercises and Stock Vested During Fiscal Year 2021</w:t>
      </w:r>
    </w:p>
    <w:p>
      <w:pPr>
        <w:spacing w:after="0" w:line="136" w:lineRule="exact"/>
        <w:rPr>
          <w:sz w:val="20"/>
          <w:szCs w:val="20"/>
          <w:color w:val="auto"/>
        </w:rPr>
      </w:pPr>
    </w:p>
    <w:p>
      <w:pPr>
        <w:ind w:right="360"/>
        <w:spacing w:after="0" w:line="317" w:lineRule="auto"/>
        <w:rPr>
          <w:sz w:val="20"/>
          <w:szCs w:val="20"/>
          <w:color w:val="auto"/>
        </w:rPr>
      </w:pPr>
      <w:r>
        <w:rPr>
          <w:rFonts w:ascii="Arial" w:cs="Arial" w:eastAsia="Arial" w:hAnsi="Arial"/>
          <w:sz w:val="15"/>
          <w:szCs w:val="15"/>
          <w:color w:val="0E191E"/>
        </w:rPr>
        <w:t>The following table presents certain information concerning the exercise of options by each of the Named Executive Officers during the fiscal year ended July 31, 2021, as well as information regarding stock awards that vested during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2720" w:type="dxa"/>
            <w:vAlign w:val="bottom"/>
            <w:tcBorders>
              <w:bottom w:val="single" w:sz="8" w:color="1EB7DF"/>
            </w:tcBorders>
            <w:shd w:val="clear" w:color="auto" w:fill="1EB7DF"/>
          </w:tcPr>
          <w:p>
            <w:pPr>
              <w:ind w:left="1440"/>
              <w:spacing w:after="0"/>
              <w:rPr>
                <w:sz w:val="20"/>
                <w:szCs w:val="20"/>
                <w:color w:val="auto"/>
              </w:rPr>
            </w:pPr>
            <w:r>
              <w:rPr>
                <w:rFonts w:ascii="Arial" w:cs="Arial" w:eastAsia="Arial" w:hAnsi="Arial"/>
                <w:sz w:val="13"/>
                <w:szCs w:val="13"/>
                <w:b w:val="1"/>
                <w:bCs w:val="1"/>
                <w:color w:val="0E191E"/>
              </w:rPr>
              <w:t>Options Awards</w:t>
            </w:r>
          </w:p>
        </w:tc>
        <w:tc>
          <w:tcPr>
            <w:tcW w:w="1240" w:type="dxa"/>
            <w:vAlign w:val="bottom"/>
            <w:tcBorders>
              <w:bottom w:val="single" w:sz="8" w:color="1EB7DF"/>
              <w:right w:val="single" w:sz="8" w:color="FEC00F"/>
            </w:tcBorders>
            <w:shd w:val="clear" w:color="auto" w:fill="1EB7DF"/>
          </w:tcPr>
          <w:p>
            <w:pPr>
              <w:spacing w:after="0"/>
              <w:rPr>
                <w:sz w:val="18"/>
                <w:szCs w:val="18"/>
                <w:color w:val="auto"/>
              </w:rPr>
            </w:pPr>
          </w:p>
        </w:tc>
        <w:tc>
          <w:tcPr>
            <w:tcW w:w="2600" w:type="dxa"/>
            <w:vAlign w:val="bottom"/>
            <w:tcBorders>
              <w:bottom w:val="single" w:sz="8" w:color="FEC00F"/>
            </w:tcBorders>
            <w:shd w:val="clear" w:color="auto" w:fill="FEC00F"/>
          </w:tcPr>
          <w:p>
            <w:pPr>
              <w:ind w:left="1460"/>
              <w:spacing w:after="0"/>
              <w:rPr>
                <w:sz w:val="20"/>
                <w:szCs w:val="20"/>
                <w:color w:val="auto"/>
              </w:rPr>
            </w:pPr>
            <w:r>
              <w:rPr>
                <w:rFonts w:ascii="Arial" w:cs="Arial" w:eastAsia="Arial" w:hAnsi="Arial"/>
                <w:sz w:val="13"/>
                <w:szCs w:val="13"/>
                <w:b w:val="1"/>
                <w:bCs w:val="1"/>
                <w:color w:val="0E191E"/>
              </w:rPr>
              <w:t>Stock Awards</w:t>
            </w:r>
          </w:p>
        </w:tc>
        <w:tc>
          <w:tcPr>
            <w:tcW w:w="1360" w:type="dxa"/>
            <w:vAlign w:val="bottom"/>
            <w:tcBorders>
              <w:bottom w:val="single" w:sz="8" w:color="FEC00F"/>
            </w:tcBorders>
            <w:shd w:val="clear" w:color="auto" w:fill="FEC00F"/>
          </w:tcPr>
          <w:p>
            <w:pPr>
              <w:spacing w:after="0"/>
              <w:rPr>
                <w:sz w:val="18"/>
                <w:szCs w:val="18"/>
                <w:color w:val="auto"/>
              </w:rPr>
            </w:pPr>
          </w:p>
        </w:tc>
      </w:tr>
      <w:tr>
        <w:trPr>
          <w:trHeight w:val="199"/>
        </w:trPr>
        <w:tc>
          <w:tcPr>
            <w:tcW w:w="3320" w:type="dxa"/>
            <w:vAlign w:val="bottom"/>
            <w:shd w:val="clear" w:color="auto" w:fill="00739D"/>
          </w:tcPr>
          <w:p>
            <w:pPr>
              <w:spacing w:after="0"/>
              <w:rPr>
                <w:sz w:val="17"/>
                <w:szCs w:val="17"/>
                <w:color w:val="auto"/>
              </w:rPr>
            </w:pPr>
          </w:p>
        </w:tc>
        <w:tc>
          <w:tcPr>
            <w:tcW w:w="2720" w:type="dxa"/>
            <w:vAlign w:val="bottom"/>
            <w:shd w:val="clear" w:color="auto" w:fill="00739D"/>
          </w:tcPr>
          <w:p>
            <w:pPr>
              <w:jc w:val="right"/>
              <w:ind w:right="713"/>
              <w:spacing w:after="0"/>
              <w:rPr>
                <w:sz w:val="20"/>
                <w:szCs w:val="20"/>
                <w:color w:val="auto"/>
              </w:rPr>
            </w:pPr>
            <w:r>
              <w:rPr>
                <w:rFonts w:ascii="Arial" w:cs="Arial" w:eastAsia="Arial" w:hAnsi="Arial"/>
                <w:sz w:val="13"/>
                <w:szCs w:val="13"/>
                <w:b w:val="1"/>
                <w:bCs w:val="1"/>
                <w:color w:val="FFFFFF"/>
              </w:rPr>
              <w:t>Number of Shares</w:t>
            </w:r>
          </w:p>
        </w:tc>
        <w:tc>
          <w:tcPr>
            <w:tcW w:w="1240" w:type="dxa"/>
            <w:vAlign w:val="bottom"/>
            <w:tcBorders>
              <w:right w:val="single" w:sz="8" w:color="00739D"/>
            </w:tcBorders>
            <w:shd w:val="clear" w:color="auto" w:fill="00739D"/>
          </w:tcPr>
          <w:p>
            <w:pPr>
              <w:jc w:val="right"/>
              <w:spacing w:after="0"/>
              <w:rPr>
                <w:sz w:val="20"/>
                <w:szCs w:val="20"/>
                <w:color w:val="auto"/>
              </w:rPr>
            </w:pPr>
            <w:r>
              <w:rPr>
                <w:rFonts w:ascii="Arial" w:cs="Arial" w:eastAsia="Arial" w:hAnsi="Arial"/>
                <w:sz w:val="13"/>
                <w:szCs w:val="13"/>
                <w:b w:val="1"/>
                <w:bCs w:val="1"/>
                <w:color w:val="FFFFFF"/>
              </w:rPr>
              <w:t>Value Realized</w:t>
            </w:r>
          </w:p>
        </w:tc>
        <w:tc>
          <w:tcPr>
            <w:tcW w:w="2600" w:type="dxa"/>
            <w:vAlign w:val="bottom"/>
            <w:shd w:val="clear" w:color="auto" w:fill="00739D"/>
          </w:tcPr>
          <w:p>
            <w:pPr>
              <w:jc w:val="center"/>
              <w:ind w:right="653"/>
              <w:spacing w:after="0"/>
              <w:rPr>
                <w:sz w:val="20"/>
                <w:szCs w:val="20"/>
                <w:color w:val="auto"/>
              </w:rPr>
            </w:pPr>
            <w:r>
              <w:rPr>
                <w:rFonts w:ascii="Arial" w:cs="Arial" w:eastAsia="Arial" w:hAnsi="Arial"/>
                <w:sz w:val="13"/>
                <w:szCs w:val="13"/>
                <w:b w:val="1"/>
                <w:bCs w:val="1"/>
                <w:color w:val="FFFFFF"/>
              </w:rPr>
              <w:t>Number of Shares</w:t>
            </w:r>
          </w:p>
        </w:tc>
        <w:tc>
          <w:tcPr>
            <w:tcW w:w="1360" w:type="dxa"/>
            <w:vAlign w:val="bottom"/>
            <w:shd w:val="clear" w:color="auto" w:fill="00739D"/>
          </w:tcPr>
          <w:p>
            <w:pPr>
              <w:jc w:val="right"/>
              <w:ind w:right="93"/>
              <w:spacing w:after="0"/>
              <w:rPr>
                <w:sz w:val="20"/>
                <w:szCs w:val="20"/>
                <w:color w:val="auto"/>
              </w:rPr>
            </w:pPr>
            <w:r>
              <w:rPr>
                <w:rFonts w:ascii="Arial" w:cs="Arial" w:eastAsia="Arial" w:hAnsi="Arial"/>
                <w:sz w:val="13"/>
                <w:szCs w:val="13"/>
                <w:b w:val="1"/>
                <w:bCs w:val="1"/>
                <w:color w:val="FFFFFF"/>
              </w:rPr>
              <w:t>Value Realized</w:t>
            </w:r>
          </w:p>
        </w:tc>
      </w:tr>
      <w:tr>
        <w:trPr>
          <w:trHeight w:val="162"/>
        </w:trPr>
        <w:tc>
          <w:tcPr>
            <w:tcW w:w="3320" w:type="dxa"/>
            <w:vAlign w:val="bottom"/>
            <w:shd w:val="clear" w:color="auto" w:fill="00739D"/>
          </w:tcPr>
          <w:p>
            <w:pPr>
              <w:spacing w:after="0"/>
              <w:rPr>
                <w:sz w:val="14"/>
                <w:szCs w:val="14"/>
                <w:color w:val="auto"/>
              </w:rPr>
            </w:pPr>
          </w:p>
        </w:tc>
        <w:tc>
          <w:tcPr>
            <w:tcW w:w="2720" w:type="dxa"/>
            <w:vAlign w:val="bottom"/>
            <w:shd w:val="clear" w:color="auto" w:fill="00739D"/>
          </w:tcPr>
          <w:p>
            <w:pPr>
              <w:jc w:val="right"/>
              <w:ind w:right="713"/>
              <w:spacing w:after="0"/>
              <w:rPr>
                <w:sz w:val="20"/>
                <w:szCs w:val="20"/>
                <w:color w:val="auto"/>
              </w:rPr>
            </w:pPr>
            <w:r>
              <w:rPr>
                <w:rFonts w:ascii="Arial" w:cs="Arial" w:eastAsia="Arial" w:hAnsi="Arial"/>
                <w:sz w:val="13"/>
                <w:szCs w:val="13"/>
                <w:b w:val="1"/>
                <w:bCs w:val="1"/>
                <w:color w:val="FFFFFF"/>
              </w:rPr>
              <w:t>Acquired on Exercise</w:t>
            </w:r>
          </w:p>
        </w:tc>
        <w:tc>
          <w:tcPr>
            <w:tcW w:w="1240" w:type="dxa"/>
            <w:vAlign w:val="bottom"/>
            <w:tcBorders>
              <w:right w:val="single" w:sz="8" w:color="00739D"/>
            </w:tcBorders>
            <w:shd w:val="clear" w:color="auto" w:fill="00739D"/>
          </w:tcPr>
          <w:p>
            <w:pPr>
              <w:jc w:val="right"/>
              <w:spacing w:after="0"/>
              <w:rPr>
                <w:sz w:val="20"/>
                <w:szCs w:val="20"/>
                <w:color w:val="auto"/>
              </w:rPr>
            </w:pPr>
            <w:r>
              <w:rPr>
                <w:rFonts w:ascii="Arial" w:cs="Arial" w:eastAsia="Arial" w:hAnsi="Arial"/>
                <w:sz w:val="13"/>
                <w:szCs w:val="13"/>
                <w:b w:val="1"/>
                <w:bCs w:val="1"/>
                <w:color w:val="FFFFFF"/>
              </w:rPr>
              <w:t>on Exercise</w:t>
            </w:r>
          </w:p>
        </w:tc>
        <w:tc>
          <w:tcPr>
            <w:tcW w:w="2600" w:type="dxa"/>
            <w:vAlign w:val="bottom"/>
            <w:shd w:val="clear" w:color="auto" w:fill="00739D"/>
          </w:tcPr>
          <w:p>
            <w:pPr>
              <w:jc w:val="center"/>
              <w:ind w:right="633"/>
              <w:spacing w:after="0"/>
              <w:rPr>
                <w:sz w:val="20"/>
                <w:szCs w:val="20"/>
                <w:color w:val="auto"/>
              </w:rPr>
            </w:pPr>
            <w:r>
              <w:rPr>
                <w:rFonts w:ascii="Arial" w:cs="Arial" w:eastAsia="Arial" w:hAnsi="Arial"/>
                <w:sz w:val="13"/>
                <w:szCs w:val="13"/>
                <w:b w:val="1"/>
                <w:bCs w:val="1"/>
                <w:color w:val="FFFFFF"/>
              </w:rPr>
              <w:t>Acquired on Vesting</w:t>
            </w:r>
          </w:p>
        </w:tc>
        <w:tc>
          <w:tcPr>
            <w:tcW w:w="1360" w:type="dxa"/>
            <w:vAlign w:val="bottom"/>
            <w:shd w:val="clear" w:color="auto" w:fill="00739D"/>
          </w:tcPr>
          <w:p>
            <w:pPr>
              <w:jc w:val="center"/>
              <w:ind w:left="293"/>
              <w:spacing w:after="0"/>
              <w:rPr>
                <w:sz w:val="20"/>
                <w:szCs w:val="20"/>
                <w:color w:val="auto"/>
              </w:rPr>
            </w:pPr>
            <w:r>
              <w:rPr>
                <w:rFonts w:ascii="Arial" w:cs="Arial" w:eastAsia="Arial" w:hAnsi="Arial"/>
                <w:sz w:val="13"/>
                <w:szCs w:val="13"/>
                <w:b w:val="1"/>
                <w:bCs w:val="1"/>
                <w:color w:val="FFFFFF"/>
              </w:rPr>
              <w:t>on Vesting</w:t>
            </w:r>
          </w:p>
        </w:tc>
      </w:tr>
      <w:tr>
        <w:trPr>
          <w:trHeight w:val="206"/>
        </w:trPr>
        <w:tc>
          <w:tcPr>
            <w:tcW w:w="332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w:t>
            </w:r>
          </w:p>
        </w:tc>
        <w:tc>
          <w:tcPr>
            <w:tcW w:w="2720" w:type="dxa"/>
            <w:vAlign w:val="bottom"/>
            <w:shd w:val="clear" w:color="auto" w:fill="00739D"/>
          </w:tcPr>
          <w:p>
            <w:pPr>
              <w:ind w:left="1780"/>
              <w:spacing w:after="0"/>
              <w:rPr>
                <w:sz w:val="20"/>
                <w:szCs w:val="20"/>
                <w:color w:val="auto"/>
              </w:rPr>
            </w:pPr>
            <w:r>
              <w:rPr>
                <w:rFonts w:ascii="Arial" w:cs="Arial" w:eastAsia="Arial" w:hAnsi="Arial"/>
                <w:sz w:val="13"/>
                <w:szCs w:val="13"/>
                <w:b w:val="1"/>
                <w:bCs w:val="1"/>
                <w:color w:val="FFFFFF"/>
              </w:rPr>
              <w:t>(#)</w:t>
            </w:r>
          </w:p>
        </w:tc>
        <w:tc>
          <w:tcPr>
            <w:tcW w:w="1240" w:type="dxa"/>
            <w:vAlign w:val="bottom"/>
            <w:tcBorders>
              <w:right w:val="single" w:sz="8" w:color="00739D"/>
            </w:tcBorders>
            <w:shd w:val="clear" w:color="auto" w:fill="00739D"/>
          </w:tcPr>
          <w:p>
            <w:pPr>
              <w:jc w:val="right"/>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7"/>
                <w:szCs w:val="17"/>
                <w:b w:val="1"/>
                <w:bCs w:val="1"/>
                <w:color w:val="FFFFFF"/>
                <w:vertAlign w:val="superscript"/>
              </w:rPr>
              <w:t>(1)</w:t>
            </w:r>
          </w:p>
        </w:tc>
        <w:tc>
          <w:tcPr>
            <w:tcW w:w="2600" w:type="dxa"/>
            <w:vAlign w:val="bottom"/>
            <w:shd w:val="clear" w:color="auto" w:fill="00739D"/>
          </w:tcPr>
          <w:p>
            <w:pPr>
              <w:jc w:val="center"/>
              <w:ind w:right="613"/>
              <w:spacing w:after="0"/>
              <w:rPr>
                <w:sz w:val="20"/>
                <w:szCs w:val="20"/>
                <w:color w:val="auto"/>
              </w:rPr>
            </w:pPr>
            <w:r>
              <w:rPr>
                <w:rFonts w:ascii="Arial" w:cs="Arial" w:eastAsia="Arial" w:hAnsi="Arial"/>
                <w:sz w:val="13"/>
                <w:szCs w:val="13"/>
                <w:b w:val="1"/>
                <w:bCs w:val="1"/>
                <w:color w:val="FFFFFF"/>
                <w:w w:val="93"/>
              </w:rPr>
              <w:t>(#)</w:t>
            </w:r>
            <w:r>
              <w:rPr>
                <w:rFonts w:ascii="Arial" w:cs="Arial" w:eastAsia="Arial" w:hAnsi="Arial"/>
                <w:sz w:val="17"/>
                <w:szCs w:val="17"/>
                <w:b w:val="1"/>
                <w:bCs w:val="1"/>
                <w:color w:val="FFFFFF"/>
                <w:w w:val="93"/>
                <w:vertAlign w:val="superscript"/>
              </w:rPr>
              <w:t>(2)</w:t>
            </w:r>
          </w:p>
        </w:tc>
        <w:tc>
          <w:tcPr>
            <w:tcW w:w="1360" w:type="dxa"/>
            <w:vAlign w:val="bottom"/>
            <w:shd w:val="clear" w:color="auto" w:fill="00739D"/>
          </w:tcPr>
          <w:p>
            <w:pPr>
              <w:jc w:val="right"/>
              <w:ind w:right="93"/>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7"/>
                <w:szCs w:val="17"/>
                <w:b w:val="1"/>
                <w:bCs w:val="1"/>
                <w:color w:val="FFFFFF"/>
                <w:vertAlign w:val="superscript"/>
              </w:rPr>
              <w:t>(3)</w:t>
            </w:r>
          </w:p>
        </w:tc>
      </w:tr>
      <w:tr>
        <w:trPr>
          <w:trHeight w:val="94"/>
        </w:trPr>
        <w:tc>
          <w:tcPr>
            <w:tcW w:w="3320" w:type="dxa"/>
            <w:vAlign w:val="bottom"/>
            <w:shd w:val="clear" w:color="auto" w:fill="00739D"/>
          </w:tcPr>
          <w:p>
            <w:pPr>
              <w:spacing w:after="0"/>
              <w:rPr>
                <w:sz w:val="8"/>
                <w:szCs w:val="8"/>
                <w:color w:val="auto"/>
              </w:rPr>
            </w:pPr>
          </w:p>
        </w:tc>
        <w:tc>
          <w:tcPr>
            <w:tcW w:w="2720" w:type="dxa"/>
            <w:vAlign w:val="bottom"/>
            <w:shd w:val="clear" w:color="auto" w:fill="00739D"/>
          </w:tcPr>
          <w:p>
            <w:pPr>
              <w:spacing w:after="0"/>
              <w:rPr>
                <w:sz w:val="8"/>
                <w:szCs w:val="8"/>
                <w:color w:val="auto"/>
              </w:rPr>
            </w:pPr>
          </w:p>
        </w:tc>
        <w:tc>
          <w:tcPr>
            <w:tcW w:w="1240" w:type="dxa"/>
            <w:vAlign w:val="bottom"/>
            <w:tcBorders>
              <w:right w:val="single" w:sz="8" w:color="00739D"/>
            </w:tcBorders>
            <w:shd w:val="clear" w:color="auto" w:fill="00739D"/>
          </w:tcPr>
          <w:p>
            <w:pPr>
              <w:spacing w:after="0"/>
              <w:rPr>
                <w:sz w:val="8"/>
                <w:szCs w:val="8"/>
                <w:color w:val="auto"/>
              </w:rPr>
            </w:pPr>
          </w:p>
        </w:tc>
        <w:tc>
          <w:tcPr>
            <w:tcW w:w="2600" w:type="dxa"/>
            <w:vAlign w:val="bottom"/>
            <w:shd w:val="clear" w:color="auto" w:fill="00739D"/>
          </w:tcPr>
          <w:p>
            <w:pPr>
              <w:spacing w:after="0"/>
              <w:rPr>
                <w:sz w:val="8"/>
                <w:szCs w:val="8"/>
                <w:color w:val="auto"/>
              </w:rPr>
            </w:pPr>
          </w:p>
        </w:tc>
        <w:tc>
          <w:tcPr>
            <w:tcW w:w="1360" w:type="dxa"/>
            <w:vAlign w:val="bottom"/>
            <w:shd w:val="clear" w:color="auto" w:fill="00739D"/>
          </w:tcPr>
          <w:p>
            <w:pPr>
              <w:spacing w:after="0"/>
              <w:rPr>
                <w:sz w:val="8"/>
                <w:szCs w:val="8"/>
                <w:color w:val="auto"/>
              </w:rPr>
            </w:pPr>
          </w:p>
        </w:tc>
      </w:tr>
      <w:tr>
        <w:trPr>
          <w:trHeight w:val="189"/>
        </w:trPr>
        <w:tc>
          <w:tcPr>
            <w:tcW w:w="3320" w:type="dxa"/>
            <w:vAlign w:val="bottom"/>
          </w:tcPr>
          <w:p>
            <w:pPr>
              <w:ind w:left="100"/>
              <w:spacing w:after="0"/>
              <w:rPr>
                <w:sz w:val="20"/>
                <w:szCs w:val="20"/>
                <w:color w:val="auto"/>
              </w:rPr>
            </w:pPr>
            <w:r>
              <w:rPr>
                <w:rFonts w:ascii="Arial" w:cs="Arial" w:eastAsia="Arial" w:hAnsi="Arial"/>
                <w:sz w:val="13"/>
                <w:szCs w:val="13"/>
                <w:b w:val="1"/>
                <w:bCs w:val="1"/>
                <w:color w:val="0E191E"/>
              </w:rPr>
              <w:t>Mike Rosenbaum</w:t>
            </w:r>
          </w:p>
        </w:tc>
        <w:tc>
          <w:tcPr>
            <w:tcW w:w="2720" w:type="dxa"/>
            <w:vAlign w:val="bottom"/>
          </w:tcPr>
          <w:p>
            <w:pPr>
              <w:ind w:left="1760"/>
              <w:spacing w:after="0"/>
              <w:rPr>
                <w:sz w:val="20"/>
                <w:szCs w:val="20"/>
                <w:color w:val="auto"/>
              </w:rPr>
            </w:pPr>
            <w:r>
              <w:rPr>
                <w:rFonts w:ascii="Arial" w:cs="Arial" w:eastAsia="Arial" w:hAnsi="Arial"/>
                <w:sz w:val="13"/>
                <w:szCs w:val="13"/>
                <w:color w:val="0E191E"/>
              </w:rPr>
              <w:t>—</w:t>
            </w:r>
          </w:p>
        </w:tc>
        <w:tc>
          <w:tcPr>
            <w:tcW w:w="1240" w:type="dxa"/>
            <w:vAlign w:val="bottom"/>
          </w:tcPr>
          <w:p>
            <w:pPr>
              <w:ind w:left="1000"/>
              <w:spacing w:after="0"/>
              <w:rPr>
                <w:sz w:val="20"/>
                <w:szCs w:val="20"/>
                <w:color w:val="auto"/>
              </w:rPr>
            </w:pPr>
            <w:r>
              <w:rPr>
                <w:rFonts w:ascii="Arial" w:cs="Arial" w:eastAsia="Arial" w:hAnsi="Arial"/>
                <w:sz w:val="13"/>
                <w:szCs w:val="13"/>
                <w:color w:val="0E191E"/>
              </w:rPr>
              <w:t>—</w:t>
            </w:r>
          </w:p>
        </w:tc>
        <w:tc>
          <w:tcPr>
            <w:tcW w:w="2600" w:type="dxa"/>
            <w:vAlign w:val="bottom"/>
          </w:tcPr>
          <w:p>
            <w:pPr>
              <w:jc w:val="center"/>
              <w:ind w:right="653"/>
              <w:spacing w:after="0"/>
              <w:rPr>
                <w:sz w:val="20"/>
                <w:szCs w:val="20"/>
                <w:color w:val="auto"/>
              </w:rPr>
            </w:pPr>
            <w:r>
              <w:rPr>
                <w:rFonts w:ascii="Arial" w:cs="Arial" w:eastAsia="Arial" w:hAnsi="Arial"/>
                <w:sz w:val="13"/>
                <w:szCs w:val="13"/>
                <w:color w:val="0E191E"/>
              </w:rPr>
              <w:t>55,837</w:t>
            </w:r>
          </w:p>
        </w:tc>
        <w:tc>
          <w:tcPr>
            <w:tcW w:w="1360" w:type="dxa"/>
            <w:vAlign w:val="bottom"/>
          </w:tcPr>
          <w:p>
            <w:pPr>
              <w:jc w:val="center"/>
              <w:ind w:left="253"/>
              <w:spacing w:after="0"/>
              <w:rPr>
                <w:sz w:val="20"/>
                <w:szCs w:val="20"/>
                <w:color w:val="auto"/>
              </w:rPr>
            </w:pPr>
            <w:r>
              <w:rPr>
                <w:rFonts w:ascii="Arial" w:cs="Arial" w:eastAsia="Arial" w:hAnsi="Arial"/>
                <w:sz w:val="13"/>
                <w:szCs w:val="13"/>
                <w:color w:val="0E191E"/>
              </w:rPr>
              <w:t>6,158,851</w:t>
            </w:r>
          </w:p>
        </w:tc>
      </w:tr>
      <w:tr>
        <w:trPr>
          <w:trHeight w:val="28"/>
        </w:trPr>
        <w:tc>
          <w:tcPr>
            <w:tcW w:w="3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96"/>
        </w:trPr>
        <w:tc>
          <w:tcPr>
            <w:tcW w:w="3320" w:type="dxa"/>
            <w:vAlign w:val="bottom"/>
            <w:tcBorders>
              <w:bottom w:val="single" w:sz="8" w:color="E5F1F5"/>
            </w:tcBorders>
            <w:shd w:val="clear" w:color="auto" w:fill="E5F1F5"/>
          </w:tcPr>
          <w:p>
            <w:pPr>
              <w:ind w:left="100"/>
              <w:spacing w:after="0"/>
              <w:rPr>
                <w:sz w:val="20"/>
                <w:szCs w:val="20"/>
                <w:color w:val="auto"/>
              </w:rPr>
            </w:pPr>
            <w:r>
              <w:rPr>
                <w:rFonts w:ascii="Arial" w:cs="Arial" w:eastAsia="Arial" w:hAnsi="Arial"/>
                <w:sz w:val="13"/>
                <w:szCs w:val="13"/>
                <w:b w:val="1"/>
                <w:bCs w:val="1"/>
                <w:color w:val="0E191E"/>
              </w:rPr>
              <w:t>Jeff Cooper</w:t>
            </w:r>
          </w:p>
        </w:tc>
        <w:tc>
          <w:tcPr>
            <w:tcW w:w="2720" w:type="dxa"/>
            <w:vAlign w:val="bottom"/>
            <w:tcBorders>
              <w:bottom w:val="single" w:sz="8" w:color="E5F1F5"/>
            </w:tcBorders>
            <w:shd w:val="clear" w:color="auto" w:fill="E5F1F5"/>
          </w:tcPr>
          <w:p>
            <w:pPr>
              <w:ind w:left="1760"/>
              <w:spacing w:after="0"/>
              <w:rPr>
                <w:sz w:val="20"/>
                <w:szCs w:val="20"/>
                <w:color w:val="auto"/>
              </w:rPr>
            </w:pPr>
            <w:r>
              <w:rPr>
                <w:rFonts w:ascii="Arial" w:cs="Arial" w:eastAsia="Arial" w:hAnsi="Arial"/>
                <w:sz w:val="13"/>
                <w:szCs w:val="13"/>
                <w:color w:val="0E191E"/>
              </w:rPr>
              <w:t>—</w:t>
            </w:r>
          </w:p>
        </w:tc>
        <w:tc>
          <w:tcPr>
            <w:tcW w:w="1240" w:type="dxa"/>
            <w:vAlign w:val="bottom"/>
            <w:tcBorders>
              <w:bottom w:val="single" w:sz="8" w:color="E5F1F5"/>
              <w:right w:val="single" w:sz="8" w:color="E5F1F5"/>
            </w:tcBorders>
            <w:shd w:val="clear" w:color="auto" w:fill="E5F1F5"/>
          </w:tcPr>
          <w:p>
            <w:pPr>
              <w:ind w:left="1000"/>
              <w:spacing w:after="0"/>
              <w:rPr>
                <w:sz w:val="20"/>
                <w:szCs w:val="20"/>
                <w:color w:val="auto"/>
              </w:rPr>
            </w:pPr>
            <w:r>
              <w:rPr>
                <w:rFonts w:ascii="Arial" w:cs="Arial" w:eastAsia="Arial" w:hAnsi="Arial"/>
                <w:sz w:val="13"/>
                <w:szCs w:val="13"/>
                <w:color w:val="0E191E"/>
              </w:rPr>
              <w:t>—</w:t>
            </w:r>
          </w:p>
        </w:tc>
        <w:tc>
          <w:tcPr>
            <w:tcW w:w="2600" w:type="dxa"/>
            <w:vAlign w:val="bottom"/>
            <w:tcBorders>
              <w:bottom w:val="single" w:sz="8" w:color="E5F1F5"/>
            </w:tcBorders>
            <w:shd w:val="clear" w:color="auto" w:fill="E5F1F5"/>
          </w:tcPr>
          <w:p>
            <w:pPr>
              <w:jc w:val="center"/>
              <w:ind w:right="653"/>
              <w:spacing w:after="0"/>
              <w:rPr>
                <w:sz w:val="20"/>
                <w:szCs w:val="20"/>
                <w:color w:val="auto"/>
              </w:rPr>
            </w:pPr>
            <w:r>
              <w:rPr>
                <w:rFonts w:ascii="Arial" w:cs="Arial" w:eastAsia="Arial" w:hAnsi="Arial"/>
                <w:sz w:val="13"/>
                <w:szCs w:val="13"/>
                <w:color w:val="0E191E"/>
              </w:rPr>
              <w:t>12,786</w:t>
            </w:r>
          </w:p>
        </w:tc>
        <w:tc>
          <w:tcPr>
            <w:tcW w:w="1360" w:type="dxa"/>
            <w:vAlign w:val="bottom"/>
            <w:tcBorders>
              <w:bottom w:val="single" w:sz="8" w:color="E5F1F5"/>
            </w:tcBorders>
            <w:shd w:val="clear" w:color="auto" w:fill="E5F1F5"/>
          </w:tcPr>
          <w:p>
            <w:pPr>
              <w:jc w:val="center"/>
              <w:ind w:left="253"/>
              <w:spacing w:after="0"/>
              <w:rPr>
                <w:sz w:val="20"/>
                <w:szCs w:val="20"/>
                <w:color w:val="auto"/>
              </w:rPr>
            </w:pPr>
            <w:r>
              <w:rPr>
                <w:rFonts w:ascii="Arial" w:cs="Arial" w:eastAsia="Arial" w:hAnsi="Arial"/>
                <w:sz w:val="13"/>
                <w:szCs w:val="13"/>
                <w:color w:val="0E191E"/>
              </w:rPr>
              <w:t>1,442,292</w:t>
            </w:r>
          </w:p>
        </w:tc>
      </w:tr>
      <w:tr>
        <w:trPr>
          <w:trHeight w:val="188"/>
        </w:trPr>
        <w:tc>
          <w:tcPr>
            <w:tcW w:w="3320" w:type="dxa"/>
            <w:vAlign w:val="bottom"/>
          </w:tcPr>
          <w:p>
            <w:pPr>
              <w:ind w:left="100"/>
              <w:spacing w:after="0"/>
              <w:rPr>
                <w:sz w:val="20"/>
                <w:szCs w:val="20"/>
                <w:color w:val="auto"/>
              </w:rPr>
            </w:pPr>
            <w:r>
              <w:rPr>
                <w:rFonts w:ascii="Arial" w:cs="Arial" w:eastAsia="Arial" w:hAnsi="Arial"/>
                <w:sz w:val="13"/>
                <w:szCs w:val="13"/>
                <w:b w:val="1"/>
                <w:bCs w:val="1"/>
                <w:color w:val="0E191E"/>
              </w:rPr>
              <w:t>Priscilla Hung</w:t>
            </w:r>
          </w:p>
        </w:tc>
        <w:tc>
          <w:tcPr>
            <w:tcW w:w="2720" w:type="dxa"/>
            <w:vAlign w:val="bottom"/>
          </w:tcPr>
          <w:p>
            <w:pPr>
              <w:ind w:left="1760"/>
              <w:spacing w:after="0"/>
              <w:rPr>
                <w:sz w:val="20"/>
                <w:szCs w:val="20"/>
                <w:color w:val="auto"/>
              </w:rPr>
            </w:pPr>
            <w:r>
              <w:rPr>
                <w:rFonts w:ascii="Arial" w:cs="Arial" w:eastAsia="Arial" w:hAnsi="Arial"/>
                <w:sz w:val="13"/>
                <w:szCs w:val="13"/>
                <w:color w:val="0E191E"/>
              </w:rPr>
              <w:t>—</w:t>
            </w:r>
          </w:p>
        </w:tc>
        <w:tc>
          <w:tcPr>
            <w:tcW w:w="1240" w:type="dxa"/>
            <w:vAlign w:val="bottom"/>
          </w:tcPr>
          <w:p>
            <w:pPr>
              <w:ind w:left="1000"/>
              <w:spacing w:after="0"/>
              <w:rPr>
                <w:sz w:val="20"/>
                <w:szCs w:val="20"/>
                <w:color w:val="auto"/>
              </w:rPr>
            </w:pPr>
            <w:r>
              <w:rPr>
                <w:rFonts w:ascii="Arial" w:cs="Arial" w:eastAsia="Arial" w:hAnsi="Arial"/>
                <w:sz w:val="13"/>
                <w:szCs w:val="13"/>
                <w:color w:val="0E191E"/>
              </w:rPr>
              <w:t>—</w:t>
            </w:r>
          </w:p>
        </w:tc>
        <w:tc>
          <w:tcPr>
            <w:tcW w:w="2600" w:type="dxa"/>
            <w:vAlign w:val="bottom"/>
          </w:tcPr>
          <w:p>
            <w:pPr>
              <w:jc w:val="center"/>
              <w:ind w:right="653"/>
              <w:spacing w:after="0"/>
              <w:rPr>
                <w:sz w:val="20"/>
                <w:szCs w:val="20"/>
                <w:color w:val="auto"/>
              </w:rPr>
            </w:pPr>
            <w:r>
              <w:rPr>
                <w:rFonts w:ascii="Arial" w:cs="Arial" w:eastAsia="Arial" w:hAnsi="Arial"/>
                <w:sz w:val="13"/>
                <w:szCs w:val="13"/>
                <w:color w:val="0E191E"/>
              </w:rPr>
              <w:t>22,106</w:t>
            </w:r>
          </w:p>
        </w:tc>
        <w:tc>
          <w:tcPr>
            <w:tcW w:w="1360" w:type="dxa"/>
            <w:vAlign w:val="bottom"/>
          </w:tcPr>
          <w:p>
            <w:pPr>
              <w:jc w:val="center"/>
              <w:ind w:left="253"/>
              <w:spacing w:after="0"/>
              <w:rPr>
                <w:sz w:val="20"/>
                <w:szCs w:val="20"/>
                <w:color w:val="auto"/>
              </w:rPr>
            </w:pPr>
            <w:r>
              <w:rPr>
                <w:rFonts w:ascii="Arial" w:cs="Arial" w:eastAsia="Arial" w:hAnsi="Arial"/>
                <w:sz w:val="13"/>
                <w:szCs w:val="13"/>
                <w:color w:val="0E191E"/>
              </w:rPr>
              <w:t>2,486,252</w:t>
            </w:r>
          </w:p>
        </w:tc>
      </w:tr>
      <w:tr>
        <w:trPr>
          <w:trHeight w:val="28"/>
        </w:trPr>
        <w:tc>
          <w:tcPr>
            <w:tcW w:w="3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96"/>
        </w:trPr>
        <w:tc>
          <w:tcPr>
            <w:tcW w:w="3320" w:type="dxa"/>
            <w:vAlign w:val="bottom"/>
            <w:tcBorders>
              <w:bottom w:val="single" w:sz="8" w:color="E5F1F5"/>
            </w:tcBorders>
            <w:shd w:val="clear" w:color="auto" w:fill="E5F1F5"/>
          </w:tcPr>
          <w:p>
            <w:pPr>
              <w:ind w:left="100"/>
              <w:spacing w:after="0"/>
              <w:rPr>
                <w:sz w:val="20"/>
                <w:szCs w:val="20"/>
                <w:color w:val="auto"/>
              </w:rPr>
            </w:pPr>
            <w:r>
              <w:rPr>
                <w:rFonts w:ascii="Arial" w:cs="Arial" w:eastAsia="Arial" w:hAnsi="Arial"/>
                <w:sz w:val="13"/>
                <w:szCs w:val="13"/>
                <w:b w:val="1"/>
                <w:bCs w:val="1"/>
                <w:color w:val="0E191E"/>
              </w:rPr>
              <w:t>Frank O'Dowd</w:t>
            </w:r>
          </w:p>
        </w:tc>
        <w:tc>
          <w:tcPr>
            <w:tcW w:w="2720" w:type="dxa"/>
            <w:vAlign w:val="bottom"/>
            <w:tcBorders>
              <w:bottom w:val="single" w:sz="8" w:color="E5F1F5"/>
            </w:tcBorders>
            <w:shd w:val="clear" w:color="auto" w:fill="E5F1F5"/>
          </w:tcPr>
          <w:p>
            <w:pPr>
              <w:ind w:left="1760"/>
              <w:spacing w:after="0"/>
              <w:rPr>
                <w:sz w:val="20"/>
                <w:szCs w:val="20"/>
                <w:color w:val="auto"/>
              </w:rPr>
            </w:pPr>
            <w:r>
              <w:rPr>
                <w:rFonts w:ascii="Arial" w:cs="Arial" w:eastAsia="Arial" w:hAnsi="Arial"/>
                <w:sz w:val="13"/>
                <w:szCs w:val="13"/>
                <w:color w:val="0E191E"/>
              </w:rPr>
              <w:t>—</w:t>
            </w:r>
          </w:p>
        </w:tc>
        <w:tc>
          <w:tcPr>
            <w:tcW w:w="1240" w:type="dxa"/>
            <w:vAlign w:val="bottom"/>
            <w:tcBorders>
              <w:bottom w:val="single" w:sz="8" w:color="E5F1F5"/>
              <w:right w:val="single" w:sz="8" w:color="E5F1F5"/>
            </w:tcBorders>
            <w:shd w:val="clear" w:color="auto" w:fill="E5F1F5"/>
          </w:tcPr>
          <w:p>
            <w:pPr>
              <w:ind w:left="1000"/>
              <w:spacing w:after="0"/>
              <w:rPr>
                <w:sz w:val="20"/>
                <w:szCs w:val="20"/>
                <w:color w:val="auto"/>
              </w:rPr>
            </w:pPr>
            <w:r>
              <w:rPr>
                <w:rFonts w:ascii="Arial" w:cs="Arial" w:eastAsia="Arial" w:hAnsi="Arial"/>
                <w:sz w:val="13"/>
                <w:szCs w:val="13"/>
                <w:color w:val="0E191E"/>
              </w:rPr>
              <w:t>—</w:t>
            </w:r>
          </w:p>
        </w:tc>
        <w:tc>
          <w:tcPr>
            <w:tcW w:w="2600" w:type="dxa"/>
            <w:vAlign w:val="bottom"/>
            <w:tcBorders>
              <w:bottom w:val="single" w:sz="8" w:color="E5F1F5"/>
            </w:tcBorders>
            <w:shd w:val="clear" w:color="auto" w:fill="E5F1F5"/>
          </w:tcPr>
          <w:p>
            <w:pPr>
              <w:jc w:val="center"/>
              <w:ind w:right="653"/>
              <w:spacing w:after="0"/>
              <w:rPr>
                <w:sz w:val="20"/>
                <w:szCs w:val="20"/>
                <w:color w:val="auto"/>
              </w:rPr>
            </w:pPr>
            <w:r>
              <w:rPr>
                <w:rFonts w:ascii="Arial" w:cs="Arial" w:eastAsia="Arial" w:hAnsi="Arial"/>
                <w:sz w:val="13"/>
                <w:szCs w:val="13"/>
                <w:color w:val="0E191E"/>
              </w:rPr>
              <w:t>15,317</w:t>
            </w:r>
          </w:p>
        </w:tc>
        <w:tc>
          <w:tcPr>
            <w:tcW w:w="1360" w:type="dxa"/>
            <w:vAlign w:val="bottom"/>
            <w:tcBorders>
              <w:bottom w:val="single" w:sz="8" w:color="E5F1F5"/>
            </w:tcBorders>
            <w:shd w:val="clear" w:color="auto" w:fill="E5F1F5"/>
          </w:tcPr>
          <w:p>
            <w:pPr>
              <w:jc w:val="center"/>
              <w:ind w:left="253"/>
              <w:spacing w:after="0"/>
              <w:rPr>
                <w:sz w:val="20"/>
                <w:szCs w:val="20"/>
                <w:color w:val="auto"/>
              </w:rPr>
            </w:pPr>
            <w:r>
              <w:rPr>
                <w:rFonts w:ascii="Arial" w:cs="Arial" w:eastAsia="Arial" w:hAnsi="Arial"/>
                <w:sz w:val="13"/>
                <w:szCs w:val="13"/>
                <w:color w:val="0E191E"/>
              </w:rPr>
              <w:t>1,738,566</w:t>
            </w:r>
          </w:p>
        </w:tc>
      </w:tr>
      <w:tr>
        <w:trPr>
          <w:trHeight w:val="188"/>
        </w:trPr>
        <w:tc>
          <w:tcPr>
            <w:tcW w:w="3320" w:type="dxa"/>
            <w:vAlign w:val="bottom"/>
          </w:tcPr>
          <w:p>
            <w:pPr>
              <w:ind w:left="100"/>
              <w:spacing w:after="0"/>
              <w:rPr>
                <w:sz w:val="20"/>
                <w:szCs w:val="20"/>
                <w:color w:val="auto"/>
              </w:rPr>
            </w:pPr>
            <w:r>
              <w:rPr>
                <w:rFonts w:ascii="Arial" w:cs="Arial" w:eastAsia="Arial" w:hAnsi="Arial"/>
                <w:sz w:val="13"/>
                <w:szCs w:val="13"/>
                <w:b w:val="1"/>
                <w:bCs w:val="1"/>
                <w:color w:val="0E191E"/>
              </w:rPr>
              <w:t>Winston King</w:t>
            </w:r>
          </w:p>
        </w:tc>
        <w:tc>
          <w:tcPr>
            <w:tcW w:w="2720" w:type="dxa"/>
            <w:vAlign w:val="bottom"/>
          </w:tcPr>
          <w:p>
            <w:pPr>
              <w:ind w:left="1760"/>
              <w:spacing w:after="0"/>
              <w:rPr>
                <w:sz w:val="20"/>
                <w:szCs w:val="20"/>
                <w:color w:val="auto"/>
              </w:rPr>
            </w:pPr>
            <w:r>
              <w:rPr>
                <w:rFonts w:ascii="Arial" w:cs="Arial" w:eastAsia="Arial" w:hAnsi="Arial"/>
                <w:sz w:val="13"/>
                <w:szCs w:val="13"/>
                <w:color w:val="0E191E"/>
              </w:rPr>
              <w:t>—</w:t>
            </w:r>
          </w:p>
        </w:tc>
        <w:tc>
          <w:tcPr>
            <w:tcW w:w="1240" w:type="dxa"/>
            <w:vAlign w:val="bottom"/>
          </w:tcPr>
          <w:p>
            <w:pPr>
              <w:ind w:left="1000"/>
              <w:spacing w:after="0"/>
              <w:rPr>
                <w:sz w:val="20"/>
                <w:szCs w:val="20"/>
                <w:color w:val="auto"/>
              </w:rPr>
            </w:pPr>
            <w:r>
              <w:rPr>
                <w:rFonts w:ascii="Arial" w:cs="Arial" w:eastAsia="Arial" w:hAnsi="Arial"/>
                <w:sz w:val="13"/>
                <w:szCs w:val="13"/>
                <w:color w:val="0E191E"/>
              </w:rPr>
              <w:t>—</w:t>
            </w:r>
          </w:p>
        </w:tc>
        <w:tc>
          <w:tcPr>
            <w:tcW w:w="2600" w:type="dxa"/>
            <w:vAlign w:val="bottom"/>
          </w:tcPr>
          <w:p>
            <w:pPr>
              <w:jc w:val="center"/>
              <w:ind w:right="653"/>
              <w:spacing w:after="0"/>
              <w:rPr>
                <w:sz w:val="20"/>
                <w:szCs w:val="20"/>
                <w:color w:val="auto"/>
              </w:rPr>
            </w:pPr>
            <w:r>
              <w:rPr>
                <w:rFonts w:ascii="Arial" w:cs="Arial" w:eastAsia="Arial" w:hAnsi="Arial"/>
                <w:sz w:val="13"/>
                <w:szCs w:val="13"/>
                <w:color w:val="0E191E"/>
              </w:rPr>
              <w:t>13,171</w:t>
            </w:r>
          </w:p>
        </w:tc>
        <w:tc>
          <w:tcPr>
            <w:tcW w:w="1360" w:type="dxa"/>
            <w:vAlign w:val="bottom"/>
          </w:tcPr>
          <w:p>
            <w:pPr>
              <w:jc w:val="center"/>
              <w:ind w:left="253"/>
              <w:spacing w:after="0"/>
              <w:rPr>
                <w:sz w:val="20"/>
                <w:szCs w:val="20"/>
                <w:color w:val="auto"/>
              </w:rPr>
            </w:pPr>
            <w:r>
              <w:rPr>
                <w:rFonts w:ascii="Arial" w:cs="Arial" w:eastAsia="Arial" w:hAnsi="Arial"/>
                <w:sz w:val="13"/>
                <w:szCs w:val="13"/>
                <w:color w:val="0E191E"/>
              </w:rPr>
              <w:t>1,480,207</w:t>
            </w:r>
          </w:p>
        </w:tc>
      </w:tr>
      <w:tr>
        <w:trPr>
          <w:trHeight w:val="28"/>
        </w:trPr>
        <w:tc>
          <w:tcPr>
            <w:tcW w:w="3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68"/>
        </w:trPr>
        <w:tc>
          <w:tcPr>
            <w:tcW w:w="3320" w:type="dxa"/>
            <w:vAlign w:val="bottom"/>
          </w:tcPr>
          <w:p>
            <w:pPr>
              <w:spacing w:after="0"/>
              <w:rPr>
                <w:sz w:val="5"/>
                <w:szCs w:val="5"/>
                <w:color w:val="auto"/>
              </w:rPr>
            </w:pPr>
          </w:p>
        </w:tc>
        <w:tc>
          <w:tcPr>
            <w:tcW w:w="2720" w:type="dxa"/>
            <w:vAlign w:val="bottom"/>
            <w:tcBorders>
              <w:bottom w:val="single" w:sz="8" w:color="1EB7DF"/>
            </w:tcBorders>
          </w:tcPr>
          <w:p>
            <w:pPr>
              <w:spacing w:after="0"/>
              <w:rPr>
                <w:sz w:val="5"/>
                <w:szCs w:val="5"/>
                <w:color w:val="auto"/>
              </w:rPr>
            </w:pPr>
          </w:p>
        </w:tc>
        <w:tc>
          <w:tcPr>
            <w:tcW w:w="1240" w:type="dxa"/>
            <w:vAlign w:val="bottom"/>
            <w:tcBorders>
              <w:bottom w:val="single" w:sz="8" w:color="1EB7DF"/>
            </w:tcBorders>
          </w:tcPr>
          <w:p>
            <w:pPr>
              <w:spacing w:after="0"/>
              <w:rPr>
                <w:sz w:val="5"/>
                <w:szCs w:val="5"/>
                <w:color w:val="auto"/>
              </w:rPr>
            </w:pPr>
          </w:p>
        </w:tc>
        <w:tc>
          <w:tcPr>
            <w:tcW w:w="2600" w:type="dxa"/>
            <w:vAlign w:val="bottom"/>
            <w:tcBorders>
              <w:bottom w:val="single" w:sz="8" w:color="FEC00F"/>
            </w:tcBorders>
          </w:tcPr>
          <w:p>
            <w:pPr>
              <w:spacing w:after="0"/>
              <w:rPr>
                <w:sz w:val="5"/>
                <w:szCs w:val="5"/>
                <w:color w:val="auto"/>
              </w:rPr>
            </w:pPr>
          </w:p>
        </w:tc>
        <w:tc>
          <w:tcPr>
            <w:tcW w:w="1360" w:type="dxa"/>
            <w:vAlign w:val="bottom"/>
            <w:tcBorders>
              <w:bottom w:val="single" w:sz="8" w:color="FEC00F"/>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-33655</wp:posOffset>
            </wp:positionV>
            <wp:extent cx="2540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pacing w:after="0" w:line="152" w:lineRule="exact"/>
        <w:rPr>
          <w:sz w:val="20"/>
          <w:szCs w:val="20"/>
          <w:color w:val="auto"/>
        </w:rPr>
      </w:pPr>
    </w:p>
    <w:p>
      <w:pPr>
        <w:ind w:left="460" w:right="180" w:hanging="234"/>
        <w:spacing w:after="0" w:line="279" w:lineRule="auto"/>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0E191E"/>
        </w:rPr>
        <w:t>The value realized upon the exercise of stock options is calculated by (i) subtracting the option exercise price from the market price on the date of exercise to get the realized value per share, and (ii) multiplying the realized value per share by the number of shares underlying options exercised.</w:t>
      </w:r>
    </w:p>
    <w:p>
      <w:pPr>
        <w:spacing w:after="0" w:line="30" w:lineRule="exact"/>
        <w:rPr>
          <w:rFonts w:ascii="Arial" w:cs="Arial" w:eastAsia="Arial" w:hAnsi="Arial"/>
          <w:sz w:val="15"/>
          <w:szCs w:val="15"/>
          <w:color w:val="auto"/>
        </w:rPr>
      </w:pPr>
    </w:p>
    <w:p>
      <w:pPr>
        <w:ind w:left="460" w:hanging="234"/>
        <w:spacing w:after="0"/>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0E191E"/>
        </w:rPr>
        <w:t>Represents shares of common stock released during fiscal year 2021.</w:t>
      </w:r>
    </w:p>
    <w:p>
      <w:pPr>
        <w:spacing w:after="0" w:line="70" w:lineRule="exact"/>
        <w:rPr>
          <w:rFonts w:ascii="Arial" w:cs="Arial" w:eastAsia="Arial" w:hAnsi="Arial"/>
          <w:sz w:val="15"/>
          <w:szCs w:val="15"/>
          <w:color w:val="auto"/>
        </w:rPr>
      </w:pPr>
    </w:p>
    <w:p>
      <w:pPr>
        <w:ind w:left="460" w:right="160" w:hanging="234"/>
        <w:spacing w:after="0" w:line="279" w:lineRule="auto"/>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0E191E"/>
        </w:rPr>
        <w:t>The value realized upon vesting of RSUs is calculated by multiplying the number of RSUs vested by the closing price of common stock on the day prior to the vesting date.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Post-Employment Compensation</w:t>
      </w:r>
    </w:p>
    <w:p>
      <w:pPr>
        <w:spacing w:after="0" w:line="136"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0E191E"/>
        </w:rPr>
        <w:t>Our executive officers, including the Named Executive Officers, have certain agreements or other arrangements with the Company providing for payments or benefits in the event of a termination of employment or in connection with a change in control. As of July 31, 2021, there are no other agreements with our executive officers for payments or benefits beyond those described.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1EB7DF"/>
        </w:rPr>
        <w:t>Involuntary Termination of Employment</w:t>
      </w:r>
    </w:p>
    <w:p>
      <w:pPr>
        <w:spacing w:after="0" w:line="47"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color w:val="0E191E"/>
        </w:rPr>
        <w:t>Pursuant to Executive Agreements entered into by each Named Executive Officer, in the event that the employment of the Named Executive Officers is terminated without cause (as defined in the applicable Executive Agreements), and subject to such executive officer delivering a fully effective release of claims, he or she will be entitled to cash severance equal to: (i) one times the executive officer's then current base salary (plus one times the executive officer's target annual bonus, for Mr. Rosenbaum only) and (ii) continued health insurance coverage or a lump sum cash payment equal to the monthly contributions that the Company would make to provide health insurance to such executive, in each case, for 12 months.</w:t>
      </w:r>
    </w:p>
    <w:p>
      <w:pPr>
        <w:spacing w:after="0" w:line="361"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53</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1EB7DF"/>
        </w:rPr>
        <w:t>Involuntary Termination of Employment in Connection with a Change in Control</w:t>
      </w:r>
    </w:p>
    <w:p>
      <w:pPr>
        <w:spacing w:after="0" w:line="47" w:lineRule="exact"/>
        <w:rPr>
          <w:sz w:val="20"/>
          <w:szCs w:val="20"/>
          <w:color w:val="auto"/>
        </w:rPr>
      </w:pPr>
    </w:p>
    <w:p>
      <w:pPr>
        <w:ind w:right="120"/>
        <w:spacing w:after="0" w:line="302" w:lineRule="auto"/>
        <w:rPr>
          <w:sz w:val="20"/>
          <w:szCs w:val="20"/>
          <w:color w:val="auto"/>
        </w:rPr>
      </w:pPr>
      <w:r>
        <w:rPr>
          <w:rFonts w:ascii="Arial" w:cs="Arial" w:eastAsia="Arial" w:hAnsi="Arial"/>
          <w:sz w:val="15"/>
          <w:szCs w:val="15"/>
          <w:color w:val="0E191E"/>
        </w:rPr>
        <w:t>Pursuant to the Executive Agreements entered into by each Named Executive Officer, in the event that the employment of a Named Executive Officer is terminated without cause or such executive resigns for good reason (as defined in the applicable Executive Agreements) within the period commencing two months prior to and ending 12 months following, a change in control, then in lieu of the severance described above, and subject to such executive officer delivering a fully effective release of claims, he or she will be entitled to cash severance equal to 1.5 times in the case of Mr. Rosenbaum, and one times in the case of the other Named Executive Officers, the sum of the executive officer's then current base salary and target bonus, or commission, as applicable, payable in a single lump sum, plus either continued health insurance coverage or a lump sum cash payment equal to the monthly contributions that the Company would make to provide health insurance to such executive, in each case for 18 months for Mr. Rosenbaum and 12 months for the other Named Executive Officers. In addition, the vesting of all then-outstanding stock options, RSUs and other stock-based awards held by the applicable Named Executive Officer will immediately accelerate and become fully vested upon such termination.</w:t>
      </w:r>
    </w:p>
    <w:p>
      <w:pPr>
        <w:spacing w:after="0" w:line="153" w:lineRule="exact"/>
        <w:rPr>
          <w:sz w:val="20"/>
          <w:szCs w:val="20"/>
          <w:color w:val="auto"/>
        </w:rPr>
      </w:pPr>
    </w:p>
    <w:p>
      <w:pPr>
        <w:spacing w:after="0" w:line="309" w:lineRule="auto"/>
        <w:rPr>
          <w:sz w:val="20"/>
          <w:szCs w:val="20"/>
          <w:color w:val="auto"/>
        </w:rPr>
      </w:pPr>
      <w:r>
        <w:rPr>
          <w:rFonts w:ascii="Arial" w:cs="Arial" w:eastAsia="Arial" w:hAnsi="Arial"/>
          <w:sz w:val="15"/>
          <w:szCs w:val="15"/>
          <w:color w:val="0E191E"/>
        </w:rPr>
        <w:t>The payments and benefits provided under the Executive Agreements in connection with a change in control may not be eligible for a federal income tax deduction for the Company pursuant to Section 280G of the Code. These payments and benefits also may be subject to an excise tax under Section 4999 of the Code. If the payments or benefits payable to the Named Executive Officers in connection with a change in control would be subject to the excise tax on golden parachutes imposed under Section 4999 of the Code, then those payments or benefits will be reduced if such reduction would result in a higher net after-tax benefit to such officer.</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Potential Payments upon Termination or Change in Control</w:t>
      </w:r>
    </w:p>
    <w:p>
      <w:pPr>
        <w:spacing w:after="0" w:line="136"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color w:val="0E191E"/>
        </w:rPr>
        <w:t xml:space="preserve">The table below reflects, as applicable, cash severance, equity acceleration, and continuation of health benefits payable to our Named Executive Officers in connection with (1) the termination of his or her employment relationship without cause not in connection with a change in control, (2) upon a change in control of our Company and no termination of employment (assuming that all equity awards will not be assumed or continued or substituted by the successor entity), and (3) upon an involuntary termination of employment (i.e., a termination without cause or resignation for good reason) within the period commencing two months prior to and ending 12 months following a change in control (assuming that all equity awards will be assumed or continued or substituted by the successor entity), assuming for each of (1), (2), and (3) that the applicable triggering event(s) occurred on July 31, 2021. See section above titled </w:t>
      </w:r>
      <w:r>
        <w:rPr>
          <w:rFonts w:ascii="Arial" w:cs="Arial" w:eastAsia="Arial" w:hAnsi="Arial"/>
          <w:sz w:val="15"/>
          <w:szCs w:val="15"/>
          <w:i w:val="1"/>
          <w:iCs w:val="1"/>
          <w:color w:val="0E191E"/>
        </w:rPr>
        <w:t>“Post-Employment Compensation.”</w:t>
      </w:r>
    </w:p>
    <w:p>
      <w:pPr>
        <w:spacing w:after="0" w:line="363"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54</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814" w:right="35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40" w:type="dxa"/>
            <w:vAlign w:val="bottom"/>
            <w:shd w:val="clear" w:color="auto" w:fill="00739D"/>
          </w:tcPr>
          <w:p>
            <w:pPr>
              <w:spacing w:after="0"/>
              <w:rPr>
                <w:sz w:val="14"/>
                <w:szCs w:val="14"/>
                <w:color w:val="auto"/>
              </w:rPr>
            </w:pPr>
          </w:p>
        </w:tc>
        <w:tc>
          <w:tcPr>
            <w:tcW w:w="1720" w:type="dxa"/>
            <w:vAlign w:val="bottom"/>
            <w:shd w:val="clear" w:color="auto" w:fill="00739D"/>
          </w:tcPr>
          <w:p>
            <w:pPr>
              <w:spacing w:after="0"/>
              <w:rPr>
                <w:sz w:val="14"/>
                <w:szCs w:val="14"/>
                <w:color w:val="auto"/>
              </w:rPr>
            </w:pPr>
          </w:p>
        </w:tc>
        <w:tc>
          <w:tcPr>
            <w:tcW w:w="2180" w:type="dxa"/>
            <w:vAlign w:val="bottom"/>
            <w:shd w:val="clear" w:color="auto" w:fill="00739D"/>
          </w:tcPr>
          <w:p>
            <w:pPr>
              <w:spacing w:after="0"/>
              <w:rPr>
                <w:sz w:val="14"/>
                <w:szCs w:val="14"/>
                <w:color w:val="auto"/>
              </w:rPr>
            </w:pPr>
          </w:p>
        </w:tc>
        <w:tc>
          <w:tcPr>
            <w:tcW w:w="40" w:type="dxa"/>
            <w:vAlign w:val="bottom"/>
            <w:shd w:val="clear" w:color="auto" w:fill="00739D"/>
          </w:tcPr>
          <w:p>
            <w:pPr>
              <w:spacing w:after="0"/>
              <w:rPr>
                <w:sz w:val="14"/>
                <w:szCs w:val="14"/>
                <w:color w:val="auto"/>
              </w:rPr>
            </w:pPr>
          </w:p>
        </w:tc>
        <w:tc>
          <w:tcPr>
            <w:tcW w:w="500" w:type="dxa"/>
            <w:vAlign w:val="bottom"/>
            <w:shd w:val="clear" w:color="auto" w:fill="00739D"/>
          </w:tcPr>
          <w:p>
            <w:pPr>
              <w:spacing w:after="0"/>
              <w:rPr>
                <w:sz w:val="14"/>
                <w:szCs w:val="14"/>
                <w:color w:val="auto"/>
              </w:rPr>
            </w:pPr>
          </w:p>
        </w:tc>
        <w:tc>
          <w:tcPr>
            <w:tcW w:w="1840" w:type="dxa"/>
            <w:vAlign w:val="bottom"/>
            <w:gridSpan w:val="2"/>
            <w:shd w:val="clear" w:color="auto" w:fill="00739D"/>
          </w:tcPr>
          <w:p>
            <w:pPr>
              <w:jc w:val="right"/>
              <w:ind w:right="145"/>
              <w:spacing w:after="0"/>
              <w:rPr>
                <w:sz w:val="20"/>
                <w:szCs w:val="20"/>
                <w:color w:val="auto"/>
              </w:rPr>
            </w:pPr>
            <w:r>
              <w:rPr>
                <w:rFonts w:ascii="Arial" w:cs="Arial" w:eastAsia="Arial" w:hAnsi="Arial"/>
                <w:sz w:val="13"/>
                <w:szCs w:val="13"/>
                <w:b w:val="1"/>
                <w:bCs w:val="1"/>
                <w:color w:val="FFFFFF"/>
              </w:rPr>
              <w:t>Change in Control, No</w:t>
            </w:r>
          </w:p>
        </w:tc>
        <w:tc>
          <w:tcPr>
            <w:tcW w:w="1720" w:type="dxa"/>
            <w:vAlign w:val="bottom"/>
            <w:shd w:val="clear" w:color="auto" w:fill="00739D"/>
          </w:tcPr>
          <w:p>
            <w:pPr>
              <w:spacing w:after="0"/>
              <w:rPr>
                <w:sz w:val="14"/>
                <w:szCs w:val="14"/>
                <w:color w:val="auto"/>
              </w:rPr>
            </w:pPr>
          </w:p>
        </w:tc>
        <w:tc>
          <w:tcPr>
            <w:tcW w:w="500" w:type="dxa"/>
            <w:vAlign w:val="bottom"/>
            <w:shd w:val="clear" w:color="auto" w:fill="00739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00739D"/>
          </w:tcPr>
          <w:p>
            <w:pPr>
              <w:spacing w:after="0"/>
              <w:rPr>
                <w:sz w:val="14"/>
                <w:szCs w:val="14"/>
                <w:color w:val="auto"/>
              </w:rPr>
            </w:pPr>
          </w:p>
        </w:tc>
        <w:tc>
          <w:tcPr>
            <w:tcW w:w="1720" w:type="dxa"/>
            <w:vAlign w:val="bottom"/>
            <w:shd w:val="clear" w:color="auto" w:fill="00739D"/>
          </w:tcPr>
          <w:p>
            <w:pPr>
              <w:spacing w:after="0"/>
              <w:rPr>
                <w:sz w:val="14"/>
                <w:szCs w:val="14"/>
                <w:color w:val="auto"/>
              </w:rPr>
            </w:pPr>
          </w:p>
        </w:tc>
        <w:tc>
          <w:tcPr>
            <w:tcW w:w="2180" w:type="dxa"/>
            <w:vAlign w:val="bottom"/>
            <w:shd w:val="clear" w:color="auto" w:fill="00739D"/>
          </w:tcPr>
          <w:p>
            <w:pPr>
              <w:spacing w:after="0"/>
              <w:rPr>
                <w:sz w:val="14"/>
                <w:szCs w:val="14"/>
                <w:color w:val="auto"/>
              </w:rPr>
            </w:pPr>
          </w:p>
        </w:tc>
        <w:tc>
          <w:tcPr>
            <w:tcW w:w="40" w:type="dxa"/>
            <w:vAlign w:val="bottom"/>
            <w:shd w:val="clear" w:color="auto" w:fill="00739D"/>
          </w:tcPr>
          <w:p>
            <w:pPr>
              <w:spacing w:after="0"/>
              <w:rPr>
                <w:sz w:val="14"/>
                <w:szCs w:val="14"/>
                <w:color w:val="auto"/>
              </w:rPr>
            </w:pPr>
          </w:p>
        </w:tc>
        <w:tc>
          <w:tcPr>
            <w:tcW w:w="500" w:type="dxa"/>
            <w:vAlign w:val="bottom"/>
            <w:shd w:val="clear" w:color="auto" w:fill="00739D"/>
          </w:tcPr>
          <w:p>
            <w:pPr>
              <w:spacing w:after="0"/>
              <w:rPr>
                <w:sz w:val="14"/>
                <w:szCs w:val="14"/>
                <w:color w:val="auto"/>
              </w:rPr>
            </w:pPr>
          </w:p>
        </w:tc>
        <w:tc>
          <w:tcPr>
            <w:tcW w:w="1840" w:type="dxa"/>
            <w:vAlign w:val="bottom"/>
            <w:gridSpan w:val="2"/>
            <w:shd w:val="clear" w:color="auto" w:fill="00739D"/>
          </w:tcPr>
          <w:p>
            <w:pPr>
              <w:jc w:val="right"/>
              <w:ind w:right="145"/>
              <w:spacing w:after="0"/>
              <w:rPr>
                <w:sz w:val="20"/>
                <w:szCs w:val="20"/>
                <w:color w:val="auto"/>
              </w:rPr>
            </w:pPr>
            <w:r>
              <w:rPr>
                <w:rFonts w:ascii="Arial" w:cs="Arial" w:eastAsia="Arial" w:hAnsi="Arial"/>
                <w:sz w:val="13"/>
                <w:szCs w:val="13"/>
                <w:b w:val="1"/>
                <w:bCs w:val="1"/>
                <w:color w:val="FFFFFF"/>
              </w:rPr>
              <w:t>Termination of</w:t>
            </w:r>
          </w:p>
        </w:tc>
        <w:tc>
          <w:tcPr>
            <w:tcW w:w="2220" w:type="dxa"/>
            <w:vAlign w:val="bottom"/>
            <w:gridSpan w:val="2"/>
            <w:shd w:val="clear" w:color="auto" w:fill="00739D"/>
          </w:tcPr>
          <w:p>
            <w:pPr>
              <w:jc w:val="right"/>
              <w:ind w:right="84"/>
              <w:spacing w:after="0"/>
              <w:rPr>
                <w:sz w:val="20"/>
                <w:szCs w:val="20"/>
                <w:color w:val="auto"/>
              </w:rPr>
            </w:pPr>
            <w:r>
              <w:rPr>
                <w:rFonts w:ascii="Arial" w:cs="Arial" w:eastAsia="Arial" w:hAnsi="Arial"/>
                <w:sz w:val="13"/>
                <w:szCs w:val="13"/>
                <w:b w:val="1"/>
                <w:bCs w:val="1"/>
                <w:color w:val="FFFFFF"/>
              </w:rPr>
              <w:t>Involuntary Termination in</w:t>
            </w:r>
          </w:p>
        </w:tc>
        <w:tc>
          <w:tcPr>
            <w:tcW w:w="0" w:type="dxa"/>
            <w:vAlign w:val="bottom"/>
          </w:tcPr>
          <w:p>
            <w:pPr>
              <w:spacing w:after="0"/>
              <w:rPr>
                <w:sz w:val="1"/>
                <w:szCs w:val="1"/>
                <w:color w:val="auto"/>
              </w:rPr>
            </w:pPr>
          </w:p>
        </w:tc>
      </w:tr>
      <w:tr>
        <w:trPr>
          <w:trHeight w:val="162"/>
        </w:trPr>
        <w:tc>
          <w:tcPr>
            <w:tcW w:w="2740" w:type="dxa"/>
            <w:vAlign w:val="bottom"/>
            <w:shd w:val="clear" w:color="auto" w:fill="00739D"/>
          </w:tcPr>
          <w:p>
            <w:pPr>
              <w:spacing w:after="0"/>
              <w:rPr>
                <w:sz w:val="14"/>
                <w:szCs w:val="14"/>
                <w:color w:val="auto"/>
              </w:rPr>
            </w:pPr>
          </w:p>
        </w:tc>
        <w:tc>
          <w:tcPr>
            <w:tcW w:w="1720" w:type="dxa"/>
            <w:vAlign w:val="bottom"/>
            <w:shd w:val="clear" w:color="auto" w:fill="00739D"/>
          </w:tcPr>
          <w:p>
            <w:pPr>
              <w:spacing w:after="0"/>
              <w:rPr>
                <w:sz w:val="14"/>
                <w:szCs w:val="14"/>
                <w:color w:val="auto"/>
              </w:rPr>
            </w:pPr>
          </w:p>
        </w:tc>
        <w:tc>
          <w:tcPr>
            <w:tcW w:w="2720" w:type="dxa"/>
            <w:vAlign w:val="bottom"/>
            <w:gridSpan w:val="3"/>
            <w:shd w:val="clear" w:color="auto" w:fill="00739D"/>
          </w:tcPr>
          <w:p>
            <w:pPr>
              <w:jc w:val="right"/>
              <w:ind w:right="124"/>
              <w:spacing w:after="0"/>
              <w:rPr>
                <w:sz w:val="20"/>
                <w:szCs w:val="20"/>
                <w:color w:val="auto"/>
              </w:rPr>
            </w:pPr>
            <w:r>
              <w:rPr>
                <w:rFonts w:ascii="Arial" w:cs="Arial" w:eastAsia="Arial" w:hAnsi="Arial"/>
                <w:sz w:val="13"/>
                <w:szCs w:val="13"/>
                <w:b w:val="1"/>
                <w:bCs w:val="1"/>
                <w:color w:val="FFFFFF"/>
              </w:rPr>
              <w:t>Termination without Cause Not in</w:t>
            </w:r>
          </w:p>
        </w:tc>
        <w:tc>
          <w:tcPr>
            <w:tcW w:w="1840" w:type="dxa"/>
            <w:vAlign w:val="bottom"/>
            <w:gridSpan w:val="2"/>
            <w:shd w:val="clear" w:color="auto" w:fill="00739D"/>
          </w:tcPr>
          <w:p>
            <w:pPr>
              <w:jc w:val="right"/>
              <w:ind w:right="145"/>
              <w:spacing w:after="0"/>
              <w:rPr>
                <w:sz w:val="20"/>
                <w:szCs w:val="20"/>
                <w:color w:val="auto"/>
              </w:rPr>
            </w:pPr>
            <w:r>
              <w:rPr>
                <w:rFonts w:ascii="Arial" w:cs="Arial" w:eastAsia="Arial" w:hAnsi="Arial"/>
                <w:sz w:val="13"/>
                <w:szCs w:val="13"/>
                <w:b w:val="1"/>
                <w:bCs w:val="1"/>
                <w:color w:val="FFFFFF"/>
              </w:rPr>
              <w:t>Employment, and No</w:t>
            </w:r>
          </w:p>
        </w:tc>
        <w:tc>
          <w:tcPr>
            <w:tcW w:w="2220" w:type="dxa"/>
            <w:vAlign w:val="bottom"/>
            <w:gridSpan w:val="2"/>
            <w:shd w:val="clear" w:color="auto" w:fill="00739D"/>
          </w:tcPr>
          <w:p>
            <w:pPr>
              <w:jc w:val="right"/>
              <w:ind w:right="84"/>
              <w:spacing w:after="0"/>
              <w:rPr>
                <w:sz w:val="20"/>
                <w:szCs w:val="20"/>
                <w:color w:val="auto"/>
              </w:rPr>
            </w:pPr>
            <w:r>
              <w:rPr>
                <w:rFonts w:ascii="Arial" w:cs="Arial" w:eastAsia="Arial" w:hAnsi="Arial"/>
                <w:sz w:val="13"/>
                <w:szCs w:val="13"/>
                <w:b w:val="1"/>
                <w:bCs w:val="1"/>
                <w:color w:val="FFFFFF"/>
              </w:rPr>
              <w:t>Connection with a Change in</w:t>
            </w:r>
          </w:p>
        </w:tc>
        <w:tc>
          <w:tcPr>
            <w:tcW w:w="0" w:type="dxa"/>
            <w:vAlign w:val="bottom"/>
          </w:tcPr>
          <w:p>
            <w:pPr>
              <w:spacing w:after="0"/>
              <w:rPr>
                <w:sz w:val="1"/>
                <w:szCs w:val="1"/>
                <w:color w:val="auto"/>
              </w:rPr>
            </w:pPr>
          </w:p>
        </w:tc>
      </w:tr>
      <w:tr>
        <w:trPr>
          <w:trHeight w:val="162"/>
        </w:trPr>
        <w:tc>
          <w:tcPr>
            <w:tcW w:w="2740" w:type="dxa"/>
            <w:vAlign w:val="bottom"/>
            <w:shd w:val="clear" w:color="auto" w:fill="00739D"/>
          </w:tcPr>
          <w:p>
            <w:pPr>
              <w:spacing w:after="0"/>
              <w:rPr>
                <w:sz w:val="14"/>
                <w:szCs w:val="14"/>
                <w:color w:val="auto"/>
              </w:rPr>
            </w:pPr>
          </w:p>
        </w:tc>
        <w:tc>
          <w:tcPr>
            <w:tcW w:w="1720" w:type="dxa"/>
            <w:vAlign w:val="bottom"/>
            <w:shd w:val="clear" w:color="auto" w:fill="00739D"/>
          </w:tcPr>
          <w:p>
            <w:pPr>
              <w:spacing w:after="0"/>
              <w:rPr>
                <w:sz w:val="14"/>
                <w:szCs w:val="14"/>
                <w:color w:val="auto"/>
              </w:rPr>
            </w:pPr>
          </w:p>
        </w:tc>
        <w:tc>
          <w:tcPr>
            <w:tcW w:w="2720" w:type="dxa"/>
            <w:vAlign w:val="bottom"/>
            <w:gridSpan w:val="3"/>
            <w:shd w:val="clear" w:color="auto" w:fill="00739D"/>
          </w:tcPr>
          <w:p>
            <w:pPr>
              <w:jc w:val="right"/>
              <w:ind w:right="164"/>
              <w:spacing w:after="0"/>
              <w:rPr>
                <w:sz w:val="20"/>
                <w:szCs w:val="20"/>
                <w:color w:val="auto"/>
              </w:rPr>
            </w:pPr>
            <w:r>
              <w:rPr>
                <w:rFonts w:ascii="Arial" w:cs="Arial" w:eastAsia="Arial" w:hAnsi="Arial"/>
                <w:sz w:val="13"/>
                <w:szCs w:val="13"/>
                <w:b w:val="1"/>
                <w:bCs w:val="1"/>
                <w:color w:val="FFFFFF"/>
              </w:rPr>
              <w:t>Connection with a Change in Control</w:t>
            </w:r>
          </w:p>
        </w:tc>
        <w:tc>
          <w:tcPr>
            <w:tcW w:w="1840" w:type="dxa"/>
            <w:vAlign w:val="bottom"/>
            <w:gridSpan w:val="2"/>
            <w:shd w:val="clear" w:color="auto" w:fill="00739D"/>
          </w:tcPr>
          <w:p>
            <w:pPr>
              <w:jc w:val="right"/>
              <w:ind w:right="145"/>
              <w:spacing w:after="0"/>
              <w:rPr>
                <w:sz w:val="20"/>
                <w:szCs w:val="20"/>
                <w:color w:val="auto"/>
              </w:rPr>
            </w:pPr>
            <w:r>
              <w:rPr>
                <w:rFonts w:ascii="Arial" w:cs="Arial" w:eastAsia="Arial" w:hAnsi="Arial"/>
                <w:sz w:val="13"/>
                <w:szCs w:val="13"/>
                <w:b w:val="1"/>
                <w:bCs w:val="1"/>
                <w:color w:val="FFFFFF"/>
              </w:rPr>
              <w:t>Assumption</w:t>
            </w:r>
          </w:p>
        </w:tc>
        <w:tc>
          <w:tcPr>
            <w:tcW w:w="2220" w:type="dxa"/>
            <w:vAlign w:val="bottom"/>
            <w:gridSpan w:val="2"/>
            <w:shd w:val="clear" w:color="auto" w:fill="00739D"/>
          </w:tcPr>
          <w:p>
            <w:pPr>
              <w:jc w:val="right"/>
              <w:ind w:right="124"/>
              <w:spacing w:after="0"/>
              <w:rPr>
                <w:sz w:val="20"/>
                <w:szCs w:val="20"/>
                <w:color w:val="auto"/>
              </w:rPr>
            </w:pPr>
            <w:r>
              <w:rPr>
                <w:rFonts w:ascii="Arial" w:cs="Arial" w:eastAsia="Arial" w:hAnsi="Arial"/>
                <w:sz w:val="13"/>
                <w:szCs w:val="13"/>
                <w:b w:val="1"/>
                <w:bCs w:val="1"/>
                <w:color w:val="FFFFFF"/>
              </w:rPr>
              <w:t>Control</w:t>
            </w:r>
          </w:p>
        </w:tc>
        <w:tc>
          <w:tcPr>
            <w:tcW w:w="0" w:type="dxa"/>
            <w:vAlign w:val="bottom"/>
          </w:tcPr>
          <w:p>
            <w:pPr>
              <w:spacing w:after="0"/>
              <w:rPr>
                <w:sz w:val="1"/>
                <w:szCs w:val="1"/>
                <w:color w:val="auto"/>
              </w:rPr>
            </w:pPr>
          </w:p>
        </w:tc>
      </w:tr>
      <w:tr>
        <w:trPr>
          <w:trHeight w:val="178"/>
        </w:trPr>
        <w:tc>
          <w:tcPr>
            <w:tcW w:w="274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w:t>
            </w:r>
          </w:p>
        </w:tc>
        <w:tc>
          <w:tcPr>
            <w:tcW w:w="1720" w:type="dxa"/>
            <w:vAlign w:val="bottom"/>
            <w:shd w:val="clear" w:color="auto" w:fill="00739D"/>
          </w:tcPr>
          <w:p>
            <w:pPr>
              <w:ind w:left="20"/>
              <w:spacing w:after="0"/>
              <w:rPr>
                <w:sz w:val="20"/>
                <w:szCs w:val="20"/>
                <w:color w:val="auto"/>
              </w:rPr>
            </w:pPr>
            <w:r>
              <w:rPr>
                <w:rFonts w:ascii="Arial" w:cs="Arial" w:eastAsia="Arial" w:hAnsi="Arial"/>
                <w:sz w:val="13"/>
                <w:szCs w:val="13"/>
                <w:b w:val="1"/>
                <w:bCs w:val="1"/>
                <w:color w:val="FFFFFF"/>
              </w:rPr>
              <w:t>Benefit</w:t>
            </w:r>
          </w:p>
        </w:tc>
        <w:tc>
          <w:tcPr>
            <w:tcW w:w="2180" w:type="dxa"/>
            <w:vAlign w:val="bottom"/>
            <w:shd w:val="clear" w:color="auto" w:fill="00739D"/>
          </w:tcPr>
          <w:p>
            <w:pPr>
              <w:spacing w:after="0"/>
              <w:rPr>
                <w:sz w:val="15"/>
                <w:szCs w:val="15"/>
                <w:color w:val="auto"/>
              </w:rPr>
            </w:pPr>
          </w:p>
        </w:tc>
        <w:tc>
          <w:tcPr>
            <w:tcW w:w="540" w:type="dxa"/>
            <w:vAlign w:val="bottom"/>
            <w:gridSpan w:val="2"/>
            <w:shd w:val="clear" w:color="auto" w:fill="00739D"/>
          </w:tcPr>
          <w:p>
            <w:pPr>
              <w:jc w:val="right"/>
              <w:ind w:right="124"/>
              <w:spacing w:after="0"/>
              <w:rPr>
                <w:sz w:val="20"/>
                <w:szCs w:val="20"/>
                <w:color w:val="auto"/>
              </w:rPr>
            </w:pPr>
            <w:r>
              <w:rPr>
                <w:rFonts w:ascii="Arial" w:cs="Arial" w:eastAsia="Arial" w:hAnsi="Arial"/>
                <w:sz w:val="13"/>
                <w:szCs w:val="13"/>
                <w:b w:val="1"/>
                <w:bCs w:val="1"/>
                <w:color w:val="FFFFFF"/>
              </w:rPr>
              <w:t>($)</w:t>
            </w:r>
          </w:p>
        </w:tc>
        <w:tc>
          <w:tcPr>
            <w:tcW w:w="1300" w:type="dxa"/>
            <w:vAlign w:val="bottom"/>
            <w:shd w:val="clear" w:color="auto" w:fill="00739D"/>
          </w:tcPr>
          <w:p>
            <w:pPr>
              <w:spacing w:after="0"/>
              <w:rPr>
                <w:sz w:val="15"/>
                <w:szCs w:val="15"/>
                <w:color w:val="auto"/>
              </w:rPr>
            </w:pPr>
          </w:p>
        </w:tc>
        <w:tc>
          <w:tcPr>
            <w:tcW w:w="540" w:type="dxa"/>
            <w:vAlign w:val="bottom"/>
            <w:shd w:val="clear" w:color="auto" w:fill="00739D"/>
          </w:tcPr>
          <w:p>
            <w:pPr>
              <w:jc w:val="right"/>
              <w:ind w:right="145"/>
              <w:spacing w:after="0"/>
              <w:rPr>
                <w:sz w:val="20"/>
                <w:szCs w:val="20"/>
                <w:color w:val="auto"/>
              </w:rPr>
            </w:pPr>
            <w:r>
              <w:rPr>
                <w:rFonts w:ascii="Arial" w:cs="Arial" w:eastAsia="Arial" w:hAnsi="Arial"/>
                <w:sz w:val="13"/>
                <w:szCs w:val="13"/>
                <w:b w:val="1"/>
                <w:bCs w:val="1"/>
                <w:color w:val="FFFFFF"/>
              </w:rPr>
              <w:t>($)</w:t>
            </w:r>
          </w:p>
        </w:tc>
        <w:tc>
          <w:tcPr>
            <w:tcW w:w="1720" w:type="dxa"/>
            <w:vAlign w:val="bottom"/>
            <w:shd w:val="clear" w:color="auto" w:fill="00739D"/>
          </w:tcPr>
          <w:p>
            <w:pPr>
              <w:spacing w:after="0"/>
              <w:rPr>
                <w:sz w:val="15"/>
                <w:szCs w:val="15"/>
                <w:color w:val="auto"/>
              </w:rPr>
            </w:pPr>
          </w:p>
        </w:tc>
        <w:tc>
          <w:tcPr>
            <w:tcW w:w="500" w:type="dxa"/>
            <w:vAlign w:val="bottom"/>
            <w:shd w:val="clear" w:color="auto" w:fill="00739D"/>
          </w:tcPr>
          <w:p>
            <w:pPr>
              <w:jc w:val="right"/>
              <w:ind w:right="84"/>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22"/>
        </w:trPr>
        <w:tc>
          <w:tcPr>
            <w:tcW w:w="2740" w:type="dxa"/>
            <w:vAlign w:val="bottom"/>
            <w:shd w:val="clear" w:color="auto" w:fill="00739D"/>
          </w:tcPr>
          <w:p>
            <w:pPr>
              <w:spacing w:after="0"/>
              <w:rPr>
                <w:sz w:val="10"/>
                <w:szCs w:val="10"/>
                <w:color w:val="auto"/>
              </w:rPr>
            </w:pPr>
          </w:p>
        </w:tc>
        <w:tc>
          <w:tcPr>
            <w:tcW w:w="1720" w:type="dxa"/>
            <w:vAlign w:val="bottom"/>
            <w:shd w:val="clear" w:color="auto" w:fill="00739D"/>
          </w:tcPr>
          <w:p>
            <w:pPr>
              <w:spacing w:after="0"/>
              <w:rPr>
                <w:sz w:val="10"/>
                <w:szCs w:val="10"/>
                <w:color w:val="auto"/>
              </w:rPr>
            </w:pPr>
          </w:p>
        </w:tc>
        <w:tc>
          <w:tcPr>
            <w:tcW w:w="2180" w:type="dxa"/>
            <w:vAlign w:val="bottom"/>
            <w:shd w:val="clear" w:color="auto" w:fill="00739D"/>
          </w:tcPr>
          <w:p>
            <w:pPr>
              <w:spacing w:after="0"/>
              <w:rPr>
                <w:sz w:val="10"/>
                <w:szCs w:val="10"/>
                <w:color w:val="auto"/>
              </w:rPr>
            </w:pPr>
          </w:p>
        </w:tc>
        <w:tc>
          <w:tcPr>
            <w:tcW w:w="40" w:type="dxa"/>
            <w:vAlign w:val="bottom"/>
            <w:shd w:val="clear" w:color="auto" w:fill="00739D"/>
          </w:tcPr>
          <w:p>
            <w:pPr>
              <w:spacing w:after="0"/>
              <w:rPr>
                <w:sz w:val="10"/>
                <w:szCs w:val="10"/>
                <w:color w:val="auto"/>
              </w:rPr>
            </w:pPr>
          </w:p>
        </w:tc>
        <w:tc>
          <w:tcPr>
            <w:tcW w:w="500" w:type="dxa"/>
            <w:vAlign w:val="bottom"/>
            <w:shd w:val="clear" w:color="auto" w:fill="00739D"/>
          </w:tcPr>
          <w:p>
            <w:pPr>
              <w:spacing w:after="0"/>
              <w:rPr>
                <w:sz w:val="10"/>
                <w:szCs w:val="10"/>
                <w:color w:val="auto"/>
              </w:rPr>
            </w:pPr>
          </w:p>
        </w:tc>
        <w:tc>
          <w:tcPr>
            <w:tcW w:w="1300" w:type="dxa"/>
            <w:vAlign w:val="bottom"/>
            <w:shd w:val="clear" w:color="auto" w:fill="00739D"/>
          </w:tcPr>
          <w:p>
            <w:pPr>
              <w:spacing w:after="0"/>
              <w:rPr>
                <w:sz w:val="10"/>
                <w:szCs w:val="10"/>
                <w:color w:val="auto"/>
              </w:rPr>
            </w:pPr>
          </w:p>
        </w:tc>
        <w:tc>
          <w:tcPr>
            <w:tcW w:w="540" w:type="dxa"/>
            <w:vAlign w:val="bottom"/>
            <w:shd w:val="clear" w:color="auto" w:fill="00739D"/>
          </w:tcPr>
          <w:p>
            <w:pPr>
              <w:spacing w:after="0"/>
              <w:rPr>
                <w:sz w:val="10"/>
                <w:szCs w:val="10"/>
                <w:color w:val="auto"/>
              </w:rPr>
            </w:pPr>
          </w:p>
        </w:tc>
        <w:tc>
          <w:tcPr>
            <w:tcW w:w="1720" w:type="dxa"/>
            <w:vAlign w:val="bottom"/>
            <w:shd w:val="clear" w:color="auto" w:fill="00739D"/>
          </w:tcPr>
          <w:p>
            <w:pPr>
              <w:spacing w:after="0"/>
              <w:rPr>
                <w:sz w:val="10"/>
                <w:szCs w:val="10"/>
                <w:color w:val="auto"/>
              </w:rPr>
            </w:pPr>
          </w:p>
        </w:tc>
        <w:tc>
          <w:tcPr>
            <w:tcW w:w="500" w:type="dxa"/>
            <w:vAlign w:val="bottom"/>
            <w:shd w:val="clear" w:color="auto" w:fill="00739D"/>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3"/>
                <w:szCs w:val="13"/>
                <w:color w:val="0E191E"/>
              </w:rPr>
              <w:t>Cash Severance</w:t>
            </w:r>
          </w:p>
        </w:tc>
        <w:tc>
          <w:tcPr>
            <w:tcW w:w="2180" w:type="dxa"/>
            <w:vAlign w:val="bottom"/>
          </w:tcPr>
          <w:p>
            <w:pPr>
              <w:jc w:val="right"/>
              <w:spacing w:after="0"/>
              <w:rPr>
                <w:sz w:val="20"/>
                <w:szCs w:val="20"/>
                <w:color w:val="auto"/>
              </w:rPr>
            </w:pPr>
            <w:r>
              <w:rPr>
                <w:rFonts w:ascii="Arial" w:cs="Arial" w:eastAsia="Arial" w:hAnsi="Arial"/>
                <w:sz w:val="13"/>
                <w:szCs w:val="13"/>
                <w:color w:val="0E191E"/>
              </w:rPr>
              <w:t>1,500,000</w:t>
            </w:r>
          </w:p>
        </w:tc>
        <w:tc>
          <w:tcPr>
            <w:tcW w:w="540" w:type="dxa"/>
            <w:vAlign w:val="bottom"/>
            <w:gridSpan w:val="2"/>
          </w:tcPr>
          <w:p>
            <w:pPr>
              <w:jc w:val="right"/>
              <w:ind w:right="224"/>
              <w:spacing w:after="0"/>
              <w:rPr>
                <w:sz w:val="20"/>
                <w:szCs w:val="20"/>
                <w:color w:val="auto"/>
              </w:rPr>
            </w:pPr>
            <w:r>
              <w:rPr>
                <w:rFonts w:ascii="Arial" w:cs="Arial" w:eastAsia="Arial" w:hAnsi="Arial"/>
                <w:sz w:val="15"/>
                <w:szCs w:val="15"/>
                <w:color w:val="0E191E"/>
              </w:rPr>
              <w:t>(1)</w:t>
            </w:r>
          </w:p>
        </w:tc>
        <w:tc>
          <w:tcPr>
            <w:tcW w:w="1300" w:type="dxa"/>
            <w:vAlign w:val="bottom"/>
          </w:tcPr>
          <w:p>
            <w:pPr>
              <w:jc w:val="right"/>
              <w:spacing w:after="0"/>
              <w:rPr>
                <w:sz w:val="20"/>
                <w:szCs w:val="20"/>
                <w:color w:val="auto"/>
              </w:rPr>
            </w:pPr>
            <w:r>
              <w:rPr>
                <w:rFonts w:ascii="Arial" w:cs="Arial" w:eastAsia="Arial" w:hAnsi="Arial"/>
                <w:sz w:val="13"/>
                <w:szCs w:val="13"/>
                <w:color w:val="0E191E"/>
              </w:rPr>
              <w:t>—</w:t>
            </w:r>
          </w:p>
        </w:tc>
        <w:tc>
          <w:tcPr>
            <w:tcW w:w="5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0E191E"/>
              </w:rPr>
              <w:t>2,250,000</w:t>
            </w:r>
          </w:p>
        </w:tc>
        <w:tc>
          <w:tcPr>
            <w:tcW w:w="500" w:type="dxa"/>
            <w:vAlign w:val="bottom"/>
          </w:tcPr>
          <w:p>
            <w:pPr>
              <w:jc w:val="right"/>
              <w:ind w:right="184"/>
              <w:spacing w:after="0"/>
              <w:rPr>
                <w:sz w:val="20"/>
                <w:szCs w:val="20"/>
                <w:color w:val="auto"/>
              </w:rPr>
            </w:pPr>
            <w:r>
              <w:rPr>
                <w:rFonts w:ascii="Arial" w:cs="Arial" w:eastAsia="Arial" w:hAnsi="Arial"/>
                <w:sz w:val="15"/>
                <w:szCs w:val="15"/>
                <w:color w:val="0E191E"/>
              </w:rPr>
              <w:t>(2)</w:t>
            </w:r>
          </w:p>
        </w:tc>
        <w:tc>
          <w:tcPr>
            <w:tcW w:w="0" w:type="dxa"/>
            <w:vAlign w:val="bottom"/>
          </w:tcPr>
          <w:p>
            <w:pPr>
              <w:spacing w:after="0"/>
              <w:rPr>
                <w:sz w:val="1"/>
                <w:szCs w:val="1"/>
                <w:color w:val="auto"/>
              </w:rPr>
            </w:pPr>
          </w:p>
        </w:tc>
      </w:tr>
      <w:tr>
        <w:trPr>
          <w:trHeight w:val="82"/>
        </w:trPr>
        <w:tc>
          <w:tcPr>
            <w:tcW w:w="2740" w:type="dxa"/>
            <w:vAlign w:val="bottom"/>
          </w:tcPr>
          <w:p>
            <w:pPr>
              <w:spacing w:after="0"/>
              <w:rPr>
                <w:sz w:val="7"/>
                <w:szCs w:val="7"/>
                <w:color w:val="auto"/>
              </w:rPr>
            </w:pPr>
          </w:p>
        </w:tc>
        <w:tc>
          <w:tcPr>
            <w:tcW w:w="1720" w:type="dxa"/>
            <w:vAlign w:val="bottom"/>
            <w:tcBorders>
              <w:bottom w:val="single" w:sz="8" w:color="0E191E"/>
            </w:tcBorders>
          </w:tcPr>
          <w:p>
            <w:pPr>
              <w:spacing w:after="0"/>
              <w:rPr>
                <w:sz w:val="7"/>
                <w:szCs w:val="7"/>
                <w:color w:val="auto"/>
              </w:rPr>
            </w:pPr>
          </w:p>
        </w:tc>
        <w:tc>
          <w:tcPr>
            <w:tcW w:w="2180" w:type="dxa"/>
            <w:vAlign w:val="bottom"/>
            <w:tcBorders>
              <w:bottom w:val="single" w:sz="8" w:color="0E191E"/>
            </w:tcBorders>
          </w:tcPr>
          <w:p>
            <w:pPr>
              <w:spacing w:after="0"/>
              <w:rPr>
                <w:sz w:val="7"/>
                <w:szCs w:val="7"/>
                <w:color w:val="auto"/>
              </w:rPr>
            </w:pPr>
          </w:p>
        </w:tc>
        <w:tc>
          <w:tcPr>
            <w:tcW w:w="540" w:type="dxa"/>
            <w:vAlign w:val="bottom"/>
            <w:tcBorders>
              <w:bottom w:val="single" w:sz="8" w:color="0E191E"/>
            </w:tcBorders>
            <w:gridSpan w:val="2"/>
          </w:tcPr>
          <w:p>
            <w:pPr>
              <w:spacing w:after="0"/>
              <w:rPr>
                <w:sz w:val="7"/>
                <w:szCs w:val="7"/>
                <w:color w:val="auto"/>
              </w:rPr>
            </w:pPr>
          </w:p>
        </w:tc>
        <w:tc>
          <w:tcPr>
            <w:tcW w:w="1300" w:type="dxa"/>
            <w:vAlign w:val="bottom"/>
            <w:tcBorders>
              <w:bottom w:val="single" w:sz="8" w:color="0E191E"/>
            </w:tcBorders>
          </w:tcPr>
          <w:p>
            <w:pPr>
              <w:spacing w:after="0"/>
              <w:rPr>
                <w:sz w:val="7"/>
                <w:szCs w:val="7"/>
                <w:color w:val="auto"/>
              </w:rPr>
            </w:pPr>
          </w:p>
        </w:tc>
        <w:tc>
          <w:tcPr>
            <w:tcW w:w="540" w:type="dxa"/>
            <w:vAlign w:val="bottom"/>
            <w:tcBorders>
              <w:bottom w:val="single" w:sz="8" w:color="0E191E"/>
            </w:tcBorders>
          </w:tcPr>
          <w:p>
            <w:pPr>
              <w:spacing w:after="0"/>
              <w:rPr>
                <w:sz w:val="7"/>
                <w:szCs w:val="7"/>
                <w:color w:val="auto"/>
              </w:rPr>
            </w:pPr>
          </w:p>
        </w:tc>
        <w:tc>
          <w:tcPr>
            <w:tcW w:w="1720" w:type="dxa"/>
            <w:vAlign w:val="bottom"/>
            <w:tcBorders>
              <w:bottom w:val="single" w:sz="8" w:color="0E191E"/>
            </w:tcBorders>
          </w:tcPr>
          <w:p>
            <w:pPr>
              <w:spacing w:after="0"/>
              <w:rPr>
                <w:sz w:val="7"/>
                <w:szCs w:val="7"/>
                <w:color w:val="auto"/>
              </w:rPr>
            </w:pPr>
          </w:p>
        </w:tc>
        <w:tc>
          <w:tcPr>
            <w:tcW w:w="500" w:type="dxa"/>
            <w:vAlign w:val="bottom"/>
            <w:tcBorders>
              <w:bottom w:val="single" w:sz="8" w:color="0E191E"/>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74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Mike Rosenbaum</w:t>
            </w:r>
          </w:p>
        </w:tc>
        <w:tc>
          <w:tcPr>
            <w:tcW w:w="1720" w:type="dxa"/>
            <w:vAlign w:val="bottom"/>
          </w:tcPr>
          <w:p>
            <w:pPr>
              <w:ind w:left="20"/>
              <w:spacing w:after="0"/>
              <w:rPr>
                <w:sz w:val="20"/>
                <w:szCs w:val="20"/>
                <w:color w:val="auto"/>
              </w:rPr>
            </w:pPr>
            <w:r>
              <w:rPr>
                <w:rFonts w:ascii="Arial" w:cs="Arial" w:eastAsia="Arial" w:hAnsi="Arial"/>
                <w:sz w:val="13"/>
                <w:szCs w:val="13"/>
                <w:color w:val="0E191E"/>
              </w:rPr>
              <w:t>Equity Acceleration</w:t>
            </w:r>
          </w:p>
        </w:tc>
        <w:tc>
          <w:tcPr>
            <w:tcW w:w="2180" w:type="dxa"/>
            <w:vAlign w:val="bottom"/>
          </w:tcPr>
          <w:p>
            <w:pPr>
              <w:jc w:val="right"/>
              <w:spacing w:after="0"/>
              <w:rPr>
                <w:sz w:val="20"/>
                <w:szCs w:val="20"/>
                <w:color w:val="auto"/>
              </w:rPr>
            </w:pPr>
            <w:r>
              <w:rPr>
                <w:rFonts w:ascii="Arial" w:cs="Arial" w:eastAsia="Arial" w:hAnsi="Arial"/>
                <w:sz w:val="13"/>
                <w:szCs w:val="13"/>
                <w:color w:val="0E191E"/>
              </w:rPr>
              <w:t>1,905,984</w:t>
            </w:r>
          </w:p>
        </w:tc>
        <w:tc>
          <w:tcPr>
            <w:tcW w:w="540" w:type="dxa"/>
            <w:vAlign w:val="bottom"/>
            <w:gridSpan w:val="2"/>
          </w:tcPr>
          <w:p>
            <w:pPr>
              <w:jc w:val="right"/>
              <w:ind w:right="224"/>
              <w:spacing w:after="0"/>
              <w:rPr>
                <w:sz w:val="20"/>
                <w:szCs w:val="20"/>
                <w:color w:val="auto"/>
              </w:rPr>
            </w:pPr>
            <w:r>
              <w:rPr>
                <w:rFonts w:ascii="Arial" w:cs="Arial" w:eastAsia="Arial" w:hAnsi="Arial"/>
                <w:sz w:val="15"/>
                <w:szCs w:val="15"/>
                <w:color w:val="0E191E"/>
              </w:rPr>
              <w:t>(8)</w:t>
            </w:r>
          </w:p>
        </w:tc>
        <w:tc>
          <w:tcPr>
            <w:tcW w:w="1300" w:type="dxa"/>
            <w:vAlign w:val="bottom"/>
          </w:tcPr>
          <w:p>
            <w:pPr>
              <w:jc w:val="right"/>
              <w:spacing w:after="0"/>
              <w:rPr>
                <w:sz w:val="20"/>
                <w:szCs w:val="20"/>
                <w:color w:val="auto"/>
              </w:rPr>
            </w:pPr>
            <w:r>
              <w:rPr>
                <w:rFonts w:ascii="Arial" w:cs="Arial" w:eastAsia="Arial" w:hAnsi="Arial"/>
                <w:sz w:val="13"/>
                <w:szCs w:val="13"/>
                <w:color w:val="0E191E"/>
              </w:rPr>
              <w:t>16,155,072</w:t>
            </w:r>
          </w:p>
        </w:tc>
        <w:tc>
          <w:tcPr>
            <w:tcW w:w="540" w:type="dxa"/>
            <w:vAlign w:val="bottom"/>
          </w:tcPr>
          <w:p>
            <w:pPr>
              <w:jc w:val="right"/>
              <w:ind w:right="245"/>
              <w:spacing w:after="0"/>
              <w:rPr>
                <w:sz w:val="20"/>
                <w:szCs w:val="20"/>
                <w:color w:val="auto"/>
              </w:rPr>
            </w:pPr>
            <w:r>
              <w:rPr>
                <w:rFonts w:ascii="Arial" w:cs="Arial" w:eastAsia="Arial" w:hAnsi="Arial"/>
                <w:sz w:val="15"/>
                <w:szCs w:val="15"/>
                <w:color w:val="0E191E"/>
              </w:rPr>
              <w:t>(3)</w:t>
            </w:r>
          </w:p>
        </w:tc>
        <w:tc>
          <w:tcPr>
            <w:tcW w:w="1720" w:type="dxa"/>
            <w:vAlign w:val="bottom"/>
          </w:tcPr>
          <w:p>
            <w:pPr>
              <w:jc w:val="right"/>
              <w:spacing w:after="0"/>
              <w:rPr>
                <w:sz w:val="20"/>
                <w:szCs w:val="20"/>
                <w:color w:val="auto"/>
              </w:rPr>
            </w:pPr>
            <w:r>
              <w:rPr>
                <w:rFonts w:ascii="Arial" w:cs="Arial" w:eastAsia="Arial" w:hAnsi="Arial"/>
                <w:sz w:val="13"/>
                <w:szCs w:val="13"/>
                <w:color w:val="0E191E"/>
              </w:rPr>
              <w:t>18,061,056</w:t>
            </w:r>
          </w:p>
        </w:tc>
        <w:tc>
          <w:tcPr>
            <w:tcW w:w="500" w:type="dxa"/>
            <w:vAlign w:val="bottom"/>
          </w:tcPr>
          <w:p>
            <w:pPr>
              <w:jc w:val="right"/>
              <w:ind w:right="184"/>
              <w:spacing w:after="0"/>
              <w:rPr>
                <w:sz w:val="20"/>
                <w:szCs w:val="20"/>
                <w:color w:val="auto"/>
              </w:rPr>
            </w:pPr>
            <w:r>
              <w:rPr>
                <w:rFonts w:ascii="Arial" w:cs="Arial" w:eastAsia="Arial" w:hAnsi="Arial"/>
                <w:sz w:val="15"/>
                <w:szCs w:val="15"/>
                <w:color w:val="0E191E"/>
              </w:rPr>
              <w:t>(3)</w:t>
            </w:r>
          </w:p>
        </w:tc>
        <w:tc>
          <w:tcPr>
            <w:tcW w:w="0" w:type="dxa"/>
            <w:vAlign w:val="bottom"/>
          </w:tcPr>
          <w:p>
            <w:pPr>
              <w:spacing w:after="0"/>
              <w:rPr>
                <w:sz w:val="1"/>
                <w:szCs w:val="1"/>
                <w:color w:val="auto"/>
              </w:rPr>
            </w:pPr>
          </w:p>
        </w:tc>
      </w:tr>
      <w:tr>
        <w:trPr>
          <w:trHeight w:val="81"/>
        </w:trPr>
        <w:tc>
          <w:tcPr>
            <w:tcW w:w="2740" w:type="dxa"/>
            <w:vAlign w:val="bottom"/>
            <w:vMerge w:val="continue"/>
          </w:tcPr>
          <w:p>
            <w:pPr>
              <w:spacing w:after="0"/>
              <w:rPr>
                <w:sz w:val="7"/>
                <w:szCs w:val="7"/>
                <w:color w:val="auto"/>
              </w:rPr>
            </w:pPr>
          </w:p>
        </w:tc>
        <w:tc>
          <w:tcPr>
            <w:tcW w:w="1720" w:type="dxa"/>
            <w:vAlign w:val="bottom"/>
            <w:tcBorders>
              <w:bottom w:val="single" w:sz="8" w:color="0E191E"/>
            </w:tcBorders>
          </w:tcPr>
          <w:p>
            <w:pPr>
              <w:spacing w:after="0"/>
              <w:rPr>
                <w:sz w:val="7"/>
                <w:szCs w:val="7"/>
                <w:color w:val="auto"/>
              </w:rPr>
            </w:pPr>
          </w:p>
        </w:tc>
        <w:tc>
          <w:tcPr>
            <w:tcW w:w="2180" w:type="dxa"/>
            <w:vAlign w:val="bottom"/>
            <w:tcBorders>
              <w:bottom w:val="single" w:sz="8" w:color="0E191E"/>
            </w:tcBorders>
          </w:tcPr>
          <w:p>
            <w:pPr>
              <w:spacing w:after="0"/>
              <w:rPr>
                <w:sz w:val="7"/>
                <w:szCs w:val="7"/>
                <w:color w:val="auto"/>
              </w:rPr>
            </w:pPr>
          </w:p>
        </w:tc>
        <w:tc>
          <w:tcPr>
            <w:tcW w:w="40" w:type="dxa"/>
            <w:vAlign w:val="bottom"/>
            <w:tcBorders>
              <w:bottom w:val="single" w:sz="8" w:color="0E191E"/>
            </w:tcBorders>
          </w:tcPr>
          <w:p>
            <w:pPr>
              <w:spacing w:after="0"/>
              <w:rPr>
                <w:sz w:val="7"/>
                <w:szCs w:val="7"/>
                <w:color w:val="auto"/>
              </w:rPr>
            </w:pPr>
          </w:p>
        </w:tc>
        <w:tc>
          <w:tcPr>
            <w:tcW w:w="500" w:type="dxa"/>
            <w:vAlign w:val="bottom"/>
            <w:tcBorders>
              <w:bottom w:val="single" w:sz="8" w:color="0E191E"/>
            </w:tcBorders>
          </w:tcPr>
          <w:p>
            <w:pPr>
              <w:spacing w:after="0"/>
              <w:rPr>
                <w:sz w:val="7"/>
                <w:szCs w:val="7"/>
                <w:color w:val="auto"/>
              </w:rPr>
            </w:pPr>
          </w:p>
        </w:tc>
        <w:tc>
          <w:tcPr>
            <w:tcW w:w="1300" w:type="dxa"/>
            <w:vAlign w:val="bottom"/>
            <w:tcBorders>
              <w:bottom w:val="single" w:sz="8" w:color="0E191E"/>
            </w:tcBorders>
          </w:tcPr>
          <w:p>
            <w:pPr>
              <w:spacing w:after="0"/>
              <w:rPr>
                <w:sz w:val="7"/>
                <w:szCs w:val="7"/>
                <w:color w:val="auto"/>
              </w:rPr>
            </w:pPr>
          </w:p>
        </w:tc>
        <w:tc>
          <w:tcPr>
            <w:tcW w:w="540" w:type="dxa"/>
            <w:vAlign w:val="bottom"/>
            <w:tcBorders>
              <w:bottom w:val="single" w:sz="8" w:color="0E191E"/>
            </w:tcBorders>
          </w:tcPr>
          <w:p>
            <w:pPr>
              <w:spacing w:after="0"/>
              <w:rPr>
                <w:sz w:val="7"/>
                <w:szCs w:val="7"/>
                <w:color w:val="auto"/>
              </w:rPr>
            </w:pPr>
          </w:p>
        </w:tc>
        <w:tc>
          <w:tcPr>
            <w:tcW w:w="1720" w:type="dxa"/>
            <w:vAlign w:val="bottom"/>
            <w:tcBorders>
              <w:bottom w:val="single" w:sz="8" w:color="0E191E"/>
            </w:tcBorders>
          </w:tcPr>
          <w:p>
            <w:pPr>
              <w:spacing w:after="0"/>
              <w:rPr>
                <w:sz w:val="7"/>
                <w:szCs w:val="7"/>
                <w:color w:val="auto"/>
              </w:rPr>
            </w:pPr>
          </w:p>
        </w:tc>
        <w:tc>
          <w:tcPr>
            <w:tcW w:w="500" w:type="dxa"/>
            <w:vAlign w:val="bottom"/>
            <w:tcBorders>
              <w:bottom w:val="single" w:sz="8" w:color="0E191E"/>
            </w:tcBorders>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740" w:type="dxa"/>
            <w:vAlign w:val="bottom"/>
            <w:vMerge w:val="continue"/>
          </w:tcPr>
          <w:p>
            <w:pPr>
              <w:spacing w:after="0"/>
              <w:rPr>
                <w:sz w:val="5"/>
                <w:szCs w:val="5"/>
                <w:color w:val="auto"/>
              </w:rPr>
            </w:pPr>
          </w:p>
        </w:tc>
        <w:tc>
          <w:tcPr>
            <w:tcW w:w="1720" w:type="dxa"/>
            <w:vAlign w:val="bottom"/>
            <w:vMerge w:val="restart"/>
          </w:tcPr>
          <w:p>
            <w:pPr>
              <w:ind w:left="20"/>
              <w:spacing w:after="0"/>
              <w:rPr>
                <w:sz w:val="20"/>
                <w:szCs w:val="20"/>
                <w:color w:val="auto"/>
              </w:rPr>
            </w:pPr>
            <w:r>
              <w:rPr>
                <w:rFonts w:ascii="Arial" w:cs="Arial" w:eastAsia="Arial" w:hAnsi="Arial"/>
                <w:sz w:val="13"/>
                <w:szCs w:val="13"/>
                <w:color w:val="0E191E"/>
              </w:rPr>
              <w:t>Health Benefits</w:t>
            </w:r>
          </w:p>
        </w:tc>
        <w:tc>
          <w:tcPr>
            <w:tcW w:w="2180" w:type="dxa"/>
            <w:vAlign w:val="bottom"/>
            <w:vMerge w:val="restart"/>
          </w:tcPr>
          <w:p>
            <w:pPr>
              <w:jc w:val="right"/>
              <w:spacing w:after="0"/>
              <w:rPr>
                <w:sz w:val="20"/>
                <w:szCs w:val="20"/>
                <w:color w:val="auto"/>
              </w:rPr>
            </w:pPr>
            <w:r>
              <w:rPr>
                <w:rFonts w:ascii="Arial" w:cs="Arial" w:eastAsia="Arial" w:hAnsi="Arial"/>
                <w:sz w:val="13"/>
                <w:szCs w:val="13"/>
                <w:color w:val="0E191E"/>
              </w:rPr>
              <w:t>23,076</w:t>
            </w:r>
          </w:p>
        </w:tc>
        <w:tc>
          <w:tcPr>
            <w:tcW w:w="540" w:type="dxa"/>
            <w:vAlign w:val="bottom"/>
            <w:gridSpan w:val="2"/>
            <w:vMerge w:val="restart"/>
          </w:tcPr>
          <w:p>
            <w:pPr>
              <w:jc w:val="right"/>
              <w:ind w:right="224"/>
              <w:spacing w:after="0"/>
              <w:rPr>
                <w:sz w:val="20"/>
                <w:szCs w:val="20"/>
                <w:color w:val="auto"/>
              </w:rPr>
            </w:pPr>
            <w:r>
              <w:rPr>
                <w:rFonts w:ascii="Arial" w:cs="Arial" w:eastAsia="Arial" w:hAnsi="Arial"/>
                <w:sz w:val="15"/>
                <w:szCs w:val="15"/>
                <w:color w:val="0E191E"/>
              </w:rPr>
              <w:t>(4)</w:t>
            </w:r>
          </w:p>
        </w:tc>
        <w:tc>
          <w:tcPr>
            <w:tcW w:w="1300" w:type="dxa"/>
            <w:vAlign w:val="bottom"/>
            <w:vMerge w:val="restart"/>
          </w:tcPr>
          <w:p>
            <w:pPr>
              <w:jc w:val="right"/>
              <w:spacing w:after="0"/>
              <w:rPr>
                <w:sz w:val="20"/>
                <w:szCs w:val="20"/>
                <w:color w:val="auto"/>
              </w:rPr>
            </w:pPr>
            <w:r>
              <w:rPr>
                <w:rFonts w:ascii="Arial" w:cs="Arial" w:eastAsia="Arial" w:hAnsi="Arial"/>
                <w:sz w:val="13"/>
                <w:szCs w:val="13"/>
                <w:color w:val="0E191E"/>
              </w:rPr>
              <w:t>—</w:t>
            </w:r>
          </w:p>
        </w:tc>
        <w:tc>
          <w:tcPr>
            <w:tcW w:w="540" w:type="dxa"/>
            <w:vAlign w:val="bottom"/>
          </w:tcPr>
          <w:p>
            <w:pPr>
              <w:spacing w:after="0"/>
              <w:rPr>
                <w:sz w:val="5"/>
                <w:szCs w:val="5"/>
                <w:color w:val="auto"/>
              </w:rPr>
            </w:pPr>
          </w:p>
        </w:tc>
        <w:tc>
          <w:tcPr>
            <w:tcW w:w="1720" w:type="dxa"/>
            <w:vAlign w:val="bottom"/>
            <w:vMerge w:val="restart"/>
          </w:tcPr>
          <w:p>
            <w:pPr>
              <w:jc w:val="right"/>
              <w:spacing w:after="0"/>
              <w:rPr>
                <w:sz w:val="20"/>
                <w:szCs w:val="20"/>
                <w:color w:val="auto"/>
              </w:rPr>
            </w:pPr>
            <w:r>
              <w:rPr>
                <w:rFonts w:ascii="Arial" w:cs="Arial" w:eastAsia="Arial" w:hAnsi="Arial"/>
                <w:sz w:val="13"/>
                <w:szCs w:val="13"/>
                <w:color w:val="0E191E"/>
              </w:rPr>
              <w:t>34,614</w:t>
            </w:r>
          </w:p>
        </w:tc>
        <w:tc>
          <w:tcPr>
            <w:tcW w:w="500" w:type="dxa"/>
            <w:vAlign w:val="bottom"/>
            <w:vMerge w:val="restart"/>
          </w:tcPr>
          <w:p>
            <w:pPr>
              <w:jc w:val="right"/>
              <w:ind w:right="184"/>
              <w:spacing w:after="0"/>
              <w:rPr>
                <w:sz w:val="20"/>
                <w:szCs w:val="20"/>
                <w:color w:val="auto"/>
              </w:rPr>
            </w:pPr>
            <w:r>
              <w:rPr>
                <w:rFonts w:ascii="Arial" w:cs="Arial" w:eastAsia="Arial" w:hAnsi="Arial"/>
                <w:sz w:val="15"/>
                <w:szCs w:val="15"/>
                <w:color w:val="0E191E"/>
              </w:rPr>
              <w:t>(5)</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740" w:type="dxa"/>
            <w:vAlign w:val="bottom"/>
          </w:tcPr>
          <w:p>
            <w:pPr>
              <w:spacing w:after="0"/>
              <w:rPr>
                <w:sz w:val="7"/>
                <w:szCs w:val="7"/>
                <w:color w:val="auto"/>
              </w:rPr>
            </w:pPr>
          </w:p>
        </w:tc>
        <w:tc>
          <w:tcPr>
            <w:tcW w:w="1720" w:type="dxa"/>
            <w:vAlign w:val="bottom"/>
            <w:tcBorders>
              <w:bottom w:val="single" w:sz="8" w:color="0E191E"/>
            </w:tcBorders>
          </w:tcPr>
          <w:p>
            <w:pPr>
              <w:spacing w:after="0"/>
              <w:rPr>
                <w:sz w:val="7"/>
                <w:szCs w:val="7"/>
                <w:color w:val="auto"/>
              </w:rPr>
            </w:pPr>
          </w:p>
        </w:tc>
        <w:tc>
          <w:tcPr>
            <w:tcW w:w="2180" w:type="dxa"/>
            <w:vAlign w:val="bottom"/>
            <w:tcBorders>
              <w:bottom w:val="single" w:sz="8" w:color="0E191E"/>
            </w:tcBorders>
          </w:tcPr>
          <w:p>
            <w:pPr>
              <w:spacing w:after="0"/>
              <w:rPr>
                <w:sz w:val="7"/>
                <w:szCs w:val="7"/>
                <w:color w:val="auto"/>
              </w:rPr>
            </w:pPr>
          </w:p>
        </w:tc>
        <w:tc>
          <w:tcPr>
            <w:tcW w:w="40" w:type="dxa"/>
            <w:vAlign w:val="bottom"/>
            <w:tcBorders>
              <w:bottom w:val="single" w:sz="8" w:color="0E191E"/>
            </w:tcBorders>
          </w:tcPr>
          <w:p>
            <w:pPr>
              <w:spacing w:after="0"/>
              <w:rPr>
                <w:sz w:val="7"/>
                <w:szCs w:val="7"/>
                <w:color w:val="auto"/>
              </w:rPr>
            </w:pPr>
          </w:p>
        </w:tc>
        <w:tc>
          <w:tcPr>
            <w:tcW w:w="500" w:type="dxa"/>
            <w:vAlign w:val="bottom"/>
            <w:tcBorders>
              <w:bottom w:val="single" w:sz="8" w:color="0E191E"/>
            </w:tcBorders>
          </w:tcPr>
          <w:p>
            <w:pPr>
              <w:spacing w:after="0"/>
              <w:rPr>
                <w:sz w:val="7"/>
                <w:szCs w:val="7"/>
                <w:color w:val="auto"/>
              </w:rPr>
            </w:pPr>
          </w:p>
        </w:tc>
        <w:tc>
          <w:tcPr>
            <w:tcW w:w="1300" w:type="dxa"/>
            <w:vAlign w:val="bottom"/>
            <w:tcBorders>
              <w:bottom w:val="single" w:sz="8" w:color="0E191E"/>
            </w:tcBorders>
          </w:tcPr>
          <w:p>
            <w:pPr>
              <w:spacing w:after="0"/>
              <w:rPr>
                <w:sz w:val="7"/>
                <w:szCs w:val="7"/>
                <w:color w:val="auto"/>
              </w:rPr>
            </w:pPr>
          </w:p>
        </w:tc>
        <w:tc>
          <w:tcPr>
            <w:tcW w:w="540" w:type="dxa"/>
            <w:vAlign w:val="bottom"/>
            <w:tcBorders>
              <w:bottom w:val="single" w:sz="8" w:color="0E191E"/>
            </w:tcBorders>
          </w:tcPr>
          <w:p>
            <w:pPr>
              <w:spacing w:after="0"/>
              <w:rPr>
                <w:sz w:val="7"/>
                <w:szCs w:val="7"/>
                <w:color w:val="auto"/>
              </w:rPr>
            </w:pPr>
          </w:p>
        </w:tc>
        <w:tc>
          <w:tcPr>
            <w:tcW w:w="1720" w:type="dxa"/>
            <w:vAlign w:val="bottom"/>
            <w:tcBorders>
              <w:bottom w:val="single" w:sz="8" w:color="0E191E"/>
            </w:tcBorders>
          </w:tcPr>
          <w:p>
            <w:pPr>
              <w:spacing w:after="0"/>
              <w:rPr>
                <w:sz w:val="7"/>
                <w:szCs w:val="7"/>
                <w:color w:val="auto"/>
              </w:rPr>
            </w:pPr>
          </w:p>
        </w:tc>
        <w:tc>
          <w:tcPr>
            <w:tcW w:w="500" w:type="dxa"/>
            <w:vAlign w:val="bottom"/>
            <w:tcBorders>
              <w:bottom w:val="single" w:sz="8" w:color="0E191E"/>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1720" w:type="dxa"/>
            <w:vAlign w:val="bottom"/>
          </w:tcPr>
          <w:p>
            <w:pPr>
              <w:ind w:left="20"/>
              <w:spacing w:after="0"/>
              <w:rPr>
                <w:sz w:val="20"/>
                <w:szCs w:val="20"/>
                <w:color w:val="auto"/>
              </w:rPr>
            </w:pPr>
            <w:r>
              <w:rPr>
                <w:rFonts w:ascii="Arial" w:cs="Arial" w:eastAsia="Arial" w:hAnsi="Arial"/>
                <w:sz w:val="13"/>
                <w:szCs w:val="13"/>
                <w:b w:val="1"/>
                <w:bCs w:val="1"/>
                <w:color w:val="0E191E"/>
              </w:rPr>
              <w:t>Total</w:t>
            </w:r>
          </w:p>
        </w:tc>
        <w:tc>
          <w:tcPr>
            <w:tcW w:w="2180" w:type="dxa"/>
            <w:vAlign w:val="bottom"/>
          </w:tcPr>
          <w:p>
            <w:pPr>
              <w:jc w:val="right"/>
              <w:spacing w:after="0"/>
              <w:rPr>
                <w:sz w:val="20"/>
                <w:szCs w:val="20"/>
                <w:color w:val="auto"/>
              </w:rPr>
            </w:pPr>
            <w:r>
              <w:rPr>
                <w:rFonts w:ascii="Arial" w:cs="Arial" w:eastAsia="Arial" w:hAnsi="Arial"/>
                <w:sz w:val="13"/>
                <w:szCs w:val="13"/>
                <w:b w:val="1"/>
                <w:bCs w:val="1"/>
                <w:color w:val="0E191E"/>
              </w:rPr>
              <w:t>3,429,060</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0E191E"/>
              </w:rPr>
              <w:t>16,155,072</w:t>
            </w: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3"/>
                <w:szCs w:val="13"/>
                <w:b w:val="1"/>
                <w:bCs w:val="1"/>
                <w:color w:val="0E191E"/>
              </w:rPr>
              <w:t>20,345,670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7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E5F1F5"/>
          </w:tcPr>
          <w:p>
            <w:pPr>
              <w:spacing w:after="0"/>
              <w:rPr>
                <w:sz w:val="21"/>
                <w:szCs w:val="21"/>
                <w:color w:val="auto"/>
              </w:rPr>
            </w:pPr>
          </w:p>
        </w:tc>
        <w:tc>
          <w:tcPr>
            <w:tcW w:w="1720" w:type="dxa"/>
            <w:vAlign w:val="bottom"/>
            <w:shd w:val="clear" w:color="auto" w:fill="E5F1F5"/>
          </w:tcPr>
          <w:p>
            <w:pPr>
              <w:ind w:left="20"/>
              <w:spacing w:after="0"/>
              <w:rPr>
                <w:sz w:val="20"/>
                <w:szCs w:val="20"/>
                <w:color w:val="auto"/>
              </w:rPr>
            </w:pPr>
            <w:r>
              <w:rPr>
                <w:rFonts w:ascii="Arial" w:cs="Arial" w:eastAsia="Arial" w:hAnsi="Arial"/>
                <w:sz w:val="13"/>
                <w:szCs w:val="13"/>
                <w:color w:val="0E191E"/>
              </w:rPr>
              <w:t>Cash Severance</w:t>
            </w:r>
          </w:p>
        </w:tc>
        <w:tc>
          <w:tcPr>
            <w:tcW w:w="218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387,000</w:t>
            </w:r>
          </w:p>
        </w:tc>
        <w:tc>
          <w:tcPr>
            <w:tcW w:w="540" w:type="dxa"/>
            <w:vAlign w:val="bottom"/>
            <w:gridSpan w:val="2"/>
            <w:shd w:val="clear" w:color="auto" w:fill="E5F1F5"/>
          </w:tcPr>
          <w:p>
            <w:pPr>
              <w:jc w:val="right"/>
              <w:ind w:right="224"/>
              <w:spacing w:after="0"/>
              <w:rPr>
                <w:sz w:val="20"/>
                <w:szCs w:val="20"/>
                <w:color w:val="auto"/>
              </w:rPr>
            </w:pPr>
            <w:r>
              <w:rPr>
                <w:rFonts w:ascii="Arial" w:cs="Arial" w:eastAsia="Arial" w:hAnsi="Arial"/>
                <w:sz w:val="15"/>
                <w:szCs w:val="15"/>
                <w:color w:val="0E191E"/>
              </w:rPr>
              <w:t>(6)</w:t>
            </w:r>
          </w:p>
        </w:tc>
        <w:tc>
          <w:tcPr>
            <w:tcW w:w="130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w:t>
            </w:r>
          </w:p>
        </w:tc>
        <w:tc>
          <w:tcPr>
            <w:tcW w:w="540" w:type="dxa"/>
            <w:vAlign w:val="bottom"/>
            <w:shd w:val="clear" w:color="auto" w:fill="E5F1F5"/>
          </w:tcPr>
          <w:p>
            <w:pPr>
              <w:spacing w:after="0"/>
              <w:rPr>
                <w:sz w:val="21"/>
                <w:szCs w:val="21"/>
                <w:color w:val="auto"/>
              </w:rPr>
            </w:pPr>
          </w:p>
        </w:tc>
        <w:tc>
          <w:tcPr>
            <w:tcW w:w="172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619,200</w:t>
            </w:r>
          </w:p>
        </w:tc>
        <w:tc>
          <w:tcPr>
            <w:tcW w:w="500" w:type="dxa"/>
            <w:vAlign w:val="bottom"/>
            <w:shd w:val="clear" w:color="auto" w:fill="E5F1F5"/>
          </w:tcPr>
          <w:p>
            <w:pPr>
              <w:jc w:val="right"/>
              <w:ind w:right="184"/>
              <w:spacing w:after="0"/>
              <w:rPr>
                <w:sz w:val="20"/>
                <w:szCs w:val="20"/>
                <w:color w:val="auto"/>
              </w:rPr>
            </w:pPr>
            <w:r>
              <w:rPr>
                <w:rFonts w:ascii="Arial" w:cs="Arial" w:eastAsia="Arial" w:hAnsi="Arial"/>
                <w:sz w:val="15"/>
                <w:szCs w:val="15"/>
                <w:color w:val="0E191E"/>
              </w:rPr>
              <w:t>(7)</w:t>
            </w:r>
          </w:p>
        </w:tc>
        <w:tc>
          <w:tcPr>
            <w:tcW w:w="0" w:type="dxa"/>
            <w:vAlign w:val="bottom"/>
          </w:tcPr>
          <w:p>
            <w:pPr>
              <w:spacing w:after="0"/>
              <w:rPr>
                <w:sz w:val="1"/>
                <w:szCs w:val="1"/>
                <w:color w:val="auto"/>
              </w:rPr>
            </w:pPr>
          </w:p>
        </w:tc>
      </w:tr>
      <w:tr>
        <w:trPr>
          <w:trHeight w:val="82"/>
        </w:trPr>
        <w:tc>
          <w:tcPr>
            <w:tcW w:w="2740" w:type="dxa"/>
            <w:vAlign w:val="bottom"/>
            <w:tcBorders>
              <w:bottom w:val="single" w:sz="8" w:color="E5F1F5"/>
            </w:tcBorders>
            <w:shd w:val="clear" w:color="auto" w:fill="E5F1F5"/>
          </w:tcPr>
          <w:p>
            <w:pPr>
              <w:spacing w:after="0"/>
              <w:rPr>
                <w:sz w:val="7"/>
                <w:szCs w:val="7"/>
                <w:color w:val="auto"/>
              </w:rPr>
            </w:pPr>
          </w:p>
        </w:tc>
        <w:tc>
          <w:tcPr>
            <w:tcW w:w="1720" w:type="dxa"/>
            <w:vAlign w:val="bottom"/>
            <w:tcBorders>
              <w:bottom w:val="single" w:sz="8" w:color="0E191E"/>
            </w:tcBorders>
            <w:shd w:val="clear" w:color="auto" w:fill="E5F1F5"/>
          </w:tcPr>
          <w:p>
            <w:pPr>
              <w:spacing w:after="0"/>
              <w:rPr>
                <w:sz w:val="7"/>
                <w:szCs w:val="7"/>
                <w:color w:val="auto"/>
              </w:rPr>
            </w:pPr>
          </w:p>
        </w:tc>
        <w:tc>
          <w:tcPr>
            <w:tcW w:w="2180" w:type="dxa"/>
            <w:vAlign w:val="bottom"/>
            <w:tcBorders>
              <w:bottom w:val="single" w:sz="8" w:color="0E191E"/>
            </w:tcBorders>
            <w:shd w:val="clear" w:color="auto" w:fill="E5F1F5"/>
          </w:tcPr>
          <w:p>
            <w:pPr>
              <w:spacing w:after="0"/>
              <w:rPr>
                <w:sz w:val="7"/>
                <w:szCs w:val="7"/>
                <w:color w:val="auto"/>
              </w:rPr>
            </w:pPr>
          </w:p>
        </w:tc>
        <w:tc>
          <w:tcPr>
            <w:tcW w:w="40" w:type="dxa"/>
            <w:vAlign w:val="bottom"/>
            <w:tcBorders>
              <w:bottom w:val="single" w:sz="8" w:color="0E191E"/>
            </w:tcBorders>
            <w:shd w:val="clear" w:color="auto" w:fill="E5F1F5"/>
          </w:tcPr>
          <w:p>
            <w:pPr>
              <w:spacing w:after="0"/>
              <w:rPr>
                <w:sz w:val="7"/>
                <w:szCs w:val="7"/>
                <w:color w:val="auto"/>
              </w:rPr>
            </w:pPr>
          </w:p>
        </w:tc>
        <w:tc>
          <w:tcPr>
            <w:tcW w:w="500" w:type="dxa"/>
            <w:vAlign w:val="bottom"/>
            <w:tcBorders>
              <w:bottom w:val="single" w:sz="8" w:color="0E191E"/>
            </w:tcBorders>
            <w:shd w:val="clear" w:color="auto" w:fill="E5F1F5"/>
          </w:tcPr>
          <w:p>
            <w:pPr>
              <w:spacing w:after="0"/>
              <w:rPr>
                <w:sz w:val="7"/>
                <w:szCs w:val="7"/>
                <w:color w:val="auto"/>
              </w:rPr>
            </w:pPr>
          </w:p>
        </w:tc>
        <w:tc>
          <w:tcPr>
            <w:tcW w:w="1300" w:type="dxa"/>
            <w:vAlign w:val="bottom"/>
            <w:tcBorders>
              <w:bottom w:val="single" w:sz="8" w:color="0E191E"/>
            </w:tcBorders>
            <w:shd w:val="clear" w:color="auto" w:fill="E5F1F5"/>
          </w:tcPr>
          <w:p>
            <w:pPr>
              <w:spacing w:after="0"/>
              <w:rPr>
                <w:sz w:val="7"/>
                <w:szCs w:val="7"/>
                <w:color w:val="auto"/>
              </w:rPr>
            </w:pPr>
          </w:p>
        </w:tc>
        <w:tc>
          <w:tcPr>
            <w:tcW w:w="540" w:type="dxa"/>
            <w:vAlign w:val="bottom"/>
            <w:tcBorders>
              <w:bottom w:val="single" w:sz="8" w:color="0E191E"/>
            </w:tcBorders>
            <w:shd w:val="clear" w:color="auto" w:fill="E5F1F5"/>
          </w:tcPr>
          <w:p>
            <w:pPr>
              <w:spacing w:after="0"/>
              <w:rPr>
                <w:sz w:val="7"/>
                <w:szCs w:val="7"/>
                <w:color w:val="auto"/>
              </w:rPr>
            </w:pPr>
          </w:p>
        </w:tc>
        <w:tc>
          <w:tcPr>
            <w:tcW w:w="1720" w:type="dxa"/>
            <w:vAlign w:val="bottom"/>
            <w:tcBorders>
              <w:bottom w:val="single" w:sz="8" w:color="0E191E"/>
            </w:tcBorders>
            <w:shd w:val="clear" w:color="auto" w:fill="E5F1F5"/>
          </w:tcPr>
          <w:p>
            <w:pPr>
              <w:spacing w:after="0"/>
              <w:rPr>
                <w:sz w:val="7"/>
                <w:szCs w:val="7"/>
                <w:color w:val="auto"/>
              </w:rPr>
            </w:pPr>
          </w:p>
        </w:tc>
        <w:tc>
          <w:tcPr>
            <w:tcW w:w="500" w:type="dxa"/>
            <w:vAlign w:val="bottom"/>
            <w:tcBorders>
              <w:bottom w:val="single" w:sz="8" w:color="0E191E"/>
            </w:tcBorders>
            <w:shd w:val="clear" w:color="auto" w:fill="E5F1F5"/>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740" w:type="dxa"/>
            <w:vAlign w:val="bottom"/>
            <w:vMerge w:val="restart"/>
            <w:shd w:val="clear" w:color="auto" w:fill="E5F1F5"/>
          </w:tcPr>
          <w:p>
            <w:pPr>
              <w:ind w:left="100"/>
              <w:spacing w:after="0"/>
              <w:rPr>
                <w:sz w:val="20"/>
                <w:szCs w:val="20"/>
                <w:color w:val="auto"/>
              </w:rPr>
            </w:pPr>
            <w:r>
              <w:rPr>
                <w:rFonts w:ascii="Arial" w:cs="Arial" w:eastAsia="Arial" w:hAnsi="Arial"/>
                <w:sz w:val="13"/>
                <w:szCs w:val="13"/>
                <w:b w:val="1"/>
                <w:bCs w:val="1"/>
                <w:color w:val="0E191E"/>
              </w:rPr>
              <w:t>Jeff Cooper</w:t>
            </w:r>
          </w:p>
        </w:tc>
        <w:tc>
          <w:tcPr>
            <w:tcW w:w="1720" w:type="dxa"/>
            <w:vAlign w:val="bottom"/>
            <w:shd w:val="clear" w:color="auto" w:fill="E5F1F5"/>
          </w:tcPr>
          <w:p>
            <w:pPr>
              <w:ind w:left="20"/>
              <w:spacing w:after="0"/>
              <w:rPr>
                <w:sz w:val="20"/>
                <w:szCs w:val="20"/>
                <w:color w:val="auto"/>
              </w:rPr>
            </w:pPr>
            <w:r>
              <w:rPr>
                <w:rFonts w:ascii="Arial" w:cs="Arial" w:eastAsia="Arial" w:hAnsi="Arial"/>
                <w:sz w:val="13"/>
                <w:szCs w:val="13"/>
                <w:color w:val="0E191E"/>
              </w:rPr>
              <w:t>Equity Acceleration</w:t>
            </w:r>
          </w:p>
        </w:tc>
        <w:tc>
          <w:tcPr>
            <w:tcW w:w="218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w:t>
            </w:r>
          </w:p>
        </w:tc>
        <w:tc>
          <w:tcPr>
            <w:tcW w:w="40" w:type="dxa"/>
            <w:vAlign w:val="bottom"/>
            <w:shd w:val="clear" w:color="auto" w:fill="E5F1F5"/>
          </w:tcPr>
          <w:p>
            <w:pPr>
              <w:spacing w:after="0"/>
              <w:rPr>
                <w:sz w:val="19"/>
                <w:szCs w:val="19"/>
                <w:color w:val="auto"/>
              </w:rPr>
            </w:pPr>
          </w:p>
        </w:tc>
        <w:tc>
          <w:tcPr>
            <w:tcW w:w="500" w:type="dxa"/>
            <w:vAlign w:val="bottom"/>
            <w:shd w:val="clear" w:color="auto" w:fill="E5F1F5"/>
          </w:tcPr>
          <w:p>
            <w:pPr>
              <w:spacing w:after="0"/>
              <w:rPr>
                <w:sz w:val="19"/>
                <w:szCs w:val="19"/>
                <w:color w:val="auto"/>
              </w:rPr>
            </w:pPr>
          </w:p>
        </w:tc>
        <w:tc>
          <w:tcPr>
            <w:tcW w:w="130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4,289,587</w:t>
            </w:r>
          </w:p>
        </w:tc>
        <w:tc>
          <w:tcPr>
            <w:tcW w:w="540" w:type="dxa"/>
            <w:vAlign w:val="bottom"/>
            <w:shd w:val="clear" w:color="auto" w:fill="E5F1F5"/>
          </w:tcPr>
          <w:p>
            <w:pPr>
              <w:jc w:val="right"/>
              <w:ind w:right="245"/>
              <w:spacing w:after="0"/>
              <w:rPr>
                <w:sz w:val="20"/>
                <w:szCs w:val="20"/>
                <w:color w:val="auto"/>
              </w:rPr>
            </w:pPr>
            <w:r>
              <w:rPr>
                <w:rFonts w:ascii="Arial" w:cs="Arial" w:eastAsia="Arial" w:hAnsi="Arial"/>
                <w:sz w:val="15"/>
                <w:szCs w:val="15"/>
                <w:color w:val="0E191E"/>
              </w:rPr>
              <w:t>(3)</w:t>
            </w:r>
          </w:p>
        </w:tc>
        <w:tc>
          <w:tcPr>
            <w:tcW w:w="172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4,289,587</w:t>
            </w:r>
          </w:p>
        </w:tc>
        <w:tc>
          <w:tcPr>
            <w:tcW w:w="500" w:type="dxa"/>
            <w:vAlign w:val="bottom"/>
            <w:shd w:val="clear" w:color="auto" w:fill="E5F1F5"/>
          </w:tcPr>
          <w:p>
            <w:pPr>
              <w:jc w:val="right"/>
              <w:ind w:right="184"/>
              <w:spacing w:after="0"/>
              <w:rPr>
                <w:sz w:val="20"/>
                <w:szCs w:val="20"/>
                <w:color w:val="auto"/>
              </w:rPr>
            </w:pPr>
            <w:r>
              <w:rPr>
                <w:rFonts w:ascii="Arial" w:cs="Arial" w:eastAsia="Arial" w:hAnsi="Arial"/>
                <w:sz w:val="15"/>
                <w:szCs w:val="15"/>
                <w:color w:val="0E191E"/>
              </w:rPr>
              <w:t>(3)</w:t>
            </w:r>
          </w:p>
        </w:tc>
        <w:tc>
          <w:tcPr>
            <w:tcW w:w="0" w:type="dxa"/>
            <w:vAlign w:val="bottom"/>
          </w:tcPr>
          <w:p>
            <w:pPr>
              <w:spacing w:after="0"/>
              <w:rPr>
                <w:sz w:val="1"/>
                <w:szCs w:val="1"/>
                <w:color w:val="auto"/>
              </w:rPr>
            </w:pPr>
          </w:p>
        </w:tc>
      </w:tr>
      <w:tr>
        <w:trPr>
          <w:trHeight w:val="81"/>
        </w:trPr>
        <w:tc>
          <w:tcPr>
            <w:tcW w:w="2740" w:type="dxa"/>
            <w:vAlign w:val="bottom"/>
            <w:tcBorders>
              <w:bottom w:val="single" w:sz="8" w:color="E5F1F5"/>
            </w:tcBorders>
            <w:vMerge w:val="continue"/>
            <w:shd w:val="clear" w:color="auto" w:fill="E5F1F5"/>
          </w:tcPr>
          <w:p>
            <w:pPr>
              <w:spacing w:after="0"/>
              <w:rPr>
                <w:sz w:val="7"/>
                <w:szCs w:val="7"/>
                <w:color w:val="auto"/>
              </w:rPr>
            </w:pPr>
          </w:p>
        </w:tc>
        <w:tc>
          <w:tcPr>
            <w:tcW w:w="1720" w:type="dxa"/>
            <w:vAlign w:val="bottom"/>
            <w:tcBorders>
              <w:bottom w:val="single" w:sz="8" w:color="0E191E"/>
            </w:tcBorders>
            <w:shd w:val="clear" w:color="auto" w:fill="E5F1F5"/>
          </w:tcPr>
          <w:p>
            <w:pPr>
              <w:spacing w:after="0"/>
              <w:rPr>
                <w:sz w:val="7"/>
                <w:szCs w:val="7"/>
                <w:color w:val="auto"/>
              </w:rPr>
            </w:pPr>
          </w:p>
        </w:tc>
        <w:tc>
          <w:tcPr>
            <w:tcW w:w="2180" w:type="dxa"/>
            <w:vAlign w:val="bottom"/>
            <w:tcBorders>
              <w:bottom w:val="single" w:sz="8" w:color="0E191E"/>
            </w:tcBorders>
            <w:shd w:val="clear" w:color="auto" w:fill="E5F1F5"/>
          </w:tcPr>
          <w:p>
            <w:pPr>
              <w:spacing w:after="0"/>
              <w:rPr>
                <w:sz w:val="7"/>
                <w:szCs w:val="7"/>
                <w:color w:val="auto"/>
              </w:rPr>
            </w:pPr>
          </w:p>
        </w:tc>
        <w:tc>
          <w:tcPr>
            <w:tcW w:w="40" w:type="dxa"/>
            <w:vAlign w:val="bottom"/>
            <w:tcBorders>
              <w:bottom w:val="single" w:sz="8" w:color="0E191E"/>
            </w:tcBorders>
            <w:shd w:val="clear" w:color="auto" w:fill="E5F1F5"/>
          </w:tcPr>
          <w:p>
            <w:pPr>
              <w:spacing w:after="0"/>
              <w:rPr>
                <w:sz w:val="7"/>
                <w:szCs w:val="7"/>
                <w:color w:val="auto"/>
              </w:rPr>
            </w:pPr>
          </w:p>
        </w:tc>
        <w:tc>
          <w:tcPr>
            <w:tcW w:w="500" w:type="dxa"/>
            <w:vAlign w:val="bottom"/>
            <w:tcBorders>
              <w:bottom w:val="single" w:sz="8" w:color="0E191E"/>
            </w:tcBorders>
            <w:shd w:val="clear" w:color="auto" w:fill="E5F1F5"/>
          </w:tcPr>
          <w:p>
            <w:pPr>
              <w:spacing w:after="0"/>
              <w:rPr>
                <w:sz w:val="7"/>
                <w:szCs w:val="7"/>
                <w:color w:val="auto"/>
              </w:rPr>
            </w:pPr>
          </w:p>
        </w:tc>
        <w:tc>
          <w:tcPr>
            <w:tcW w:w="1300" w:type="dxa"/>
            <w:vAlign w:val="bottom"/>
            <w:tcBorders>
              <w:bottom w:val="single" w:sz="8" w:color="0E191E"/>
            </w:tcBorders>
            <w:shd w:val="clear" w:color="auto" w:fill="E5F1F5"/>
          </w:tcPr>
          <w:p>
            <w:pPr>
              <w:spacing w:after="0"/>
              <w:rPr>
                <w:sz w:val="7"/>
                <w:szCs w:val="7"/>
                <w:color w:val="auto"/>
              </w:rPr>
            </w:pPr>
          </w:p>
        </w:tc>
        <w:tc>
          <w:tcPr>
            <w:tcW w:w="540" w:type="dxa"/>
            <w:vAlign w:val="bottom"/>
            <w:tcBorders>
              <w:bottom w:val="single" w:sz="8" w:color="0E191E"/>
            </w:tcBorders>
            <w:shd w:val="clear" w:color="auto" w:fill="E5F1F5"/>
          </w:tcPr>
          <w:p>
            <w:pPr>
              <w:spacing w:after="0"/>
              <w:rPr>
                <w:sz w:val="7"/>
                <w:szCs w:val="7"/>
                <w:color w:val="auto"/>
              </w:rPr>
            </w:pPr>
          </w:p>
        </w:tc>
        <w:tc>
          <w:tcPr>
            <w:tcW w:w="1720" w:type="dxa"/>
            <w:vAlign w:val="bottom"/>
            <w:tcBorders>
              <w:bottom w:val="single" w:sz="8" w:color="0E191E"/>
            </w:tcBorders>
            <w:shd w:val="clear" w:color="auto" w:fill="E5F1F5"/>
          </w:tcPr>
          <w:p>
            <w:pPr>
              <w:spacing w:after="0"/>
              <w:rPr>
                <w:sz w:val="7"/>
                <w:szCs w:val="7"/>
                <w:color w:val="auto"/>
              </w:rPr>
            </w:pPr>
          </w:p>
        </w:tc>
        <w:tc>
          <w:tcPr>
            <w:tcW w:w="500" w:type="dxa"/>
            <w:vAlign w:val="bottom"/>
            <w:tcBorders>
              <w:bottom w:val="single" w:sz="8" w:color="0E191E"/>
            </w:tcBorders>
            <w:shd w:val="clear" w:color="auto" w:fill="E5F1F5"/>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740" w:type="dxa"/>
            <w:vAlign w:val="bottom"/>
            <w:vMerge w:val="continue"/>
            <w:shd w:val="clear" w:color="auto" w:fill="E5F1F5"/>
          </w:tcPr>
          <w:p>
            <w:pPr>
              <w:spacing w:after="0"/>
              <w:rPr>
                <w:sz w:val="5"/>
                <w:szCs w:val="5"/>
                <w:color w:val="auto"/>
              </w:rPr>
            </w:pPr>
          </w:p>
        </w:tc>
        <w:tc>
          <w:tcPr>
            <w:tcW w:w="1720" w:type="dxa"/>
            <w:vAlign w:val="bottom"/>
            <w:vMerge w:val="restart"/>
            <w:shd w:val="clear" w:color="auto" w:fill="E5F1F5"/>
          </w:tcPr>
          <w:p>
            <w:pPr>
              <w:ind w:left="20"/>
              <w:spacing w:after="0"/>
              <w:rPr>
                <w:sz w:val="20"/>
                <w:szCs w:val="20"/>
                <w:color w:val="auto"/>
              </w:rPr>
            </w:pPr>
            <w:r>
              <w:rPr>
                <w:rFonts w:ascii="Arial" w:cs="Arial" w:eastAsia="Arial" w:hAnsi="Arial"/>
                <w:sz w:val="13"/>
                <w:szCs w:val="13"/>
                <w:color w:val="0E191E"/>
              </w:rPr>
              <w:t>Health Benefits</w:t>
            </w:r>
          </w:p>
        </w:tc>
        <w:tc>
          <w:tcPr>
            <w:tcW w:w="2180" w:type="dxa"/>
            <w:vAlign w:val="bottom"/>
            <w:vMerge w:val="restart"/>
            <w:shd w:val="clear" w:color="auto" w:fill="E5F1F5"/>
          </w:tcPr>
          <w:p>
            <w:pPr>
              <w:jc w:val="right"/>
              <w:spacing w:after="0"/>
              <w:rPr>
                <w:sz w:val="20"/>
                <w:szCs w:val="20"/>
                <w:color w:val="auto"/>
              </w:rPr>
            </w:pPr>
            <w:r>
              <w:rPr>
                <w:rFonts w:ascii="Arial" w:cs="Arial" w:eastAsia="Arial" w:hAnsi="Arial"/>
                <w:sz w:val="13"/>
                <w:szCs w:val="13"/>
                <w:color w:val="0E191E"/>
              </w:rPr>
              <w:t>16,686</w:t>
            </w:r>
          </w:p>
        </w:tc>
        <w:tc>
          <w:tcPr>
            <w:tcW w:w="40" w:type="dxa"/>
            <w:vAlign w:val="bottom"/>
            <w:shd w:val="clear" w:color="auto" w:fill="E5F1F5"/>
          </w:tcPr>
          <w:p>
            <w:pPr>
              <w:spacing w:after="0"/>
              <w:rPr>
                <w:sz w:val="5"/>
                <w:szCs w:val="5"/>
                <w:color w:val="auto"/>
              </w:rPr>
            </w:pPr>
          </w:p>
        </w:tc>
        <w:tc>
          <w:tcPr>
            <w:tcW w:w="500" w:type="dxa"/>
            <w:vAlign w:val="bottom"/>
            <w:vMerge w:val="restart"/>
            <w:shd w:val="clear" w:color="auto" w:fill="E5F1F5"/>
          </w:tcPr>
          <w:p>
            <w:pPr>
              <w:jc w:val="right"/>
              <w:ind w:right="224"/>
              <w:spacing w:after="0"/>
              <w:rPr>
                <w:sz w:val="20"/>
                <w:szCs w:val="20"/>
                <w:color w:val="auto"/>
              </w:rPr>
            </w:pPr>
            <w:r>
              <w:rPr>
                <w:rFonts w:ascii="Arial" w:cs="Arial" w:eastAsia="Arial" w:hAnsi="Arial"/>
                <w:sz w:val="15"/>
                <w:szCs w:val="15"/>
                <w:color w:val="0E191E"/>
                <w:w w:val="97"/>
              </w:rPr>
              <w:t>(4)</w:t>
            </w:r>
          </w:p>
        </w:tc>
        <w:tc>
          <w:tcPr>
            <w:tcW w:w="1300" w:type="dxa"/>
            <w:vAlign w:val="bottom"/>
            <w:vMerge w:val="restart"/>
            <w:shd w:val="clear" w:color="auto" w:fill="E5F1F5"/>
          </w:tcPr>
          <w:p>
            <w:pPr>
              <w:jc w:val="right"/>
              <w:spacing w:after="0"/>
              <w:rPr>
                <w:sz w:val="20"/>
                <w:szCs w:val="20"/>
                <w:color w:val="auto"/>
              </w:rPr>
            </w:pPr>
            <w:r>
              <w:rPr>
                <w:rFonts w:ascii="Arial" w:cs="Arial" w:eastAsia="Arial" w:hAnsi="Arial"/>
                <w:sz w:val="13"/>
                <w:szCs w:val="13"/>
                <w:color w:val="0E191E"/>
              </w:rPr>
              <w:t>—</w:t>
            </w:r>
          </w:p>
        </w:tc>
        <w:tc>
          <w:tcPr>
            <w:tcW w:w="540" w:type="dxa"/>
            <w:vAlign w:val="bottom"/>
            <w:shd w:val="clear" w:color="auto" w:fill="E5F1F5"/>
          </w:tcPr>
          <w:p>
            <w:pPr>
              <w:spacing w:after="0"/>
              <w:rPr>
                <w:sz w:val="5"/>
                <w:szCs w:val="5"/>
                <w:color w:val="auto"/>
              </w:rPr>
            </w:pPr>
          </w:p>
        </w:tc>
        <w:tc>
          <w:tcPr>
            <w:tcW w:w="1720" w:type="dxa"/>
            <w:vAlign w:val="bottom"/>
            <w:vMerge w:val="restart"/>
            <w:shd w:val="clear" w:color="auto" w:fill="E5F1F5"/>
          </w:tcPr>
          <w:p>
            <w:pPr>
              <w:jc w:val="right"/>
              <w:spacing w:after="0"/>
              <w:rPr>
                <w:sz w:val="20"/>
                <w:szCs w:val="20"/>
                <w:color w:val="auto"/>
              </w:rPr>
            </w:pPr>
            <w:r>
              <w:rPr>
                <w:rFonts w:ascii="Arial" w:cs="Arial" w:eastAsia="Arial" w:hAnsi="Arial"/>
                <w:sz w:val="13"/>
                <w:szCs w:val="13"/>
                <w:color w:val="0E191E"/>
              </w:rPr>
              <w:t>16,686</w:t>
            </w:r>
          </w:p>
        </w:tc>
        <w:tc>
          <w:tcPr>
            <w:tcW w:w="500" w:type="dxa"/>
            <w:vAlign w:val="bottom"/>
            <w:vMerge w:val="restart"/>
            <w:shd w:val="clear" w:color="auto" w:fill="E5F1F5"/>
          </w:tcPr>
          <w:p>
            <w:pPr>
              <w:jc w:val="right"/>
              <w:ind w:right="184"/>
              <w:spacing w:after="0"/>
              <w:rPr>
                <w:sz w:val="20"/>
                <w:szCs w:val="20"/>
                <w:color w:val="auto"/>
              </w:rPr>
            </w:pPr>
            <w:r>
              <w:rPr>
                <w:rFonts w:ascii="Arial" w:cs="Arial" w:eastAsia="Arial" w:hAnsi="Arial"/>
                <w:sz w:val="15"/>
                <w:szCs w:val="15"/>
                <w:color w:val="0E191E"/>
              </w:rPr>
              <w:t>(4)</w:t>
            </w:r>
          </w:p>
        </w:tc>
        <w:tc>
          <w:tcPr>
            <w:tcW w:w="0" w:type="dxa"/>
            <w:vAlign w:val="bottom"/>
          </w:tcPr>
          <w:p>
            <w:pPr>
              <w:spacing w:after="0"/>
              <w:rPr>
                <w:sz w:val="1"/>
                <w:szCs w:val="1"/>
                <w:color w:val="auto"/>
              </w:rPr>
            </w:pPr>
          </w:p>
        </w:tc>
      </w:tr>
      <w:tr>
        <w:trPr>
          <w:trHeight w:val="162"/>
        </w:trPr>
        <w:tc>
          <w:tcPr>
            <w:tcW w:w="2740" w:type="dxa"/>
            <w:vAlign w:val="bottom"/>
            <w:shd w:val="clear" w:color="auto" w:fill="E5F1F5"/>
          </w:tcPr>
          <w:p>
            <w:pPr>
              <w:spacing w:after="0"/>
              <w:rPr>
                <w:sz w:val="14"/>
                <w:szCs w:val="14"/>
                <w:color w:val="auto"/>
              </w:rPr>
            </w:pPr>
          </w:p>
        </w:tc>
        <w:tc>
          <w:tcPr>
            <w:tcW w:w="1720" w:type="dxa"/>
            <w:vAlign w:val="bottom"/>
            <w:vMerge w:val="continue"/>
            <w:shd w:val="clear" w:color="auto" w:fill="E5F1F5"/>
          </w:tcPr>
          <w:p>
            <w:pPr>
              <w:spacing w:after="0"/>
              <w:rPr>
                <w:sz w:val="14"/>
                <w:szCs w:val="14"/>
                <w:color w:val="auto"/>
              </w:rPr>
            </w:pPr>
          </w:p>
        </w:tc>
        <w:tc>
          <w:tcPr>
            <w:tcW w:w="2180" w:type="dxa"/>
            <w:vAlign w:val="bottom"/>
            <w:vMerge w:val="continue"/>
            <w:shd w:val="clear" w:color="auto" w:fill="E5F1F5"/>
          </w:tcPr>
          <w:p>
            <w:pPr>
              <w:spacing w:after="0"/>
              <w:rPr>
                <w:sz w:val="14"/>
                <w:szCs w:val="14"/>
                <w:color w:val="auto"/>
              </w:rPr>
            </w:pPr>
          </w:p>
        </w:tc>
        <w:tc>
          <w:tcPr>
            <w:tcW w:w="40" w:type="dxa"/>
            <w:vAlign w:val="bottom"/>
            <w:shd w:val="clear" w:color="auto" w:fill="E5F1F5"/>
          </w:tcPr>
          <w:p>
            <w:pPr>
              <w:spacing w:after="0"/>
              <w:rPr>
                <w:sz w:val="14"/>
                <w:szCs w:val="14"/>
                <w:color w:val="auto"/>
              </w:rPr>
            </w:pPr>
          </w:p>
        </w:tc>
        <w:tc>
          <w:tcPr>
            <w:tcW w:w="500" w:type="dxa"/>
            <w:vAlign w:val="bottom"/>
            <w:vMerge w:val="continue"/>
            <w:shd w:val="clear" w:color="auto" w:fill="E5F1F5"/>
          </w:tcPr>
          <w:p>
            <w:pPr>
              <w:spacing w:after="0"/>
              <w:rPr>
                <w:sz w:val="14"/>
                <w:szCs w:val="14"/>
                <w:color w:val="auto"/>
              </w:rPr>
            </w:pPr>
          </w:p>
        </w:tc>
        <w:tc>
          <w:tcPr>
            <w:tcW w:w="1300" w:type="dxa"/>
            <w:vAlign w:val="bottom"/>
            <w:vMerge w:val="continue"/>
            <w:shd w:val="clear" w:color="auto" w:fill="E5F1F5"/>
          </w:tcPr>
          <w:p>
            <w:pPr>
              <w:spacing w:after="0"/>
              <w:rPr>
                <w:sz w:val="14"/>
                <w:szCs w:val="14"/>
                <w:color w:val="auto"/>
              </w:rPr>
            </w:pPr>
          </w:p>
        </w:tc>
        <w:tc>
          <w:tcPr>
            <w:tcW w:w="540" w:type="dxa"/>
            <w:vAlign w:val="bottom"/>
            <w:shd w:val="clear" w:color="auto" w:fill="E5F1F5"/>
          </w:tcPr>
          <w:p>
            <w:pPr>
              <w:spacing w:after="0"/>
              <w:rPr>
                <w:sz w:val="14"/>
                <w:szCs w:val="14"/>
                <w:color w:val="auto"/>
              </w:rPr>
            </w:pPr>
          </w:p>
        </w:tc>
        <w:tc>
          <w:tcPr>
            <w:tcW w:w="1720" w:type="dxa"/>
            <w:vAlign w:val="bottom"/>
            <w:vMerge w:val="continue"/>
            <w:shd w:val="clear" w:color="auto" w:fill="E5F1F5"/>
          </w:tcPr>
          <w:p>
            <w:pPr>
              <w:spacing w:after="0"/>
              <w:rPr>
                <w:sz w:val="14"/>
                <w:szCs w:val="14"/>
                <w:color w:val="auto"/>
              </w:rPr>
            </w:pPr>
          </w:p>
        </w:tc>
        <w:tc>
          <w:tcPr>
            <w:tcW w:w="500" w:type="dxa"/>
            <w:vAlign w:val="bottom"/>
            <w:vMerge w:val="continue"/>
            <w:shd w:val="clear" w:color="auto" w:fill="E5F1F5"/>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740" w:type="dxa"/>
            <w:vAlign w:val="bottom"/>
            <w:tcBorders>
              <w:bottom w:val="single" w:sz="8" w:color="E5F1F5"/>
            </w:tcBorders>
            <w:shd w:val="clear" w:color="auto" w:fill="E5F1F5"/>
          </w:tcPr>
          <w:p>
            <w:pPr>
              <w:spacing w:after="0"/>
              <w:rPr>
                <w:sz w:val="7"/>
                <w:szCs w:val="7"/>
                <w:color w:val="auto"/>
              </w:rPr>
            </w:pPr>
          </w:p>
        </w:tc>
        <w:tc>
          <w:tcPr>
            <w:tcW w:w="1720" w:type="dxa"/>
            <w:vAlign w:val="bottom"/>
            <w:tcBorders>
              <w:bottom w:val="single" w:sz="8" w:color="auto"/>
            </w:tcBorders>
            <w:shd w:val="clear" w:color="auto" w:fill="E5F1F5"/>
          </w:tcPr>
          <w:p>
            <w:pPr>
              <w:spacing w:after="0"/>
              <w:rPr>
                <w:sz w:val="7"/>
                <w:szCs w:val="7"/>
                <w:color w:val="auto"/>
              </w:rPr>
            </w:pPr>
          </w:p>
        </w:tc>
        <w:tc>
          <w:tcPr>
            <w:tcW w:w="2180" w:type="dxa"/>
            <w:vAlign w:val="bottom"/>
            <w:tcBorders>
              <w:bottom w:val="single" w:sz="8" w:color="auto"/>
            </w:tcBorders>
            <w:shd w:val="clear" w:color="auto" w:fill="E5F1F5"/>
          </w:tcPr>
          <w:p>
            <w:pPr>
              <w:spacing w:after="0"/>
              <w:rPr>
                <w:sz w:val="7"/>
                <w:szCs w:val="7"/>
                <w:color w:val="auto"/>
              </w:rPr>
            </w:pPr>
          </w:p>
        </w:tc>
        <w:tc>
          <w:tcPr>
            <w:tcW w:w="40" w:type="dxa"/>
            <w:vAlign w:val="bottom"/>
            <w:tcBorders>
              <w:bottom w:val="single" w:sz="8" w:color="auto"/>
            </w:tcBorders>
            <w:shd w:val="clear" w:color="auto" w:fill="E5F1F5"/>
          </w:tcPr>
          <w:p>
            <w:pPr>
              <w:spacing w:after="0"/>
              <w:rPr>
                <w:sz w:val="7"/>
                <w:szCs w:val="7"/>
                <w:color w:val="auto"/>
              </w:rPr>
            </w:pPr>
          </w:p>
        </w:tc>
        <w:tc>
          <w:tcPr>
            <w:tcW w:w="500" w:type="dxa"/>
            <w:vAlign w:val="bottom"/>
            <w:tcBorders>
              <w:bottom w:val="single" w:sz="8" w:color="auto"/>
            </w:tcBorders>
            <w:shd w:val="clear" w:color="auto" w:fill="E5F1F5"/>
          </w:tcPr>
          <w:p>
            <w:pPr>
              <w:spacing w:after="0"/>
              <w:rPr>
                <w:sz w:val="7"/>
                <w:szCs w:val="7"/>
                <w:color w:val="auto"/>
              </w:rPr>
            </w:pPr>
          </w:p>
        </w:tc>
        <w:tc>
          <w:tcPr>
            <w:tcW w:w="1300" w:type="dxa"/>
            <w:vAlign w:val="bottom"/>
            <w:tcBorders>
              <w:bottom w:val="single" w:sz="8" w:color="auto"/>
            </w:tcBorders>
            <w:shd w:val="clear" w:color="auto" w:fill="E5F1F5"/>
          </w:tcPr>
          <w:p>
            <w:pPr>
              <w:spacing w:after="0"/>
              <w:rPr>
                <w:sz w:val="7"/>
                <w:szCs w:val="7"/>
                <w:color w:val="auto"/>
              </w:rPr>
            </w:pPr>
          </w:p>
        </w:tc>
        <w:tc>
          <w:tcPr>
            <w:tcW w:w="540" w:type="dxa"/>
            <w:vAlign w:val="bottom"/>
            <w:tcBorders>
              <w:bottom w:val="single" w:sz="8" w:color="auto"/>
            </w:tcBorders>
            <w:shd w:val="clear" w:color="auto" w:fill="E5F1F5"/>
          </w:tcPr>
          <w:p>
            <w:pPr>
              <w:spacing w:after="0"/>
              <w:rPr>
                <w:sz w:val="7"/>
                <w:szCs w:val="7"/>
                <w:color w:val="auto"/>
              </w:rPr>
            </w:pPr>
          </w:p>
        </w:tc>
        <w:tc>
          <w:tcPr>
            <w:tcW w:w="1720" w:type="dxa"/>
            <w:vAlign w:val="bottom"/>
            <w:tcBorders>
              <w:bottom w:val="single" w:sz="8" w:color="auto"/>
            </w:tcBorders>
            <w:shd w:val="clear" w:color="auto" w:fill="E5F1F5"/>
          </w:tcPr>
          <w:p>
            <w:pPr>
              <w:spacing w:after="0"/>
              <w:rPr>
                <w:sz w:val="7"/>
                <w:szCs w:val="7"/>
                <w:color w:val="auto"/>
              </w:rPr>
            </w:pPr>
          </w:p>
        </w:tc>
        <w:tc>
          <w:tcPr>
            <w:tcW w:w="500" w:type="dxa"/>
            <w:vAlign w:val="bottom"/>
            <w:tcBorders>
              <w:bottom w:val="single" w:sz="8" w:color="auto"/>
            </w:tcBorders>
            <w:shd w:val="clear" w:color="auto" w:fill="E5F1F5"/>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E5F1F5"/>
          </w:tcPr>
          <w:p>
            <w:pPr>
              <w:spacing w:after="0"/>
              <w:rPr>
                <w:sz w:val="19"/>
                <w:szCs w:val="19"/>
                <w:color w:val="auto"/>
              </w:rPr>
            </w:pPr>
          </w:p>
        </w:tc>
        <w:tc>
          <w:tcPr>
            <w:tcW w:w="1720" w:type="dxa"/>
            <w:vAlign w:val="bottom"/>
            <w:shd w:val="clear" w:color="auto" w:fill="E5F1F5"/>
          </w:tcPr>
          <w:p>
            <w:pPr>
              <w:ind w:left="20"/>
              <w:spacing w:after="0"/>
              <w:rPr>
                <w:sz w:val="20"/>
                <w:szCs w:val="20"/>
                <w:color w:val="auto"/>
              </w:rPr>
            </w:pPr>
            <w:r>
              <w:rPr>
                <w:rFonts w:ascii="Arial" w:cs="Arial" w:eastAsia="Arial" w:hAnsi="Arial"/>
                <w:sz w:val="13"/>
                <w:szCs w:val="13"/>
                <w:b w:val="1"/>
                <w:bCs w:val="1"/>
                <w:color w:val="0E191E"/>
              </w:rPr>
              <w:t>Total</w:t>
            </w:r>
          </w:p>
        </w:tc>
        <w:tc>
          <w:tcPr>
            <w:tcW w:w="2180" w:type="dxa"/>
            <w:vAlign w:val="bottom"/>
            <w:shd w:val="clear" w:color="auto" w:fill="E5F1F5"/>
          </w:tcPr>
          <w:p>
            <w:pPr>
              <w:jc w:val="right"/>
              <w:spacing w:after="0"/>
              <w:rPr>
                <w:sz w:val="20"/>
                <w:szCs w:val="20"/>
                <w:color w:val="auto"/>
              </w:rPr>
            </w:pPr>
            <w:r>
              <w:rPr>
                <w:rFonts w:ascii="Arial" w:cs="Arial" w:eastAsia="Arial" w:hAnsi="Arial"/>
                <w:sz w:val="13"/>
                <w:szCs w:val="13"/>
                <w:b w:val="1"/>
                <w:bCs w:val="1"/>
                <w:color w:val="0E191E"/>
              </w:rPr>
              <w:t>403,686</w:t>
            </w:r>
          </w:p>
        </w:tc>
        <w:tc>
          <w:tcPr>
            <w:tcW w:w="40" w:type="dxa"/>
            <w:vAlign w:val="bottom"/>
            <w:shd w:val="clear" w:color="auto" w:fill="E5F1F5"/>
          </w:tcPr>
          <w:p>
            <w:pPr>
              <w:spacing w:after="0"/>
              <w:rPr>
                <w:sz w:val="19"/>
                <w:szCs w:val="19"/>
                <w:color w:val="auto"/>
              </w:rPr>
            </w:pPr>
          </w:p>
        </w:tc>
        <w:tc>
          <w:tcPr>
            <w:tcW w:w="500" w:type="dxa"/>
            <w:vAlign w:val="bottom"/>
            <w:shd w:val="clear" w:color="auto" w:fill="E5F1F5"/>
          </w:tcPr>
          <w:p>
            <w:pPr>
              <w:spacing w:after="0"/>
              <w:rPr>
                <w:sz w:val="19"/>
                <w:szCs w:val="19"/>
                <w:color w:val="auto"/>
              </w:rPr>
            </w:pPr>
          </w:p>
        </w:tc>
        <w:tc>
          <w:tcPr>
            <w:tcW w:w="1300" w:type="dxa"/>
            <w:vAlign w:val="bottom"/>
            <w:shd w:val="clear" w:color="auto" w:fill="E5F1F5"/>
          </w:tcPr>
          <w:p>
            <w:pPr>
              <w:jc w:val="right"/>
              <w:spacing w:after="0"/>
              <w:rPr>
                <w:sz w:val="20"/>
                <w:szCs w:val="20"/>
                <w:color w:val="auto"/>
              </w:rPr>
            </w:pPr>
            <w:r>
              <w:rPr>
                <w:rFonts w:ascii="Arial" w:cs="Arial" w:eastAsia="Arial" w:hAnsi="Arial"/>
                <w:sz w:val="13"/>
                <w:szCs w:val="13"/>
                <w:b w:val="1"/>
                <w:bCs w:val="1"/>
                <w:color w:val="0E191E"/>
              </w:rPr>
              <w:t>4,289,587</w:t>
            </w:r>
          </w:p>
        </w:tc>
        <w:tc>
          <w:tcPr>
            <w:tcW w:w="540" w:type="dxa"/>
            <w:vAlign w:val="bottom"/>
            <w:shd w:val="clear" w:color="auto" w:fill="E5F1F5"/>
          </w:tcPr>
          <w:p>
            <w:pPr>
              <w:spacing w:after="0"/>
              <w:rPr>
                <w:sz w:val="19"/>
                <w:szCs w:val="19"/>
                <w:color w:val="auto"/>
              </w:rPr>
            </w:pPr>
          </w:p>
        </w:tc>
        <w:tc>
          <w:tcPr>
            <w:tcW w:w="1720" w:type="dxa"/>
            <w:vAlign w:val="bottom"/>
            <w:shd w:val="clear" w:color="auto" w:fill="E5F1F5"/>
          </w:tcPr>
          <w:p>
            <w:pPr>
              <w:jc w:val="right"/>
              <w:spacing w:after="0"/>
              <w:rPr>
                <w:sz w:val="20"/>
                <w:szCs w:val="20"/>
                <w:color w:val="auto"/>
              </w:rPr>
            </w:pPr>
            <w:r>
              <w:rPr>
                <w:rFonts w:ascii="Arial" w:cs="Arial" w:eastAsia="Arial" w:hAnsi="Arial"/>
                <w:sz w:val="13"/>
                <w:szCs w:val="13"/>
                <w:b w:val="1"/>
                <w:bCs w:val="1"/>
                <w:color w:val="0E191E"/>
              </w:rPr>
              <w:t>4,925,473</w:t>
            </w:r>
          </w:p>
        </w:tc>
        <w:tc>
          <w:tcPr>
            <w:tcW w:w="500" w:type="dxa"/>
            <w:vAlign w:val="bottom"/>
            <w:shd w:val="clear" w:color="auto" w:fill="E5F1F5"/>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740" w:type="dxa"/>
            <w:vAlign w:val="bottom"/>
            <w:shd w:val="clear" w:color="auto" w:fill="E5F1F5"/>
          </w:tcPr>
          <w:p>
            <w:pPr>
              <w:spacing w:after="0"/>
              <w:rPr>
                <w:sz w:val="7"/>
                <w:szCs w:val="7"/>
                <w:color w:val="auto"/>
              </w:rPr>
            </w:pPr>
          </w:p>
        </w:tc>
        <w:tc>
          <w:tcPr>
            <w:tcW w:w="1720" w:type="dxa"/>
            <w:vAlign w:val="bottom"/>
            <w:shd w:val="clear" w:color="auto" w:fill="E5F1F5"/>
          </w:tcPr>
          <w:p>
            <w:pPr>
              <w:spacing w:after="0"/>
              <w:rPr>
                <w:sz w:val="7"/>
                <w:szCs w:val="7"/>
                <w:color w:val="auto"/>
              </w:rPr>
            </w:pPr>
          </w:p>
        </w:tc>
        <w:tc>
          <w:tcPr>
            <w:tcW w:w="2180" w:type="dxa"/>
            <w:vAlign w:val="bottom"/>
            <w:shd w:val="clear" w:color="auto" w:fill="E5F1F5"/>
          </w:tcPr>
          <w:p>
            <w:pPr>
              <w:spacing w:after="0"/>
              <w:rPr>
                <w:sz w:val="7"/>
                <w:szCs w:val="7"/>
                <w:color w:val="auto"/>
              </w:rPr>
            </w:pPr>
          </w:p>
        </w:tc>
        <w:tc>
          <w:tcPr>
            <w:tcW w:w="40" w:type="dxa"/>
            <w:vAlign w:val="bottom"/>
            <w:shd w:val="clear" w:color="auto" w:fill="E5F1F5"/>
          </w:tcPr>
          <w:p>
            <w:pPr>
              <w:spacing w:after="0"/>
              <w:rPr>
                <w:sz w:val="7"/>
                <w:szCs w:val="7"/>
                <w:color w:val="auto"/>
              </w:rPr>
            </w:pPr>
          </w:p>
        </w:tc>
        <w:tc>
          <w:tcPr>
            <w:tcW w:w="500" w:type="dxa"/>
            <w:vAlign w:val="bottom"/>
            <w:shd w:val="clear" w:color="auto" w:fill="E5F1F5"/>
          </w:tcPr>
          <w:p>
            <w:pPr>
              <w:spacing w:after="0"/>
              <w:rPr>
                <w:sz w:val="7"/>
                <w:szCs w:val="7"/>
                <w:color w:val="auto"/>
              </w:rPr>
            </w:pPr>
          </w:p>
        </w:tc>
        <w:tc>
          <w:tcPr>
            <w:tcW w:w="1300" w:type="dxa"/>
            <w:vAlign w:val="bottom"/>
            <w:shd w:val="clear" w:color="auto" w:fill="E5F1F5"/>
          </w:tcPr>
          <w:p>
            <w:pPr>
              <w:spacing w:after="0"/>
              <w:rPr>
                <w:sz w:val="7"/>
                <w:szCs w:val="7"/>
                <w:color w:val="auto"/>
              </w:rPr>
            </w:pPr>
          </w:p>
        </w:tc>
        <w:tc>
          <w:tcPr>
            <w:tcW w:w="540" w:type="dxa"/>
            <w:vAlign w:val="bottom"/>
            <w:shd w:val="clear" w:color="auto" w:fill="E5F1F5"/>
          </w:tcPr>
          <w:p>
            <w:pPr>
              <w:spacing w:after="0"/>
              <w:rPr>
                <w:sz w:val="7"/>
                <w:szCs w:val="7"/>
                <w:color w:val="auto"/>
              </w:rPr>
            </w:pPr>
          </w:p>
        </w:tc>
        <w:tc>
          <w:tcPr>
            <w:tcW w:w="1720" w:type="dxa"/>
            <w:vAlign w:val="bottom"/>
            <w:shd w:val="clear" w:color="auto" w:fill="E5F1F5"/>
          </w:tcPr>
          <w:p>
            <w:pPr>
              <w:spacing w:after="0"/>
              <w:rPr>
                <w:sz w:val="7"/>
                <w:szCs w:val="7"/>
                <w:color w:val="auto"/>
              </w:rPr>
            </w:pPr>
          </w:p>
        </w:tc>
        <w:tc>
          <w:tcPr>
            <w:tcW w:w="500" w:type="dxa"/>
            <w:vAlign w:val="bottom"/>
            <w:shd w:val="clear" w:color="auto" w:fill="E5F1F5"/>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3"/>
                <w:szCs w:val="13"/>
                <w:color w:val="0E191E"/>
              </w:rPr>
              <w:t>Cash Severance</w:t>
            </w:r>
          </w:p>
        </w:tc>
        <w:tc>
          <w:tcPr>
            <w:tcW w:w="2180" w:type="dxa"/>
            <w:vAlign w:val="bottom"/>
          </w:tcPr>
          <w:p>
            <w:pPr>
              <w:jc w:val="right"/>
              <w:spacing w:after="0"/>
              <w:rPr>
                <w:sz w:val="20"/>
                <w:szCs w:val="20"/>
                <w:color w:val="auto"/>
              </w:rPr>
            </w:pPr>
            <w:r>
              <w:rPr>
                <w:rFonts w:ascii="Arial" w:cs="Arial" w:eastAsia="Arial" w:hAnsi="Arial"/>
                <w:sz w:val="13"/>
                <w:szCs w:val="13"/>
                <w:color w:val="0E191E"/>
              </w:rPr>
              <w:t>405,000</w:t>
            </w:r>
          </w:p>
        </w:tc>
        <w:tc>
          <w:tcPr>
            <w:tcW w:w="540" w:type="dxa"/>
            <w:vAlign w:val="bottom"/>
            <w:gridSpan w:val="2"/>
          </w:tcPr>
          <w:p>
            <w:pPr>
              <w:jc w:val="right"/>
              <w:ind w:right="224"/>
              <w:spacing w:after="0"/>
              <w:rPr>
                <w:sz w:val="20"/>
                <w:szCs w:val="20"/>
                <w:color w:val="auto"/>
              </w:rPr>
            </w:pPr>
            <w:r>
              <w:rPr>
                <w:rFonts w:ascii="Arial" w:cs="Arial" w:eastAsia="Arial" w:hAnsi="Arial"/>
                <w:sz w:val="15"/>
                <w:szCs w:val="15"/>
                <w:color w:val="0E191E"/>
              </w:rPr>
              <w:t>(6)</w:t>
            </w:r>
          </w:p>
        </w:tc>
        <w:tc>
          <w:tcPr>
            <w:tcW w:w="1300" w:type="dxa"/>
            <w:vAlign w:val="bottom"/>
          </w:tcPr>
          <w:p>
            <w:pPr>
              <w:jc w:val="right"/>
              <w:spacing w:after="0"/>
              <w:rPr>
                <w:sz w:val="20"/>
                <w:szCs w:val="20"/>
                <w:color w:val="auto"/>
              </w:rPr>
            </w:pPr>
            <w:r>
              <w:rPr>
                <w:rFonts w:ascii="Arial" w:cs="Arial" w:eastAsia="Arial" w:hAnsi="Arial"/>
                <w:sz w:val="13"/>
                <w:szCs w:val="13"/>
                <w:color w:val="0E191E"/>
              </w:rPr>
              <w:t>—</w:t>
            </w:r>
          </w:p>
        </w:tc>
        <w:tc>
          <w:tcPr>
            <w:tcW w:w="5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0E191E"/>
              </w:rPr>
              <w:t>708,750</w:t>
            </w:r>
          </w:p>
        </w:tc>
        <w:tc>
          <w:tcPr>
            <w:tcW w:w="500" w:type="dxa"/>
            <w:vAlign w:val="bottom"/>
          </w:tcPr>
          <w:p>
            <w:pPr>
              <w:jc w:val="right"/>
              <w:ind w:right="184"/>
              <w:spacing w:after="0"/>
              <w:rPr>
                <w:sz w:val="20"/>
                <w:szCs w:val="20"/>
                <w:color w:val="auto"/>
              </w:rPr>
            </w:pPr>
            <w:r>
              <w:rPr>
                <w:rFonts w:ascii="Arial" w:cs="Arial" w:eastAsia="Arial" w:hAnsi="Arial"/>
                <w:sz w:val="15"/>
                <w:szCs w:val="15"/>
                <w:color w:val="0E191E"/>
              </w:rPr>
              <w:t>(7)</w:t>
            </w:r>
          </w:p>
        </w:tc>
        <w:tc>
          <w:tcPr>
            <w:tcW w:w="0" w:type="dxa"/>
            <w:vAlign w:val="bottom"/>
          </w:tcPr>
          <w:p>
            <w:pPr>
              <w:spacing w:after="0"/>
              <w:rPr>
                <w:sz w:val="1"/>
                <w:szCs w:val="1"/>
                <w:color w:val="auto"/>
              </w:rPr>
            </w:pPr>
          </w:p>
        </w:tc>
      </w:tr>
      <w:tr>
        <w:trPr>
          <w:trHeight w:val="82"/>
        </w:trPr>
        <w:tc>
          <w:tcPr>
            <w:tcW w:w="2740" w:type="dxa"/>
            <w:vAlign w:val="bottom"/>
          </w:tcPr>
          <w:p>
            <w:pPr>
              <w:spacing w:after="0"/>
              <w:rPr>
                <w:sz w:val="7"/>
                <w:szCs w:val="7"/>
                <w:color w:val="auto"/>
              </w:rPr>
            </w:pPr>
          </w:p>
        </w:tc>
        <w:tc>
          <w:tcPr>
            <w:tcW w:w="1720" w:type="dxa"/>
            <w:vAlign w:val="bottom"/>
            <w:tcBorders>
              <w:bottom w:val="single" w:sz="8" w:color="0E191E"/>
            </w:tcBorders>
          </w:tcPr>
          <w:p>
            <w:pPr>
              <w:spacing w:after="0"/>
              <w:rPr>
                <w:sz w:val="7"/>
                <w:szCs w:val="7"/>
                <w:color w:val="auto"/>
              </w:rPr>
            </w:pPr>
          </w:p>
        </w:tc>
        <w:tc>
          <w:tcPr>
            <w:tcW w:w="2180" w:type="dxa"/>
            <w:vAlign w:val="bottom"/>
            <w:tcBorders>
              <w:bottom w:val="single" w:sz="8" w:color="0E191E"/>
            </w:tcBorders>
          </w:tcPr>
          <w:p>
            <w:pPr>
              <w:spacing w:after="0"/>
              <w:rPr>
                <w:sz w:val="7"/>
                <w:szCs w:val="7"/>
                <w:color w:val="auto"/>
              </w:rPr>
            </w:pPr>
          </w:p>
        </w:tc>
        <w:tc>
          <w:tcPr>
            <w:tcW w:w="40" w:type="dxa"/>
            <w:vAlign w:val="bottom"/>
            <w:tcBorders>
              <w:bottom w:val="single" w:sz="8" w:color="0E191E"/>
            </w:tcBorders>
          </w:tcPr>
          <w:p>
            <w:pPr>
              <w:spacing w:after="0"/>
              <w:rPr>
                <w:sz w:val="7"/>
                <w:szCs w:val="7"/>
                <w:color w:val="auto"/>
              </w:rPr>
            </w:pPr>
          </w:p>
        </w:tc>
        <w:tc>
          <w:tcPr>
            <w:tcW w:w="500" w:type="dxa"/>
            <w:vAlign w:val="bottom"/>
            <w:tcBorders>
              <w:bottom w:val="single" w:sz="8" w:color="0E191E"/>
            </w:tcBorders>
          </w:tcPr>
          <w:p>
            <w:pPr>
              <w:spacing w:after="0"/>
              <w:rPr>
                <w:sz w:val="7"/>
                <w:szCs w:val="7"/>
                <w:color w:val="auto"/>
              </w:rPr>
            </w:pPr>
          </w:p>
        </w:tc>
        <w:tc>
          <w:tcPr>
            <w:tcW w:w="1300" w:type="dxa"/>
            <w:vAlign w:val="bottom"/>
            <w:tcBorders>
              <w:bottom w:val="single" w:sz="8" w:color="0E191E"/>
            </w:tcBorders>
          </w:tcPr>
          <w:p>
            <w:pPr>
              <w:spacing w:after="0"/>
              <w:rPr>
                <w:sz w:val="7"/>
                <w:szCs w:val="7"/>
                <w:color w:val="auto"/>
              </w:rPr>
            </w:pPr>
          </w:p>
        </w:tc>
        <w:tc>
          <w:tcPr>
            <w:tcW w:w="540" w:type="dxa"/>
            <w:vAlign w:val="bottom"/>
            <w:tcBorders>
              <w:bottom w:val="single" w:sz="8" w:color="0E191E"/>
            </w:tcBorders>
          </w:tcPr>
          <w:p>
            <w:pPr>
              <w:spacing w:after="0"/>
              <w:rPr>
                <w:sz w:val="7"/>
                <w:szCs w:val="7"/>
                <w:color w:val="auto"/>
              </w:rPr>
            </w:pPr>
          </w:p>
        </w:tc>
        <w:tc>
          <w:tcPr>
            <w:tcW w:w="1720" w:type="dxa"/>
            <w:vAlign w:val="bottom"/>
            <w:tcBorders>
              <w:bottom w:val="single" w:sz="8" w:color="0E191E"/>
            </w:tcBorders>
          </w:tcPr>
          <w:p>
            <w:pPr>
              <w:spacing w:after="0"/>
              <w:rPr>
                <w:sz w:val="7"/>
                <w:szCs w:val="7"/>
                <w:color w:val="auto"/>
              </w:rPr>
            </w:pPr>
          </w:p>
        </w:tc>
        <w:tc>
          <w:tcPr>
            <w:tcW w:w="500" w:type="dxa"/>
            <w:vAlign w:val="bottom"/>
            <w:tcBorders>
              <w:bottom w:val="single" w:sz="8" w:color="0E191E"/>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74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Priscilla Hung</w:t>
            </w:r>
          </w:p>
        </w:tc>
        <w:tc>
          <w:tcPr>
            <w:tcW w:w="1720" w:type="dxa"/>
            <w:vAlign w:val="bottom"/>
          </w:tcPr>
          <w:p>
            <w:pPr>
              <w:ind w:left="20"/>
              <w:spacing w:after="0"/>
              <w:rPr>
                <w:sz w:val="20"/>
                <w:szCs w:val="20"/>
                <w:color w:val="auto"/>
              </w:rPr>
            </w:pPr>
            <w:r>
              <w:rPr>
                <w:rFonts w:ascii="Arial" w:cs="Arial" w:eastAsia="Arial" w:hAnsi="Arial"/>
                <w:sz w:val="13"/>
                <w:szCs w:val="13"/>
                <w:color w:val="0E191E"/>
              </w:rPr>
              <w:t>Equity Acceleration</w:t>
            </w:r>
          </w:p>
        </w:tc>
        <w:tc>
          <w:tcPr>
            <w:tcW w:w="2180" w:type="dxa"/>
            <w:vAlign w:val="bottom"/>
          </w:tcPr>
          <w:p>
            <w:pPr>
              <w:jc w:val="right"/>
              <w:spacing w:after="0"/>
              <w:rPr>
                <w:sz w:val="20"/>
                <w:szCs w:val="20"/>
                <w:color w:val="auto"/>
              </w:rPr>
            </w:pPr>
            <w:r>
              <w:rPr>
                <w:rFonts w:ascii="Arial" w:cs="Arial" w:eastAsia="Arial" w:hAnsi="Arial"/>
                <w:sz w:val="13"/>
                <w:szCs w:val="13"/>
                <w:color w:val="0E191E"/>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0E191E"/>
              </w:rPr>
              <w:t>6,186,470</w:t>
            </w:r>
          </w:p>
        </w:tc>
        <w:tc>
          <w:tcPr>
            <w:tcW w:w="540" w:type="dxa"/>
            <w:vAlign w:val="bottom"/>
          </w:tcPr>
          <w:p>
            <w:pPr>
              <w:jc w:val="right"/>
              <w:ind w:right="245"/>
              <w:spacing w:after="0"/>
              <w:rPr>
                <w:sz w:val="20"/>
                <w:szCs w:val="20"/>
                <w:color w:val="auto"/>
              </w:rPr>
            </w:pPr>
            <w:r>
              <w:rPr>
                <w:rFonts w:ascii="Arial" w:cs="Arial" w:eastAsia="Arial" w:hAnsi="Arial"/>
                <w:sz w:val="15"/>
                <w:szCs w:val="15"/>
                <w:color w:val="0E191E"/>
              </w:rPr>
              <w:t>(3)</w:t>
            </w:r>
          </w:p>
        </w:tc>
        <w:tc>
          <w:tcPr>
            <w:tcW w:w="1720" w:type="dxa"/>
            <w:vAlign w:val="bottom"/>
          </w:tcPr>
          <w:p>
            <w:pPr>
              <w:jc w:val="right"/>
              <w:spacing w:after="0"/>
              <w:rPr>
                <w:sz w:val="20"/>
                <w:szCs w:val="20"/>
                <w:color w:val="auto"/>
              </w:rPr>
            </w:pPr>
            <w:r>
              <w:rPr>
                <w:rFonts w:ascii="Arial" w:cs="Arial" w:eastAsia="Arial" w:hAnsi="Arial"/>
                <w:sz w:val="13"/>
                <w:szCs w:val="13"/>
                <w:color w:val="0E191E"/>
              </w:rPr>
              <w:t>6,186,470</w:t>
            </w:r>
          </w:p>
        </w:tc>
        <w:tc>
          <w:tcPr>
            <w:tcW w:w="500" w:type="dxa"/>
            <w:vAlign w:val="bottom"/>
          </w:tcPr>
          <w:p>
            <w:pPr>
              <w:jc w:val="right"/>
              <w:ind w:right="184"/>
              <w:spacing w:after="0"/>
              <w:rPr>
                <w:sz w:val="20"/>
                <w:szCs w:val="20"/>
                <w:color w:val="auto"/>
              </w:rPr>
            </w:pPr>
            <w:r>
              <w:rPr>
                <w:rFonts w:ascii="Arial" w:cs="Arial" w:eastAsia="Arial" w:hAnsi="Arial"/>
                <w:sz w:val="15"/>
                <w:szCs w:val="15"/>
                <w:color w:val="0E191E"/>
              </w:rPr>
              <w:t>(3)</w:t>
            </w:r>
          </w:p>
        </w:tc>
        <w:tc>
          <w:tcPr>
            <w:tcW w:w="0" w:type="dxa"/>
            <w:vAlign w:val="bottom"/>
          </w:tcPr>
          <w:p>
            <w:pPr>
              <w:spacing w:after="0"/>
              <w:rPr>
                <w:sz w:val="1"/>
                <w:szCs w:val="1"/>
                <w:color w:val="auto"/>
              </w:rPr>
            </w:pPr>
          </w:p>
        </w:tc>
      </w:tr>
      <w:tr>
        <w:trPr>
          <w:trHeight w:val="82"/>
        </w:trPr>
        <w:tc>
          <w:tcPr>
            <w:tcW w:w="2740" w:type="dxa"/>
            <w:vAlign w:val="bottom"/>
            <w:vMerge w:val="continue"/>
          </w:tcPr>
          <w:p>
            <w:pPr>
              <w:spacing w:after="0"/>
              <w:rPr>
                <w:sz w:val="7"/>
                <w:szCs w:val="7"/>
                <w:color w:val="auto"/>
              </w:rPr>
            </w:pPr>
          </w:p>
        </w:tc>
        <w:tc>
          <w:tcPr>
            <w:tcW w:w="1720" w:type="dxa"/>
            <w:vAlign w:val="bottom"/>
            <w:tcBorders>
              <w:bottom w:val="single" w:sz="8" w:color="0E191E"/>
            </w:tcBorders>
          </w:tcPr>
          <w:p>
            <w:pPr>
              <w:spacing w:after="0"/>
              <w:rPr>
                <w:sz w:val="7"/>
                <w:szCs w:val="7"/>
                <w:color w:val="auto"/>
              </w:rPr>
            </w:pPr>
          </w:p>
        </w:tc>
        <w:tc>
          <w:tcPr>
            <w:tcW w:w="2180" w:type="dxa"/>
            <w:vAlign w:val="bottom"/>
            <w:tcBorders>
              <w:bottom w:val="single" w:sz="8" w:color="0E191E"/>
            </w:tcBorders>
          </w:tcPr>
          <w:p>
            <w:pPr>
              <w:spacing w:after="0"/>
              <w:rPr>
                <w:sz w:val="7"/>
                <w:szCs w:val="7"/>
                <w:color w:val="auto"/>
              </w:rPr>
            </w:pPr>
          </w:p>
        </w:tc>
        <w:tc>
          <w:tcPr>
            <w:tcW w:w="40" w:type="dxa"/>
            <w:vAlign w:val="bottom"/>
            <w:tcBorders>
              <w:bottom w:val="single" w:sz="8" w:color="0E191E"/>
            </w:tcBorders>
          </w:tcPr>
          <w:p>
            <w:pPr>
              <w:spacing w:after="0"/>
              <w:rPr>
                <w:sz w:val="7"/>
                <w:szCs w:val="7"/>
                <w:color w:val="auto"/>
              </w:rPr>
            </w:pPr>
          </w:p>
        </w:tc>
        <w:tc>
          <w:tcPr>
            <w:tcW w:w="500" w:type="dxa"/>
            <w:vAlign w:val="bottom"/>
            <w:tcBorders>
              <w:bottom w:val="single" w:sz="8" w:color="0E191E"/>
            </w:tcBorders>
          </w:tcPr>
          <w:p>
            <w:pPr>
              <w:spacing w:after="0"/>
              <w:rPr>
                <w:sz w:val="7"/>
                <w:szCs w:val="7"/>
                <w:color w:val="auto"/>
              </w:rPr>
            </w:pPr>
          </w:p>
        </w:tc>
        <w:tc>
          <w:tcPr>
            <w:tcW w:w="1300" w:type="dxa"/>
            <w:vAlign w:val="bottom"/>
            <w:tcBorders>
              <w:bottom w:val="single" w:sz="8" w:color="0E191E"/>
            </w:tcBorders>
          </w:tcPr>
          <w:p>
            <w:pPr>
              <w:spacing w:after="0"/>
              <w:rPr>
                <w:sz w:val="7"/>
                <w:szCs w:val="7"/>
                <w:color w:val="auto"/>
              </w:rPr>
            </w:pPr>
          </w:p>
        </w:tc>
        <w:tc>
          <w:tcPr>
            <w:tcW w:w="540" w:type="dxa"/>
            <w:vAlign w:val="bottom"/>
            <w:tcBorders>
              <w:bottom w:val="single" w:sz="8" w:color="0E191E"/>
            </w:tcBorders>
          </w:tcPr>
          <w:p>
            <w:pPr>
              <w:spacing w:after="0"/>
              <w:rPr>
                <w:sz w:val="7"/>
                <w:szCs w:val="7"/>
                <w:color w:val="auto"/>
              </w:rPr>
            </w:pPr>
          </w:p>
        </w:tc>
        <w:tc>
          <w:tcPr>
            <w:tcW w:w="1720" w:type="dxa"/>
            <w:vAlign w:val="bottom"/>
            <w:tcBorders>
              <w:bottom w:val="single" w:sz="8" w:color="0E191E"/>
            </w:tcBorders>
          </w:tcPr>
          <w:p>
            <w:pPr>
              <w:spacing w:after="0"/>
              <w:rPr>
                <w:sz w:val="7"/>
                <w:szCs w:val="7"/>
                <w:color w:val="auto"/>
              </w:rPr>
            </w:pPr>
          </w:p>
        </w:tc>
        <w:tc>
          <w:tcPr>
            <w:tcW w:w="500" w:type="dxa"/>
            <w:vAlign w:val="bottom"/>
            <w:tcBorders>
              <w:bottom w:val="single" w:sz="8" w:color="0E191E"/>
            </w:tcBorders>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740" w:type="dxa"/>
            <w:vAlign w:val="bottom"/>
            <w:vMerge w:val="continue"/>
          </w:tcPr>
          <w:p>
            <w:pPr>
              <w:spacing w:after="0"/>
              <w:rPr>
                <w:sz w:val="5"/>
                <w:szCs w:val="5"/>
                <w:color w:val="auto"/>
              </w:rPr>
            </w:pPr>
          </w:p>
        </w:tc>
        <w:tc>
          <w:tcPr>
            <w:tcW w:w="1720" w:type="dxa"/>
            <w:vAlign w:val="bottom"/>
            <w:vMerge w:val="restart"/>
          </w:tcPr>
          <w:p>
            <w:pPr>
              <w:ind w:left="20"/>
              <w:spacing w:after="0"/>
              <w:rPr>
                <w:sz w:val="20"/>
                <w:szCs w:val="20"/>
                <w:color w:val="auto"/>
              </w:rPr>
            </w:pPr>
            <w:r>
              <w:rPr>
                <w:rFonts w:ascii="Arial" w:cs="Arial" w:eastAsia="Arial" w:hAnsi="Arial"/>
                <w:sz w:val="13"/>
                <w:szCs w:val="13"/>
                <w:color w:val="0E191E"/>
              </w:rPr>
              <w:t>Health Benefits</w:t>
            </w:r>
          </w:p>
        </w:tc>
        <w:tc>
          <w:tcPr>
            <w:tcW w:w="2180" w:type="dxa"/>
            <w:vAlign w:val="bottom"/>
            <w:vMerge w:val="restart"/>
          </w:tcPr>
          <w:p>
            <w:pPr>
              <w:jc w:val="right"/>
              <w:spacing w:after="0"/>
              <w:rPr>
                <w:sz w:val="20"/>
                <w:szCs w:val="20"/>
                <w:color w:val="auto"/>
              </w:rPr>
            </w:pPr>
            <w:r>
              <w:rPr>
                <w:rFonts w:ascii="Arial" w:cs="Arial" w:eastAsia="Arial" w:hAnsi="Arial"/>
                <w:sz w:val="13"/>
                <w:szCs w:val="13"/>
                <w:color w:val="0E191E"/>
              </w:rPr>
              <w:t>16,974</w:t>
            </w:r>
          </w:p>
        </w:tc>
        <w:tc>
          <w:tcPr>
            <w:tcW w:w="540" w:type="dxa"/>
            <w:vAlign w:val="bottom"/>
            <w:gridSpan w:val="2"/>
            <w:vMerge w:val="restart"/>
          </w:tcPr>
          <w:p>
            <w:pPr>
              <w:jc w:val="right"/>
              <w:ind w:right="224"/>
              <w:spacing w:after="0"/>
              <w:rPr>
                <w:sz w:val="20"/>
                <w:szCs w:val="20"/>
                <w:color w:val="auto"/>
              </w:rPr>
            </w:pPr>
            <w:r>
              <w:rPr>
                <w:rFonts w:ascii="Arial" w:cs="Arial" w:eastAsia="Arial" w:hAnsi="Arial"/>
                <w:sz w:val="15"/>
                <w:szCs w:val="15"/>
                <w:color w:val="0E191E"/>
              </w:rPr>
              <w:t>(4)</w:t>
            </w:r>
          </w:p>
        </w:tc>
        <w:tc>
          <w:tcPr>
            <w:tcW w:w="1300" w:type="dxa"/>
            <w:vAlign w:val="bottom"/>
            <w:vMerge w:val="restart"/>
          </w:tcPr>
          <w:p>
            <w:pPr>
              <w:jc w:val="right"/>
              <w:spacing w:after="0"/>
              <w:rPr>
                <w:sz w:val="20"/>
                <w:szCs w:val="20"/>
                <w:color w:val="auto"/>
              </w:rPr>
            </w:pPr>
            <w:r>
              <w:rPr>
                <w:rFonts w:ascii="Arial" w:cs="Arial" w:eastAsia="Arial" w:hAnsi="Arial"/>
                <w:sz w:val="13"/>
                <w:szCs w:val="13"/>
                <w:color w:val="0E191E"/>
              </w:rPr>
              <w:t>—</w:t>
            </w:r>
          </w:p>
        </w:tc>
        <w:tc>
          <w:tcPr>
            <w:tcW w:w="540" w:type="dxa"/>
            <w:vAlign w:val="bottom"/>
          </w:tcPr>
          <w:p>
            <w:pPr>
              <w:spacing w:after="0"/>
              <w:rPr>
                <w:sz w:val="5"/>
                <w:szCs w:val="5"/>
                <w:color w:val="auto"/>
              </w:rPr>
            </w:pPr>
          </w:p>
        </w:tc>
        <w:tc>
          <w:tcPr>
            <w:tcW w:w="1720" w:type="dxa"/>
            <w:vAlign w:val="bottom"/>
            <w:vMerge w:val="restart"/>
          </w:tcPr>
          <w:p>
            <w:pPr>
              <w:jc w:val="right"/>
              <w:spacing w:after="0"/>
              <w:rPr>
                <w:sz w:val="20"/>
                <w:szCs w:val="20"/>
                <w:color w:val="auto"/>
              </w:rPr>
            </w:pPr>
            <w:r>
              <w:rPr>
                <w:rFonts w:ascii="Arial" w:cs="Arial" w:eastAsia="Arial" w:hAnsi="Arial"/>
                <w:sz w:val="13"/>
                <w:szCs w:val="13"/>
                <w:color w:val="0E191E"/>
              </w:rPr>
              <w:t>16,974</w:t>
            </w:r>
          </w:p>
        </w:tc>
        <w:tc>
          <w:tcPr>
            <w:tcW w:w="500" w:type="dxa"/>
            <w:vAlign w:val="bottom"/>
            <w:vMerge w:val="restart"/>
          </w:tcPr>
          <w:p>
            <w:pPr>
              <w:jc w:val="right"/>
              <w:ind w:right="184"/>
              <w:spacing w:after="0"/>
              <w:rPr>
                <w:sz w:val="20"/>
                <w:szCs w:val="20"/>
                <w:color w:val="auto"/>
              </w:rPr>
            </w:pPr>
            <w:r>
              <w:rPr>
                <w:rFonts w:ascii="Arial" w:cs="Arial" w:eastAsia="Arial" w:hAnsi="Arial"/>
                <w:sz w:val="15"/>
                <w:szCs w:val="15"/>
                <w:color w:val="0E191E"/>
              </w:rPr>
              <w:t>(4)</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1720" w:type="dxa"/>
            <w:vAlign w:val="bottom"/>
          </w:tcPr>
          <w:p>
            <w:pPr>
              <w:ind w:left="20"/>
              <w:spacing w:after="0"/>
              <w:rPr>
                <w:sz w:val="20"/>
                <w:szCs w:val="20"/>
                <w:color w:val="auto"/>
              </w:rPr>
            </w:pPr>
            <w:r>
              <w:rPr>
                <w:rFonts w:ascii="Arial" w:cs="Arial" w:eastAsia="Arial" w:hAnsi="Arial"/>
                <w:sz w:val="13"/>
                <w:szCs w:val="13"/>
                <w:b w:val="1"/>
                <w:bCs w:val="1"/>
                <w:color w:val="0E191E"/>
              </w:rPr>
              <w:t>Total</w:t>
            </w:r>
          </w:p>
        </w:tc>
        <w:tc>
          <w:tcPr>
            <w:tcW w:w="2180" w:type="dxa"/>
            <w:vAlign w:val="bottom"/>
          </w:tcPr>
          <w:p>
            <w:pPr>
              <w:jc w:val="right"/>
              <w:spacing w:after="0"/>
              <w:rPr>
                <w:sz w:val="20"/>
                <w:szCs w:val="20"/>
                <w:color w:val="auto"/>
              </w:rPr>
            </w:pPr>
            <w:r>
              <w:rPr>
                <w:rFonts w:ascii="Arial" w:cs="Arial" w:eastAsia="Arial" w:hAnsi="Arial"/>
                <w:sz w:val="13"/>
                <w:szCs w:val="13"/>
                <w:b w:val="1"/>
                <w:bCs w:val="1"/>
                <w:color w:val="0E191E"/>
              </w:rPr>
              <w:t>421,974</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0E191E"/>
              </w:rPr>
              <w:t>6,186,470</w:t>
            </w: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3"/>
                <w:szCs w:val="13"/>
                <w:b w:val="1"/>
                <w:bCs w:val="1"/>
                <w:color w:val="0E191E"/>
              </w:rPr>
              <w:t>6,912,194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7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540" w:type="dxa"/>
            <w:vAlign w:val="bottom"/>
            <w:gridSpan w:val="2"/>
          </w:tcPr>
          <w:p>
            <w:pPr>
              <w:spacing w:after="0"/>
              <w:rPr>
                <w:sz w:val="7"/>
                <w:szCs w:val="7"/>
                <w:color w:val="auto"/>
              </w:rPr>
            </w:pPr>
          </w:p>
        </w:tc>
        <w:tc>
          <w:tcPr>
            <w:tcW w:w="1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E5F1F5"/>
          </w:tcPr>
          <w:p>
            <w:pPr>
              <w:spacing w:after="0"/>
              <w:rPr>
                <w:sz w:val="21"/>
                <w:szCs w:val="21"/>
                <w:color w:val="auto"/>
              </w:rPr>
            </w:pPr>
          </w:p>
        </w:tc>
        <w:tc>
          <w:tcPr>
            <w:tcW w:w="1720" w:type="dxa"/>
            <w:vAlign w:val="bottom"/>
            <w:shd w:val="clear" w:color="auto" w:fill="E5F1F5"/>
          </w:tcPr>
          <w:p>
            <w:pPr>
              <w:ind w:left="20"/>
              <w:spacing w:after="0"/>
              <w:rPr>
                <w:sz w:val="20"/>
                <w:szCs w:val="20"/>
                <w:color w:val="auto"/>
              </w:rPr>
            </w:pPr>
            <w:r>
              <w:rPr>
                <w:rFonts w:ascii="Arial" w:cs="Arial" w:eastAsia="Arial" w:hAnsi="Arial"/>
                <w:sz w:val="13"/>
                <w:szCs w:val="13"/>
                <w:color w:val="0E191E"/>
              </w:rPr>
              <w:t>Cash Severance</w:t>
            </w:r>
          </w:p>
        </w:tc>
        <w:tc>
          <w:tcPr>
            <w:tcW w:w="218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425,000</w:t>
            </w:r>
          </w:p>
        </w:tc>
        <w:tc>
          <w:tcPr>
            <w:tcW w:w="540" w:type="dxa"/>
            <w:vAlign w:val="bottom"/>
            <w:gridSpan w:val="2"/>
            <w:shd w:val="clear" w:color="auto" w:fill="E5F1F5"/>
          </w:tcPr>
          <w:p>
            <w:pPr>
              <w:jc w:val="right"/>
              <w:ind w:right="224"/>
              <w:spacing w:after="0"/>
              <w:rPr>
                <w:sz w:val="20"/>
                <w:szCs w:val="20"/>
                <w:color w:val="auto"/>
              </w:rPr>
            </w:pPr>
            <w:r>
              <w:rPr>
                <w:rFonts w:ascii="Arial" w:cs="Arial" w:eastAsia="Arial" w:hAnsi="Arial"/>
                <w:sz w:val="15"/>
                <w:szCs w:val="15"/>
                <w:color w:val="0E191E"/>
              </w:rPr>
              <w:t>(6)</w:t>
            </w:r>
          </w:p>
        </w:tc>
        <w:tc>
          <w:tcPr>
            <w:tcW w:w="130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w:t>
            </w:r>
          </w:p>
        </w:tc>
        <w:tc>
          <w:tcPr>
            <w:tcW w:w="540" w:type="dxa"/>
            <w:vAlign w:val="bottom"/>
            <w:shd w:val="clear" w:color="auto" w:fill="E5F1F5"/>
          </w:tcPr>
          <w:p>
            <w:pPr>
              <w:spacing w:after="0"/>
              <w:rPr>
                <w:sz w:val="21"/>
                <w:szCs w:val="21"/>
                <w:color w:val="auto"/>
              </w:rPr>
            </w:pPr>
          </w:p>
        </w:tc>
        <w:tc>
          <w:tcPr>
            <w:tcW w:w="172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944,000</w:t>
            </w:r>
          </w:p>
        </w:tc>
        <w:tc>
          <w:tcPr>
            <w:tcW w:w="500" w:type="dxa"/>
            <w:vAlign w:val="bottom"/>
            <w:shd w:val="clear" w:color="auto" w:fill="E5F1F5"/>
          </w:tcPr>
          <w:p>
            <w:pPr>
              <w:jc w:val="right"/>
              <w:ind w:right="184"/>
              <w:spacing w:after="0"/>
              <w:rPr>
                <w:sz w:val="20"/>
                <w:szCs w:val="20"/>
                <w:color w:val="auto"/>
              </w:rPr>
            </w:pPr>
            <w:r>
              <w:rPr>
                <w:rFonts w:ascii="Arial" w:cs="Arial" w:eastAsia="Arial" w:hAnsi="Arial"/>
                <w:sz w:val="15"/>
                <w:szCs w:val="15"/>
                <w:color w:val="0E191E"/>
              </w:rPr>
              <w:t>(7)</w:t>
            </w:r>
          </w:p>
        </w:tc>
        <w:tc>
          <w:tcPr>
            <w:tcW w:w="0" w:type="dxa"/>
            <w:vAlign w:val="bottom"/>
          </w:tcPr>
          <w:p>
            <w:pPr>
              <w:spacing w:after="0"/>
              <w:rPr>
                <w:sz w:val="1"/>
                <w:szCs w:val="1"/>
                <w:color w:val="auto"/>
              </w:rPr>
            </w:pPr>
          </w:p>
        </w:tc>
      </w:tr>
      <w:tr>
        <w:trPr>
          <w:trHeight w:val="82"/>
        </w:trPr>
        <w:tc>
          <w:tcPr>
            <w:tcW w:w="2740" w:type="dxa"/>
            <w:vAlign w:val="bottom"/>
            <w:tcBorders>
              <w:bottom w:val="single" w:sz="8" w:color="E5F1F5"/>
            </w:tcBorders>
            <w:shd w:val="clear" w:color="auto" w:fill="E5F1F5"/>
          </w:tcPr>
          <w:p>
            <w:pPr>
              <w:spacing w:after="0"/>
              <w:rPr>
                <w:sz w:val="7"/>
                <w:szCs w:val="7"/>
                <w:color w:val="auto"/>
              </w:rPr>
            </w:pPr>
          </w:p>
        </w:tc>
        <w:tc>
          <w:tcPr>
            <w:tcW w:w="1720" w:type="dxa"/>
            <w:vAlign w:val="bottom"/>
            <w:tcBorders>
              <w:bottom w:val="single" w:sz="8" w:color="0E191E"/>
            </w:tcBorders>
            <w:shd w:val="clear" w:color="auto" w:fill="E5F1F5"/>
          </w:tcPr>
          <w:p>
            <w:pPr>
              <w:spacing w:after="0"/>
              <w:rPr>
                <w:sz w:val="7"/>
                <w:szCs w:val="7"/>
                <w:color w:val="auto"/>
              </w:rPr>
            </w:pPr>
          </w:p>
        </w:tc>
        <w:tc>
          <w:tcPr>
            <w:tcW w:w="2180" w:type="dxa"/>
            <w:vAlign w:val="bottom"/>
            <w:tcBorders>
              <w:bottom w:val="single" w:sz="8" w:color="0E191E"/>
            </w:tcBorders>
            <w:shd w:val="clear" w:color="auto" w:fill="E5F1F5"/>
          </w:tcPr>
          <w:p>
            <w:pPr>
              <w:spacing w:after="0"/>
              <w:rPr>
                <w:sz w:val="7"/>
                <w:szCs w:val="7"/>
                <w:color w:val="auto"/>
              </w:rPr>
            </w:pPr>
          </w:p>
        </w:tc>
        <w:tc>
          <w:tcPr>
            <w:tcW w:w="40" w:type="dxa"/>
            <w:vAlign w:val="bottom"/>
            <w:tcBorders>
              <w:bottom w:val="single" w:sz="8" w:color="0E191E"/>
            </w:tcBorders>
            <w:shd w:val="clear" w:color="auto" w:fill="E5F1F5"/>
          </w:tcPr>
          <w:p>
            <w:pPr>
              <w:spacing w:after="0"/>
              <w:rPr>
                <w:sz w:val="7"/>
                <w:szCs w:val="7"/>
                <w:color w:val="auto"/>
              </w:rPr>
            </w:pPr>
          </w:p>
        </w:tc>
        <w:tc>
          <w:tcPr>
            <w:tcW w:w="500" w:type="dxa"/>
            <w:vAlign w:val="bottom"/>
            <w:tcBorders>
              <w:bottom w:val="single" w:sz="8" w:color="0E191E"/>
            </w:tcBorders>
            <w:shd w:val="clear" w:color="auto" w:fill="E5F1F5"/>
          </w:tcPr>
          <w:p>
            <w:pPr>
              <w:spacing w:after="0"/>
              <w:rPr>
                <w:sz w:val="7"/>
                <w:szCs w:val="7"/>
                <w:color w:val="auto"/>
              </w:rPr>
            </w:pPr>
          </w:p>
        </w:tc>
        <w:tc>
          <w:tcPr>
            <w:tcW w:w="1300" w:type="dxa"/>
            <w:vAlign w:val="bottom"/>
            <w:tcBorders>
              <w:bottom w:val="single" w:sz="8" w:color="0E191E"/>
            </w:tcBorders>
            <w:shd w:val="clear" w:color="auto" w:fill="E5F1F5"/>
          </w:tcPr>
          <w:p>
            <w:pPr>
              <w:spacing w:after="0"/>
              <w:rPr>
                <w:sz w:val="7"/>
                <w:szCs w:val="7"/>
                <w:color w:val="auto"/>
              </w:rPr>
            </w:pPr>
          </w:p>
        </w:tc>
        <w:tc>
          <w:tcPr>
            <w:tcW w:w="540" w:type="dxa"/>
            <w:vAlign w:val="bottom"/>
            <w:tcBorders>
              <w:bottom w:val="single" w:sz="8" w:color="0E191E"/>
            </w:tcBorders>
            <w:shd w:val="clear" w:color="auto" w:fill="E5F1F5"/>
          </w:tcPr>
          <w:p>
            <w:pPr>
              <w:spacing w:after="0"/>
              <w:rPr>
                <w:sz w:val="7"/>
                <w:szCs w:val="7"/>
                <w:color w:val="auto"/>
              </w:rPr>
            </w:pPr>
          </w:p>
        </w:tc>
        <w:tc>
          <w:tcPr>
            <w:tcW w:w="1720" w:type="dxa"/>
            <w:vAlign w:val="bottom"/>
            <w:tcBorders>
              <w:bottom w:val="single" w:sz="8" w:color="0E191E"/>
            </w:tcBorders>
            <w:shd w:val="clear" w:color="auto" w:fill="E5F1F5"/>
          </w:tcPr>
          <w:p>
            <w:pPr>
              <w:spacing w:after="0"/>
              <w:rPr>
                <w:sz w:val="7"/>
                <w:szCs w:val="7"/>
                <w:color w:val="auto"/>
              </w:rPr>
            </w:pPr>
          </w:p>
        </w:tc>
        <w:tc>
          <w:tcPr>
            <w:tcW w:w="500" w:type="dxa"/>
            <w:vAlign w:val="bottom"/>
            <w:tcBorders>
              <w:bottom w:val="single" w:sz="8" w:color="0E191E"/>
            </w:tcBorders>
            <w:shd w:val="clear" w:color="auto" w:fill="E5F1F5"/>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740" w:type="dxa"/>
            <w:vAlign w:val="bottom"/>
            <w:vMerge w:val="restart"/>
            <w:shd w:val="clear" w:color="auto" w:fill="E5F1F5"/>
          </w:tcPr>
          <w:p>
            <w:pPr>
              <w:ind w:left="100"/>
              <w:spacing w:after="0"/>
              <w:rPr>
                <w:sz w:val="20"/>
                <w:szCs w:val="20"/>
                <w:color w:val="auto"/>
              </w:rPr>
            </w:pPr>
            <w:r>
              <w:rPr>
                <w:rFonts w:ascii="Arial" w:cs="Arial" w:eastAsia="Arial" w:hAnsi="Arial"/>
                <w:sz w:val="13"/>
                <w:szCs w:val="13"/>
                <w:b w:val="1"/>
                <w:bCs w:val="1"/>
                <w:color w:val="0E191E"/>
              </w:rPr>
              <w:t>Frank O'Dowd</w:t>
            </w:r>
          </w:p>
        </w:tc>
        <w:tc>
          <w:tcPr>
            <w:tcW w:w="1720" w:type="dxa"/>
            <w:vAlign w:val="bottom"/>
            <w:shd w:val="clear" w:color="auto" w:fill="E5F1F5"/>
          </w:tcPr>
          <w:p>
            <w:pPr>
              <w:ind w:left="20"/>
              <w:spacing w:after="0"/>
              <w:rPr>
                <w:sz w:val="20"/>
                <w:szCs w:val="20"/>
                <w:color w:val="auto"/>
              </w:rPr>
            </w:pPr>
            <w:r>
              <w:rPr>
                <w:rFonts w:ascii="Arial" w:cs="Arial" w:eastAsia="Arial" w:hAnsi="Arial"/>
                <w:sz w:val="13"/>
                <w:szCs w:val="13"/>
                <w:color w:val="0E191E"/>
              </w:rPr>
              <w:t>Equity Acceleration</w:t>
            </w:r>
          </w:p>
        </w:tc>
        <w:tc>
          <w:tcPr>
            <w:tcW w:w="218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w:t>
            </w:r>
          </w:p>
        </w:tc>
        <w:tc>
          <w:tcPr>
            <w:tcW w:w="40" w:type="dxa"/>
            <w:vAlign w:val="bottom"/>
            <w:shd w:val="clear" w:color="auto" w:fill="E5F1F5"/>
          </w:tcPr>
          <w:p>
            <w:pPr>
              <w:spacing w:after="0"/>
              <w:rPr>
                <w:sz w:val="19"/>
                <w:szCs w:val="19"/>
                <w:color w:val="auto"/>
              </w:rPr>
            </w:pPr>
          </w:p>
        </w:tc>
        <w:tc>
          <w:tcPr>
            <w:tcW w:w="500" w:type="dxa"/>
            <w:vAlign w:val="bottom"/>
            <w:shd w:val="clear" w:color="auto" w:fill="E5F1F5"/>
          </w:tcPr>
          <w:p>
            <w:pPr>
              <w:spacing w:after="0"/>
              <w:rPr>
                <w:sz w:val="19"/>
                <w:szCs w:val="19"/>
                <w:color w:val="auto"/>
              </w:rPr>
            </w:pPr>
          </w:p>
        </w:tc>
        <w:tc>
          <w:tcPr>
            <w:tcW w:w="130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7,008,653</w:t>
            </w:r>
          </w:p>
        </w:tc>
        <w:tc>
          <w:tcPr>
            <w:tcW w:w="540" w:type="dxa"/>
            <w:vAlign w:val="bottom"/>
            <w:shd w:val="clear" w:color="auto" w:fill="E5F1F5"/>
          </w:tcPr>
          <w:p>
            <w:pPr>
              <w:jc w:val="right"/>
              <w:ind w:right="245"/>
              <w:spacing w:after="0"/>
              <w:rPr>
                <w:sz w:val="20"/>
                <w:szCs w:val="20"/>
                <w:color w:val="auto"/>
              </w:rPr>
            </w:pPr>
            <w:r>
              <w:rPr>
                <w:rFonts w:ascii="Arial" w:cs="Arial" w:eastAsia="Arial" w:hAnsi="Arial"/>
                <w:sz w:val="15"/>
                <w:szCs w:val="15"/>
                <w:color w:val="0E191E"/>
              </w:rPr>
              <w:t>(3)</w:t>
            </w:r>
          </w:p>
        </w:tc>
        <w:tc>
          <w:tcPr>
            <w:tcW w:w="172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7,008,653</w:t>
            </w:r>
          </w:p>
        </w:tc>
        <w:tc>
          <w:tcPr>
            <w:tcW w:w="500" w:type="dxa"/>
            <w:vAlign w:val="bottom"/>
            <w:shd w:val="clear" w:color="auto" w:fill="E5F1F5"/>
          </w:tcPr>
          <w:p>
            <w:pPr>
              <w:jc w:val="right"/>
              <w:ind w:right="184"/>
              <w:spacing w:after="0"/>
              <w:rPr>
                <w:sz w:val="20"/>
                <w:szCs w:val="20"/>
                <w:color w:val="auto"/>
              </w:rPr>
            </w:pPr>
            <w:r>
              <w:rPr>
                <w:rFonts w:ascii="Arial" w:cs="Arial" w:eastAsia="Arial" w:hAnsi="Arial"/>
                <w:sz w:val="15"/>
                <w:szCs w:val="15"/>
                <w:color w:val="0E191E"/>
              </w:rPr>
              <w:t>(3)</w:t>
            </w:r>
          </w:p>
        </w:tc>
        <w:tc>
          <w:tcPr>
            <w:tcW w:w="0" w:type="dxa"/>
            <w:vAlign w:val="bottom"/>
          </w:tcPr>
          <w:p>
            <w:pPr>
              <w:spacing w:after="0"/>
              <w:rPr>
                <w:sz w:val="1"/>
                <w:szCs w:val="1"/>
                <w:color w:val="auto"/>
              </w:rPr>
            </w:pPr>
          </w:p>
        </w:tc>
      </w:tr>
      <w:tr>
        <w:trPr>
          <w:trHeight w:val="82"/>
        </w:trPr>
        <w:tc>
          <w:tcPr>
            <w:tcW w:w="2740" w:type="dxa"/>
            <w:vAlign w:val="bottom"/>
            <w:tcBorders>
              <w:bottom w:val="single" w:sz="8" w:color="E5F1F5"/>
            </w:tcBorders>
            <w:vMerge w:val="continue"/>
            <w:shd w:val="clear" w:color="auto" w:fill="E5F1F5"/>
          </w:tcPr>
          <w:p>
            <w:pPr>
              <w:spacing w:after="0"/>
              <w:rPr>
                <w:sz w:val="7"/>
                <w:szCs w:val="7"/>
                <w:color w:val="auto"/>
              </w:rPr>
            </w:pPr>
          </w:p>
        </w:tc>
        <w:tc>
          <w:tcPr>
            <w:tcW w:w="1720" w:type="dxa"/>
            <w:vAlign w:val="bottom"/>
            <w:tcBorders>
              <w:bottom w:val="single" w:sz="8" w:color="0E191E"/>
            </w:tcBorders>
            <w:shd w:val="clear" w:color="auto" w:fill="E5F1F5"/>
          </w:tcPr>
          <w:p>
            <w:pPr>
              <w:spacing w:after="0"/>
              <w:rPr>
                <w:sz w:val="7"/>
                <w:szCs w:val="7"/>
                <w:color w:val="auto"/>
              </w:rPr>
            </w:pPr>
          </w:p>
        </w:tc>
        <w:tc>
          <w:tcPr>
            <w:tcW w:w="2180" w:type="dxa"/>
            <w:vAlign w:val="bottom"/>
            <w:tcBorders>
              <w:bottom w:val="single" w:sz="8" w:color="0E191E"/>
            </w:tcBorders>
            <w:shd w:val="clear" w:color="auto" w:fill="E5F1F5"/>
          </w:tcPr>
          <w:p>
            <w:pPr>
              <w:spacing w:after="0"/>
              <w:rPr>
                <w:sz w:val="7"/>
                <w:szCs w:val="7"/>
                <w:color w:val="auto"/>
              </w:rPr>
            </w:pPr>
          </w:p>
        </w:tc>
        <w:tc>
          <w:tcPr>
            <w:tcW w:w="40" w:type="dxa"/>
            <w:vAlign w:val="bottom"/>
            <w:tcBorders>
              <w:bottom w:val="single" w:sz="8" w:color="0E191E"/>
            </w:tcBorders>
            <w:shd w:val="clear" w:color="auto" w:fill="E5F1F5"/>
          </w:tcPr>
          <w:p>
            <w:pPr>
              <w:spacing w:after="0"/>
              <w:rPr>
                <w:sz w:val="7"/>
                <w:szCs w:val="7"/>
                <w:color w:val="auto"/>
              </w:rPr>
            </w:pPr>
          </w:p>
        </w:tc>
        <w:tc>
          <w:tcPr>
            <w:tcW w:w="500" w:type="dxa"/>
            <w:vAlign w:val="bottom"/>
            <w:tcBorders>
              <w:bottom w:val="single" w:sz="8" w:color="0E191E"/>
            </w:tcBorders>
            <w:shd w:val="clear" w:color="auto" w:fill="E5F1F5"/>
          </w:tcPr>
          <w:p>
            <w:pPr>
              <w:spacing w:after="0"/>
              <w:rPr>
                <w:sz w:val="7"/>
                <w:szCs w:val="7"/>
                <w:color w:val="auto"/>
              </w:rPr>
            </w:pPr>
          </w:p>
        </w:tc>
        <w:tc>
          <w:tcPr>
            <w:tcW w:w="1300" w:type="dxa"/>
            <w:vAlign w:val="bottom"/>
            <w:tcBorders>
              <w:bottom w:val="single" w:sz="8" w:color="0E191E"/>
            </w:tcBorders>
            <w:shd w:val="clear" w:color="auto" w:fill="E5F1F5"/>
          </w:tcPr>
          <w:p>
            <w:pPr>
              <w:spacing w:after="0"/>
              <w:rPr>
                <w:sz w:val="7"/>
                <w:szCs w:val="7"/>
                <w:color w:val="auto"/>
              </w:rPr>
            </w:pPr>
          </w:p>
        </w:tc>
        <w:tc>
          <w:tcPr>
            <w:tcW w:w="540" w:type="dxa"/>
            <w:vAlign w:val="bottom"/>
            <w:tcBorders>
              <w:bottom w:val="single" w:sz="8" w:color="0E191E"/>
            </w:tcBorders>
            <w:shd w:val="clear" w:color="auto" w:fill="E5F1F5"/>
          </w:tcPr>
          <w:p>
            <w:pPr>
              <w:spacing w:after="0"/>
              <w:rPr>
                <w:sz w:val="7"/>
                <w:szCs w:val="7"/>
                <w:color w:val="auto"/>
              </w:rPr>
            </w:pPr>
          </w:p>
        </w:tc>
        <w:tc>
          <w:tcPr>
            <w:tcW w:w="1720" w:type="dxa"/>
            <w:vAlign w:val="bottom"/>
            <w:tcBorders>
              <w:bottom w:val="single" w:sz="8" w:color="0E191E"/>
            </w:tcBorders>
            <w:shd w:val="clear" w:color="auto" w:fill="E5F1F5"/>
          </w:tcPr>
          <w:p>
            <w:pPr>
              <w:spacing w:after="0"/>
              <w:rPr>
                <w:sz w:val="7"/>
                <w:szCs w:val="7"/>
                <w:color w:val="auto"/>
              </w:rPr>
            </w:pPr>
          </w:p>
        </w:tc>
        <w:tc>
          <w:tcPr>
            <w:tcW w:w="500" w:type="dxa"/>
            <w:vAlign w:val="bottom"/>
            <w:tcBorders>
              <w:bottom w:val="single" w:sz="8" w:color="0E191E"/>
            </w:tcBorders>
            <w:shd w:val="clear" w:color="auto" w:fill="E5F1F5"/>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740" w:type="dxa"/>
            <w:vAlign w:val="bottom"/>
            <w:vMerge w:val="continue"/>
            <w:shd w:val="clear" w:color="auto" w:fill="E5F1F5"/>
          </w:tcPr>
          <w:p>
            <w:pPr>
              <w:spacing w:after="0"/>
              <w:rPr>
                <w:sz w:val="5"/>
                <w:szCs w:val="5"/>
                <w:color w:val="auto"/>
              </w:rPr>
            </w:pPr>
          </w:p>
        </w:tc>
        <w:tc>
          <w:tcPr>
            <w:tcW w:w="1720" w:type="dxa"/>
            <w:vAlign w:val="bottom"/>
            <w:vMerge w:val="restart"/>
            <w:shd w:val="clear" w:color="auto" w:fill="E5F1F5"/>
          </w:tcPr>
          <w:p>
            <w:pPr>
              <w:ind w:left="20"/>
              <w:spacing w:after="0"/>
              <w:rPr>
                <w:sz w:val="20"/>
                <w:szCs w:val="20"/>
                <w:color w:val="auto"/>
              </w:rPr>
            </w:pPr>
            <w:r>
              <w:rPr>
                <w:rFonts w:ascii="Arial" w:cs="Arial" w:eastAsia="Arial" w:hAnsi="Arial"/>
                <w:sz w:val="13"/>
                <w:szCs w:val="13"/>
                <w:color w:val="0E191E"/>
              </w:rPr>
              <w:t>Health Benefits</w:t>
            </w:r>
          </w:p>
        </w:tc>
        <w:tc>
          <w:tcPr>
            <w:tcW w:w="2180" w:type="dxa"/>
            <w:vAlign w:val="bottom"/>
            <w:vMerge w:val="restart"/>
            <w:shd w:val="clear" w:color="auto" w:fill="E5F1F5"/>
          </w:tcPr>
          <w:p>
            <w:pPr>
              <w:jc w:val="right"/>
              <w:spacing w:after="0"/>
              <w:rPr>
                <w:sz w:val="20"/>
                <w:szCs w:val="20"/>
                <w:color w:val="auto"/>
              </w:rPr>
            </w:pPr>
            <w:r>
              <w:rPr>
                <w:rFonts w:ascii="Arial" w:cs="Arial" w:eastAsia="Arial" w:hAnsi="Arial"/>
                <w:sz w:val="13"/>
                <w:szCs w:val="13"/>
                <w:color w:val="0E191E"/>
              </w:rPr>
              <w:t>14,050</w:t>
            </w:r>
          </w:p>
        </w:tc>
        <w:tc>
          <w:tcPr>
            <w:tcW w:w="40" w:type="dxa"/>
            <w:vAlign w:val="bottom"/>
            <w:shd w:val="clear" w:color="auto" w:fill="E5F1F5"/>
          </w:tcPr>
          <w:p>
            <w:pPr>
              <w:spacing w:after="0"/>
              <w:rPr>
                <w:sz w:val="5"/>
                <w:szCs w:val="5"/>
                <w:color w:val="auto"/>
              </w:rPr>
            </w:pPr>
          </w:p>
        </w:tc>
        <w:tc>
          <w:tcPr>
            <w:tcW w:w="500" w:type="dxa"/>
            <w:vAlign w:val="bottom"/>
            <w:vMerge w:val="restart"/>
            <w:shd w:val="clear" w:color="auto" w:fill="E5F1F5"/>
          </w:tcPr>
          <w:p>
            <w:pPr>
              <w:jc w:val="right"/>
              <w:ind w:right="224"/>
              <w:spacing w:after="0"/>
              <w:rPr>
                <w:sz w:val="20"/>
                <w:szCs w:val="20"/>
                <w:color w:val="auto"/>
              </w:rPr>
            </w:pPr>
            <w:r>
              <w:rPr>
                <w:rFonts w:ascii="Arial" w:cs="Arial" w:eastAsia="Arial" w:hAnsi="Arial"/>
                <w:sz w:val="15"/>
                <w:szCs w:val="15"/>
                <w:color w:val="0E191E"/>
                <w:w w:val="97"/>
              </w:rPr>
              <w:t>(4)</w:t>
            </w:r>
          </w:p>
        </w:tc>
        <w:tc>
          <w:tcPr>
            <w:tcW w:w="1300" w:type="dxa"/>
            <w:vAlign w:val="bottom"/>
            <w:vMerge w:val="restart"/>
            <w:shd w:val="clear" w:color="auto" w:fill="E5F1F5"/>
          </w:tcPr>
          <w:p>
            <w:pPr>
              <w:jc w:val="right"/>
              <w:spacing w:after="0"/>
              <w:rPr>
                <w:sz w:val="20"/>
                <w:szCs w:val="20"/>
                <w:color w:val="auto"/>
              </w:rPr>
            </w:pPr>
            <w:r>
              <w:rPr>
                <w:rFonts w:ascii="Arial" w:cs="Arial" w:eastAsia="Arial" w:hAnsi="Arial"/>
                <w:sz w:val="13"/>
                <w:szCs w:val="13"/>
                <w:color w:val="0E191E"/>
              </w:rPr>
              <w:t>—</w:t>
            </w:r>
          </w:p>
        </w:tc>
        <w:tc>
          <w:tcPr>
            <w:tcW w:w="540" w:type="dxa"/>
            <w:vAlign w:val="bottom"/>
            <w:shd w:val="clear" w:color="auto" w:fill="E5F1F5"/>
          </w:tcPr>
          <w:p>
            <w:pPr>
              <w:spacing w:after="0"/>
              <w:rPr>
                <w:sz w:val="5"/>
                <w:szCs w:val="5"/>
                <w:color w:val="auto"/>
              </w:rPr>
            </w:pPr>
          </w:p>
        </w:tc>
        <w:tc>
          <w:tcPr>
            <w:tcW w:w="1720" w:type="dxa"/>
            <w:vAlign w:val="bottom"/>
            <w:vMerge w:val="restart"/>
            <w:shd w:val="clear" w:color="auto" w:fill="E5F1F5"/>
          </w:tcPr>
          <w:p>
            <w:pPr>
              <w:jc w:val="right"/>
              <w:spacing w:after="0"/>
              <w:rPr>
                <w:sz w:val="20"/>
                <w:szCs w:val="20"/>
                <w:color w:val="auto"/>
              </w:rPr>
            </w:pPr>
            <w:r>
              <w:rPr>
                <w:rFonts w:ascii="Arial" w:cs="Arial" w:eastAsia="Arial" w:hAnsi="Arial"/>
                <w:sz w:val="13"/>
                <w:szCs w:val="13"/>
                <w:color w:val="0E191E"/>
              </w:rPr>
              <w:t>21,074</w:t>
            </w:r>
          </w:p>
        </w:tc>
        <w:tc>
          <w:tcPr>
            <w:tcW w:w="500" w:type="dxa"/>
            <w:vAlign w:val="bottom"/>
            <w:vMerge w:val="restart"/>
            <w:shd w:val="clear" w:color="auto" w:fill="E5F1F5"/>
          </w:tcPr>
          <w:p>
            <w:pPr>
              <w:jc w:val="right"/>
              <w:ind w:right="184"/>
              <w:spacing w:after="0"/>
              <w:rPr>
                <w:sz w:val="20"/>
                <w:szCs w:val="20"/>
                <w:color w:val="auto"/>
              </w:rPr>
            </w:pPr>
            <w:r>
              <w:rPr>
                <w:rFonts w:ascii="Arial" w:cs="Arial" w:eastAsia="Arial" w:hAnsi="Arial"/>
                <w:sz w:val="15"/>
                <w:szCs w:val="15"/>
                <w:color w:val="0E191E"/>
              </w:rPr>
              <w:t>(4)</w:t>
            </w:r>
          </w:p>
        </w:tc>
        <w:tc>
          <w:tcPr>
            <w:tcW w:w="0" w:type="dxa"/>
            <w:vAlign w:val="bottom"/>
          </w:tcPr>
          <w:p>
            <w:pPr>
              <w:spacing w:after="0"/>
              <w:rPr>
                <w:sz w:val="1"/>
                <w:szCs w:val="1"/>
                <w:color w:val="auto"/>
              </w:rPr>
            </w:pPr>
          </w:p>
        </w:tc>
      </w:tr>
      <w:tr>
        <w:trPr>
          <w:trHeight w:val="162"/>
        </w:trPr>
        <w:tc>
          <w:tcPr>
            <w:tcW w:w="2740" w:type="dxa"/>
            <w:vAlign w:val="bottom"/>
            <w:shd w:val="clear" w:color="auto" w:fill="E5F1F5"/>
          </w:tcPr>
          <w:p>
            <w:pPr>
              <w:spacing w:after="0"/>
              <w:rPr>
                <w:sz w:val="14"/>
                <w:szCs w:val="14"/>
                <w:color w:val="auto"/>
              </w:rPr>
            </w:pPr>
          </w:p>
        </w:tc>
        <w:tc>
          <w:tcPr>
            <w:tcW w:w="1720" w:type="dxa"/>
            <w:vAlign w:val="bottom"/>
            <w:vMerge w:val="continue"/>
            <w:shd w:val="clear" w:color="auto" w:fill="E5F1F5"/>
          </w:tcPr>
          <w:p>
            <w:pPr>
              <w:spacing w:after="0"/>
              <w:rPr>
                <w:sz w:val="14"/>
                <w:szCs w:val="14"/>
                <w:color w:val="auto"/>
              </w:rPr>
            </w:pPr>
          </w:p>
        </w:tc>
        <w:tc>
          <w:tcPr>
            <w:tcW w:w="2180" w:type="dxa"/>
            <w:vAlign w:val="bottom"/>
            <w:vMerge w:val="continue"/>
            <w:shd w:val="clear" w:color="auto" w:fill="E5F1F5"/>
          </w:tcPr>
          <w:p>
            <w:pPr>
              <w:spacing w:after="0"/>
              <w:rPr>
                <w:sz w:val="14"/>
                <w:szCs w:val="14"/>
                <w:color w:val="auto"/>
              </w:rPr>
            </w:pPr>
          </w:p>
        </w:tc>
        <w:tc>
          <w:tcPr>
            <w:tcW w:w="40" w:type="dxa"/>
            <w:vAlign w:val="bottom"/>
            <w:shd w:val="clear" w:color="auto" w:fill="E5F1F5"/>
          </w:tcPr>
          <w:p>
            <w:pPr>
              <w:spacing w:after="0"/>
              <w:rPr>
                <w:sz w:val="14"/>
                <w:szCs w:val="14"/>
                <w:color w:val="auto"/>
              </w:rPr>
            </w:pPr>
          </w:p>
        </w:tc>
        <w:tc>
          <w:tcPr>
            <w:tcW w:w="500" w:type="dxa"/>
            <w:vAlign w:val="bottom"/>
            <w:vMerge w:val="continue"/>
            <w:shd w:val="clear" w:color="auto" w:fill="E5F1F5"/>
          </w:tcPr>
          <w:p>
            <w:pPr>
              <w:spacing w:after="0"/>
              <w:rPr>
                <w:sz w:val="14"/>
                <w:szCs w:val="14"/>
                <w:color w:val="auto"/>
              </w:rPr>
            </w:pPr>
          </w:p>
        </w:tc>
        <w:tc>
          <w:tcPr>
            <w:tcW w:w="1300" w:type="dxa"/>
            <w:vAlign w:val="bottom"/>
            <w:vMerge w:val="continue"/>
            <w:shd w:val="clear" w:color="auto" w:fill="E5F1F5"/>
          </w:tcPr>
          <w:p>
            <w:pPr>
              <w:spacing w:after="0"/>
              <w:rPr>
                <w:sz w:val="14"/>
                <w:szCs w:val="14"/>
                <w:color w:val="auto"/>
              </w:rPr>
            </w:pPr>
          </w:p>
        </w:tc>
        <w:tc>
          <w:tcPr>
            <w:tcW w:w="540" w:type="dxa"/>
            <w:vAlign w:val="bottom"/>
            <w:shd w:val="clear" w:color="auto" w:fill="E5F1F5"/>
          </w:tcPr>
          <w:p>
            <w:pPr>
              <w:spacing w:after="0"/>
              <w:rPr>
                <w:sz w:val="14"/>
                <w:szCs w:val="14"/>
                <w:color w:val="auto"/>
              </w:rPr>
            </w:pPr>
          </w:p>
        </w:tc>
        <w:tc>
          <w:tcPr>
            <w:tcW w:w="1720" w:type="dxa"/>
            <w:vAlign w:val="bottom"/>
            <w:vMerge w:val="continue"/>
            <w:shd w:val="clear" w:color="auto" w:fill="E5F1F5"/>
          </w:tcPr>
          <w:p>
            <w:pPr>
              <w:spacing w:after="0"/>
              <w:rPr>
                <w:sz w:val="14"/>
                <w:szCs w:val="14"/>
                <w:color w:val="auto"/>
              </w:rPr>
            </w:pPr>
          </w:p>
        </w:tc>
        <w:tc>
          <w:tcPr>
            <w:tcW w:w="500" w:type="dxa"/>
            <w:vAlign w:val="bottom"/>
            <w:vMerge w:val="continue"/>
            <w:shd w:val="clear" w:color="auto" w:fill="E5F1F5"/>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740" w:type="dxa"/>
            <w:vAlign w:val="bottom"/>
            <w:tcBorders>
              <w:bottom w:val="single" w:sz="8" w:color="E5F1F5"/>
            </w:tcBorders>
            <w:shd w:val="clear" w:color="auto" w:fill="E5F1F5"/>
          </w:tcPr>
          <w:p>
            <w:pPr>
              <w:spacing w:after="0"/>
              <w:rPr>
                <w:sz w:val="7"/>
                <w:szCs w:val="7"/>
                <w:color w:val="auto"/>
              </w:rPr>
            </w:pPr>
          </w:p>
        </w:tc>
        <w:tc>
          <w:tcPr>
            <w:tcW w:w="1720" w:type="dxa"/>
            <w:vAlign w:val="bottom"/>
            <w:tcBorders>
              <w:bottom w:val="single" w:sz="8" w:color="auto"/>
            </w:tcBorders>
            <w:shd w:val="clear" w:color="auto" w:fill="E5F1F5"/>
          </w:tcPr>
          <w:p>
            <w:pPr>
              <w:spacing w:after="0"/>
              <w:rPr>
                <w:sz w:val="7"/>
                <w:szCs w:val="7"/>
                <w:color w:val="auto"/>
              </w:rPr>
            </w:pPr>
          </w:p>
        </w:tc>
        <w:tc>
          <w:tcPr>
            <w:tcW w:w="2180" w:type="dxa"/>
            <w:vAlign w:val="bottom"/>
            <w:tcBorders>
              <w:bottom w:val="single" w:sz="8" w:color="auto"/>
            </w:tcBorders>
            <w:shd w:val="clear" w:color="auto" w:fill="E5F1F5"/>
          </w:tcPr>
          <w:p>
            <w:pPr>
              <w:spacing w:after="0"/>
              <w:rPr>
                <w:sz w:val="7"/>
                <w:szCs w:val="7"/>
                <w:color w:val="auto"/>
              </w:rPr>
            </w:pPr>
          </w:p>
        </w:tc>
        <w:tc>
          <w:tcPr>
            <w:tcW w:w="40" w:type="dxa"/>
            <w:vAlign w:val="bottom"/>
            <w:tcBorders>
              <w:bottom w:val="single" w:sz="8" w:color="auto"/>
            </w:tcBorders>
            <w:shd w:val="clear" w:color="auto" w:fill="E5F1F5"/>
          </w:tcPr>
          <w:p>
            <w:pPr>
              <w:spacing w:after="0"/>
              <w:rPr>
                <w:sz w:val="7"/>
                <w:szCs w:val="7"/>
                <w:color w:val="auto"/>
              </w:rPr>
            </w:pPr>
          </w:p>
        </w:tc>
        <w:tc>
          <w:tcPr>
            <w:tcW w:w="500" w:type="dxa"/>
            <w:vAlign w:val="bottom"/>
            <w:tcBorders>
              <w:bottom w:val="single" w:sz="8" w:color="auto"/>
            </w:tcBorders>
            <w:shd w:val="clear" w:color="auto" w:fill="E5F1F5"/>
          </w:tcPr>
          <w:p>
            <w:pPr>
              <w:spacing w:after="0"/>
              <w:rPr>
                <w:sz w:val="7"/>
                <w:szCs w:val="7"/>
                <w:color w:val="auto"/>
              </w:rPr>
            </w:pPr>
          </w:p>
        </w:tc>
        <w:tc>
          <w:tcPr>
            <w:tcW w:w="1300" w:type="dxa"/>
            <w:vAlign w:val="bottom"/>
            <w:tcBorders>
              <w:bottom w:val="single" w:sz="8" w:color="auto"/>
            </w:tcBorders>
            <w:shd w:val="clear" w:color="auto" w:fill="E5F1F5"/>
          </w:tcPr>
          <w:p>
            <w:pPr>
              <w:spacing w:after="0"/>
              <w:rPr>
                <w:sz w:val="7"/>
                <w:szCs w:val="7"/>
                <w:color w:val="auto"/>
              </w:rPr>
            </w:pPr>
          </w:p>
        </w:tc>
        <w:tc>
          <w:tcPr>
            <w:tcW w:w="540" w:type="dxa"/>
            <w:vAlign w:val="bottom"/>
            <w:tcBorders>
              <w:bottom w:val="single" w:sz="8" w:color="auto"/>
            </w:tcBorders>
            <w:shd w:val="clear" w:color="auto" w:fill="E5F1F5"/>
          </w:tcPr>
          <w:p>
            <w:pPr>
              <w:spacing w:after="0"/>
              <w:rPr>
                <w:sz w:val="7"/>
                <w:szCs w:val="7"/>
                <w:color w:val="auto"/>
              </w:rPr>
            </w:pPr>
          </w:p>
        </w:tc>
        <w:tc>
          <w:tcPr>
            <w:tcW w:w="1720" w:type="dxa"/>
            <w:vAlign w:val="bottom"/>
            <w:tcBorders>
              <w:bottom w:val="single" w:sz="8" w:color="auto"/>
            </w:tcBorders>
            <w:shd w:val="clear" w:color="auto" w:fill="E5F1F5"/>
          </w:tcPr>
          <w:p>
            <w:pPr>
              <w:spacing w:after="0"/>
              <w:rPr>
                <w:sz w:val="7"/>
                <w:szCs w:val="7"/>
                <w:color w:val="auto"/>
              </w:rPr>
            </w:pPr>
          </w:p>
        </w:tc>
        <w:tc>
          <w:tcPr>
            <w:tcW w:w="500" w:type="dxa"/>
            <w:vAlign w:val="bottom"/>
            <w:tcBorders>
              <w:bottom w:val="single" w:sz="8" w:color="auto"/>
            </w:tcBorders>
            <w:shd w:val="clear" w:color="auto" w:fill="E5F1F5"/>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E5F1F5"/>
          </w:tcPr>
          <w:p>
            <w:pPr>
              <w:spacing w:after="0"/>
              <w:rPr>
                <w:sz w:val="19"/>
                <w:szCs w:val="19"/>
                <w:color w:val="auto"/>
              </w:rPr>
            </w:pPr>
          </w:p>
        </w:tc>
        <w:tc>
          <w:tcPr>
            <w:tcW w:w="1720" w:type="dxa"/>
            <w:vAlign w:val="bottom"/>
            <w:shd w:val="clear" w:color="auto" w:fill="E5F1F5"/>
          </w:tcPr>
          <w:p>
            <w:pPr>
              <w:ind w:left="20"/>
              <w:spacing w:after="0"/>
              <w:rPr>
                <w:sz w:val="20"/>
                <w:szCs w:val="20"/>
                <w:color w:val="auto"/>
              </w:rPr>
            </w:pPr>
            <w:r>
              <w:rPr>
                <w:rFonts w:ascii="Arial" w:cs="Arial" w:eastAsia="Arial" w:hAnsi="Arial"/>
                <w:sz w:val="13"/>
                <w:szCs w:val="13"/>
                <w:b w:val="1"/>
                <w:bCs w:val="1"/>
                <w:color w:val="0E191E"/>
              </w:rPr>
              <w:t>Total</w:t>
            </w:r>
          </w:p>
        </w:tc>
        <w:tc>
          <w:tcPr>
            <w:tcW w:w="2180" w:type="dxa"/>
            <w:vAlign w:val="bottom"/>
            <w:shd w:val="clear" w:color="auto" w:fill="E5F1F5"/>
          </w:tcPr>
          <w:p>
            <w:pPr>
              <w:jc w:val="right"/>
              <w:spacing w:after="0"/>
              <w:rPr>
                <w:sz w:val="20"/>
                <w:szCs w:val="20"/>
                <w:color w:val="auto"/>
              </w:rPr>
            </w:pPr>
            <w:r>
              <w:rPr>
                <w:rFonts w:ascii="Arial" w:cs="Arial" w:eastAsia="Arial" w:hAnsi="Arial"/>
                <w:sz w:val="13"/>
                <w:szCs w:val="13"/>
                <w:b w:val="1"/>
                <w:bCs w:val="1"/>
                <w:color w:val="0E191E"/>
              </w:rPr>
              <w:t>439,050</w:t>
            </w:r>
          </w:p>
        </w:tc>
        <w:tc>
          <w:tcPr>
            <w:tcW w:w="40" w:type="dxa"/>
            <w:vAlign w:val="bottom"/>
            <w:shd w:val="clear" w:color="auto" w:fill="E5F1F5"/>
          </w:tcPr>
          <w:p>
            <w:pPr>
              <w:spacing w:after="0"/>
              <w:rPr>
                <w:sz w:val="19"/>
                <w:szCs w:val="19"/>
                <w:color w:val="auto"/>
              </w:rPr>
            </w:pPr>
          </w:p>
        </w:tc>
        <w:tc>
          <w:tcPr>
            <w:tcW w:w="500" w:type="dxa"/>
            <w:vAlign w:val="bottom"/>
            <w:shd w:val="clear" w:color="auto" w:fill="E5F1F5"/>
          </w:tcPr>
          <w:p>
            <w:pPr>
              <w:spacing w:after="0"/>
              <w:rPr>
                <w:sz w:val="19"/>
                <w:szCs w:val="19"/>
                <w:color w:val="auto"/>
              </w:rPr>
            </w:pPr>
          </w:p>
        </w:tc>
        <w:tc>
          <w:tcPr>
            <w:tcW w:w="1300" w:type="dxa"/>
            <w:vAlign w:val="bottom"/>
            <w:shd w:val="clear" w:color="auto" w:fill="E5F1F5"/>
          </w:tcPr>
          <w:p>
            <w:pPr>
              <w:jc w:val="right"/>
              <w:spacing w:after="0"/>
              <w:rPr>
                <w:sz w:val="20"/>
                <w:szCs w:val="20"/>
                <w:color w:val="auto"/>
              </w:rPr>
            </w:pPr>
            <w:r>
              <w:rPr>
                <w:rFonts w:ascii="Arial" w:cs="Arial" w:eastAsia="Arial" w:hAnsi="Arial"/>
                <w:sz w:val="13"/>
                <w:szCs w:val="13"/>
                <w:b w:val="1"/>
                <w:bCs w:val="1"/>
                <w:color w:val="0E191E"/>
              </w:rPr>
              <w:t>7,008,653</w:t>
            </w:r>
          </w:p>
        </w:tc>
        <w:tc>
          <w:tcPr>
            <w:tcW w:w="540" w:type="dxa"/>
            <w:vAlign w:val="bottom"/>
            <w:shd w:val="clear" w:color="auto" w:fill="E5F1F5"/>
          </w:tcPr>
          <w:p>
            <w:pPr>
              <w:spacing w:after="0"/>
              <w:rPr>
                <w:sz w:val="19"/>
                <w:szCs w:val="19"/>
                <w:color w:val="auto"/>
              </w:rPr>
            </w:pPr>
          </w:p>
        </w:tc>
        <w:tc>
          <w:tcPr>
            <w:tcW w:w="1720" w:type="dxa"/>
            <w:vAlign w:val="bottom"/>
            <w:shd w:val="clear" w:color="auto" w:fill="E5F1F5"/>
          </w:tcPr>
          <w:p>
            <w:pPr>
              <w:jc w:val="right"/>
              <w:spacing w:after="0"/>
              <w:rPr>
                <w:sz w:val="20"/>
                <w:szCs w:val="20"/>
                <w:color w:val="auto"/>
              </w:rPr>
            </w:pPr>
            <w:r>
              <w:rPr>
                <w:rFonts w:ascii="Arial" w:cs="Arial" w:eastAsia="Arial" w:hAnsi="Arial"/>
                <w:sz w:val="13"/>
                <w:szCs w:val="13"/>
                <w:b w:val="1"/>
                <w:bCs w:val="1"/>
                <w:color w:val="0E191E"/>
              </w:rPr>
              <w:t>7,973,727</w:t>
            </w:r>
          </w:p>
        </w:tc>
        <w:tc>
          <w:tcPr>
            <w:tcW w:w="500" w:type="dxa"/>
            <w:vAlign w:val="bottom"/>
            <w:shd w:val="clear" w:color="auto" w:fill="E5F1F5"/>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740" w:type="dxa"/>
            <w:vAlign w:val="bottom"/>
            <w:shd w:val="clear" w:color="auto" w:fill="E5F1F5"/>
          </w:tcPr>
          <w:p>
            <w:pPr>
              <w:spacing w:after="0"/>
              <w:rPr>
                <w:sz w:val="7"/>
                <w:szCs w:val="7"/>
                <w:color w:val="auto"/>
              </w:rPr>
            </w:pPr>
          </w:p>
        </w:tc>
        <w:tc>
          <w:tcPr>
            <w:tcW w:w="1720" w:type="dxa"/>
            <w:vAlign w:val="bottom"/>
            <w:shd w:val="clear" w:color="auto" w:fill="E5F1F5"/>
          </w:tcPr>
          <w:p>
            <w:pPr>
              <w:spacing w:after="0"/>
              <w:rPr>
                <w:sz w:val="7"/>
                <w:szCs w:val="7"/>
                <w:color w:val="auto"/>
              </w:rPr>
            </w:pPr>
          </w:p>
        </w:tc>
        <w:tc>
          <w:tcPr>
            <w:tcW w:w="2180" w:type="dxa"/>
            <w:vAlign w:val="bottom"/>
            <w:shd w:val="clear" w:color="auto" w:fill="E5F1F5"/>
          </w:tcPr>
          <w:p>
            <w:pPr>
              <w:spacing w:after="0"/>
              <w:rPr>
                <w:sz w:val="7"/>
                <w:szCs w:val="7"/>
                <w:color w:val="auto"/>
              </w:rPr>
            </w:pPr>
          </w:p>
        </w:tc>
        <w:tc>
          <w:tcPr>
            <w:tcW w:w="40" w:type="dxa"/>
            <w:vAlign w:val="bottom"/>
            <w:shd w:val="clear" w:color="auto" w:fill="E5F1F5"/>
          </w:tcPr>
          <w:p>
            <w:pPr>
              <w:spacing w:after="0"/>
              <w:rPr>
                <w:sz w:val="7"/>
                <w:szCs w:val="7"/>
                <w:color w:val="auto"/>
              </w:rPr>
            </w:pPr>
          </w:p>
        </w:tc>
        <w:tc>
          <w:tcPr>
            <w:tcW w:w="500" w:type="dxa"/>
            <w:vAlign w:val="bottom"/>
            <w:shd w:val="clear" w:color="auto" w:fill="E5F1F5"/>
          </w:tcPr>
          <w:p>
            <w:pPr>
              <w:spacing w:after="0"/>
              <w:rPr>
                <w:sz w:val="7"/>
                <w:szCs w:val="7"/>
                <w:color w:val="auto"/>
              </w:rPr>
            </w:pPr>
          </w:p>
        </w:tc>
        <w:tc>
          <w:tcPr>
            <w:tcW w:w="1300" w:type="dxa"/>
            <w:vAlign w:val="bottom"/>
            <w:shd w:val="clear" w:color="auto" w:fill="E5F1F5"/>
          </w:tcPr>
          <w:p>
            <w:pPr>
              <w:spacing w:after="0"/>
              <w:rPr>
                <w:sz w:val="7"/>
                <w:szCs w:val="7"/>
                <w:color w:val="auto"/>
              </w:rPr>
            </w:pPr>
          </w:p>
        </w:tc>
        <w:tc>
          <w:tcPr>
            <w:tcW w:w="540" w:type="dxa"/>
            <w:vAlign w:val="bottom"/>
            <w:shd w:val="clear" w:color="auto" w:fill="E5F1F5"/>
          </w:tcPr>
          <w:p>
            <w:pPr>
              <w:spacing w:after="0"/>
              <w:rPr>
                <w:sz w:val="7"/>
                <w:szCs w:val="7"/>
                <w:color w:val="auto"/>
              </w:rPr>
            </w:pPr>
          </w:p>
        </w:tc>
        <w:tc>
          <w:tcPr>
            <w:tcW w:w="1720" w:type="dxa"/>
            <w:vAlign w:val="bottom"/>
            <w:shd w:val="clear" w:color="auto" w:fill="E5F1F5"/>
          </w:tcPr>
          <w:p>
            <w:pPr>
              <w:spacing w:after="0"/>
              <w:rPr>
                <w:sz w:val="7"/>
                <w:szCs w:val="7"/>
                <w:color w:val="auto"/>
              </w:rPr>
            </w:pPr>
          </w:p>
        </w:tc>
        <w:tc>
          <w:tcPr>
            <w:tcW w:w="500" w:type="dxa"/>
            <w:vAlign w:val="bottom"/>
            <w:shd w:val="clear" w:color="auto" w:fill="E5F1F5"/>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3"/>
                <w:szCs w:val="13"/>
                <w:color w:val="0E191E"/>
              </w:rPr>
              <w:t>Cash Severance</w:t>
            </w:r>
          </w:p>
        </w:tc>
        <w:tc>
          <w:tcPr>
            <w:tcW w:w="2180" w:type="dxa"/>
            <w:vAlign w:val="bottom"/>
          </w:tcPr>
          <w:p>
            <w:pPr>
              <w:jc w:val="right"/>
              <w:spacing w:after="0"/>
              <w:rPr>
                <w:sz w:val="20"/>
                <w:szCs w:val="20"/>
                <w:color w:val="auto"/>
              </w:rPr>
            </w:pPr>
            <w:r>
              <w:rPr>
                <w:rFonts w:ascii="Arial" w:cs="Arial" w:eastAsia="Arial" w:hAnsi="Arial"/>
                <w:sz w:val="13"/>
                <w:szCs w:val="13"/>
                <w:color w:val="0E191E"/>
              </w:rPr>
              <w:t>350,000</w:t>
            </w:r>
          </w:p>
        </w:tc>
        <w:tc>
          <w:tcPr>
            <w:tcW w:w="540" w:type="dxa"/>
            <w:vAlign w:val="bottom"/>
            <w:gridSpan w:val="2"/>
          </w:tcPr>
          <w:p>
            <w:pPr>
              <w:jc w:val="right"/>
              <w:ind w:right="224"/>
              <w:spacing w:after="0"/>
              <w:rPr>
                <w:sz w:val="20"/>
                <w:szCs w:val="20"/>
                <w:color w:val="auto"/>
              </w:rPr>
            </w:pPr>
            <w:r>
              <w:rPr>
                <w:rFonts w:ascii="Arial" w:cs="Arial" w:eastAsia="Arial" w:hAnsi="Arial"/>
                <w:sz w:val="15"/>
                <w:szCs w:val="15"/>
                <w:color w:val="0E191E"/>
              </w:rPr>
              <w:t>(6)</w:t>
            </w:r>
          </w:p>
        </w:tc>
        <w:tc>
          <w:tcPr>
            <w:tcW w:w="1300" w:type="dxa"/>
            <w:vAlign w:val="bottom"/>
          </w:tcPr>
          <w:p>
            <w:pPr>
              <w:jc w:val="right"/>
              <w:spacing w:after="0"/>
              <w:rPr>
                <w:sz w:val="20"/>
                <w:szCs w:val="20"/>
                <w:color w:val="auto"/>
              </w:rPr>
            </w:pPr>
            <w:r>
              <w:rPr>
                <w:rFonts w:ascii="Arial" w:cs="Arial" w:eastAsia="Arial" w:hAnsi="Arial"/>
                <w:sz w:val="13"/>
                <w:szCs w:val="13"/>
                <w:color w:val="0E191E"/>
              </w:rPr>
              <w:t>—</w:t>
            </w:r>
          </w:p>
        </w:tc>
        <w:tc>
          <w:tcPr>
            <w:tcW w:w="5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0E191E"/>
              </w:rPr>
              <w:t>525,000</w:t>
            </w:r>
          </w:p>
        </w:tc>
        <w:tc>
          <w:tcPr>
            <w:tcW w:w="500" w:type="dxa"/>
            <w:vAlign w:val="bottom"/>
          </w:tcPr>
          <w:p>
            <w:pPr>
              <w:jc w:val="right"/>
              <w:ind w:right="184"/>
              <w:spacing w:after="0"/>
              <w:rPr>
                <w:sz w:val="20"/>
                <w:szCs w:val="20"/>
                <w:color w:val="auto"/>
              </w:rPr>
            </w:pPr>
            <w:r>
              <w:rPr>
                <w:rFonts w:ascii="Arial" w:cs="Arial" w:eastAsia="Arial" w:hAnsi="Arial"/>
                <w:sz w:val="15"/>
                <w:szCs w:val="15"/>
                <w:color w:val="0E191E"/>
              </w:rPr>
              <w:t>(7)</w:t>
            </w:r>
          </w:p>
        </w:tc>
        <w:tc>
          <w:tcPr>
            <w:tcW w:w="0" w:type="dxa"/>
            <w:vAlign w:val="bottom"/>
          </w:tcPr>
          <w:p>
            <w:pPr>
              <w:spacing w:after="0"/>
              <w:rPr>
                <w:sz w:val="1"/>
                <w:szCs w:val="1"/>
                <w:color w:val="auto"/>
              </w:rPr>
            </w:pPr>
          </w:p>
        </w:tc>
      </w:tr>
      <w:tr>
        <w:trPr>
          <w:trHeight w:val="82"/>
        </w:trPr>
        <w:tc>
          <w:tcPr>
            <w:tcW w:w="2740" w:type="dxa"/>
            <w:vAlign w:val="bottom"/>
          </w:tcPr>
          <w:p>
            <w:pPr>
              <w:spacing w:after="0"/>
              <w:rPr>
                <w:sz w:val="7"/>
                <w:szCs w:val="7"/>
                <w:color w:val="auto"/>
              </w:rPr>
            </w:pPr>
          </w:p>
        </w:tc>
        <w:tc>
          <w:tcPr>
            <w:tcW w:w="1720" w:type="dxa"/>
            <w:vAlign w:val="bottom"/>
            <w:tcBorders>
              <w:bottom w:val="single" w:sz="8" w:color="0E191E"/>
            </w:tcBorders>
          </w:tcPr>
          <w:p>
            <w:pPr>
              <w:spacing w:after="0"/>
              <w:rPr>
                <w:sz w:val="7"/>
                <w:szCs w:val="7"/>
                <w:color w:val="auto"/>
              </w:rPr>
            </w:pPr>
          </w:p>
        </w:tc>
        <w:tc>
          <w:tcPr>
            <w:tcW w:w="2180" w:type="dxa"/>
            <w:vAlign w:val="bottom"/>
            <w:tcBorders>
              <w:bottom w:val="single" w:sz="8" w:color="0E191E"/>
            </w:tcBorders>
          </w:tcPr>
          <w:p>
            <w:pPr>
              <w:spacing w:after="0"/>
              <w:rPr>
                <w:sz w:val="7"/>
                <w:szCs w:val="7"/>
                <w:color w:val="auto"/>
              </w:rPr>
            </w:pPr>
          </w:p>
        </w:tc>
        <w:tc>
          <w:tcPr>
            <w:tcW w:w="40" w:type="dxa"/>
            <w:vAlign w:val="bottom"/>
            <w:tcBorders>
              <w:bottom w:val="single" w:sz="8" w:color="0E191E"/>
            </w:tcBorders>
          </w:tcPr>
          <w:p>
            <w:pPr>
              <w:spacing w:after="0"/>
              <w:rPr>
                <w:sz w:val="7"/>
                <w:szCs w:val="7"/>
                <w:color w:val="auto"/>
              </w:rPr>
            </w:pPr>
          </w:p>
        </w:tc>
        <w:tc>
          <w:tcPr>
            <w:tcW w:w="500" w:type="dxa"/>
            <w:vAlign w:val="bottom"/>
            <w:tcBorders>
              <w:bottom w:val="single" w:sz="8" w:color="0E191E"/>
            </w:tcBorders>
          </w:tcPr>
          <w:p>
            <w:pPr>
              <w:spacing w:after="0"/>
              <w:rPr>
                <w:sz w:val="7"/>
                <w:szCs w:val="7"/>
                <w:color w:val="auto"/>
              </w:rPr>
            </w:pPr>
          </w:p>
        </w:tc>
        <w:tc>
          <w:tcPr>
            <w:tcW w:w="1300" w:type="dxa"/>
            <w:vAlign w:val="bottom"/>
            <w:tcBorders>
              <w:bottom w:val="single" w:sz="8" w:color="0E191E"/>
            </w:tcBorders>
          </w:tcPr>
          <w:p>
            <w:pPr>
              <w:spacing w:after="0"/>
              <w:rPr>
                <w:sz w:val="7"/>
                <w:szCs w:val="7"/>
                <w:color w:val="auto"/>
              </w:rPr>
            </w:pPr>
          </w:p>
        </w:tc>
        <w:tc>
          <w:tcPr>
            <w:tcW w:w="540" w:type="dxa"/>
            <w:vAlign w:val="bottom"/>
            <w:tcBorders>
              <w:bottom w:val="single" w:sz="8" w:color="0E191E"/>
            </w:tcBorders>
          </w:tcPr>
          <w:p>
            <w:pPr>
              <w:spacing w:after="0"/>
              <w:rPr>
                <w:sz w:val="7"/>
                <w:szCs w:val="7"/>
                <w:color w:val="auto"/>
              </w:rPr>
            </w:pPr>
          </w:p>
        </w:tc>
        <w:tc>
          <w:tcPr>
            <w:tcW w:w="1720" w:type="dxa"/>
            <w:vAlign w:val="bottom"/>
            <w:tcBorders>
              <w:bottom w:val="single" w:sz="8" w:color="0E191E"/>
            </w:tcBorders>
          </w:tcPr>
          <w:p>
            <w:pPr>
              <w:spacing w:after="0"/>
              <w:rPr>
                <w:sz w:val="7"/>
                <w:szCs w:val="7"/>
                <w:color w:val="auto"/>
              </w:rPr>
            </w:pPr>
          </w:p>
        </w:tc>
        <w:tc>
          <w:tcPr>
            <w:tcW w:w="500" w:type="dxa"/>
            <w:vAlign w:val="bottom"/>
            <w:tcBorders>
              <w:bottom w:val="single" w:sz="8" w:color="0E191E"/>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74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Winston King</w:t>
            </w:r>
          </w:p>
        </w:tc>
        <w:tc>
          <w:tcPr>
            <w:tcW w:w="1720" w:type="dxa"/>
            <w:vAlign w:val="bottom"/>
          </w:tcPr>
          <w:p>
            <w:pPr>
              <w:ind w:left="20"/>
              <w:spacing w:after="0"/>
              <w:rPr>
                <w:sz w:val="20"/>
                <w:szCs w:val="20"/>
                <w:color w:val="auto"/>
              </w:rPr>
            </w:pPr>
            <w:r>
              <w:rPr>
                <w:rFonts w:ascii="Arial" w:cs="Arial" w:eastAsia="Arial" w:hAnsi="Arial"/>
                <w:sz w:val="13"/>
                <w:szCs w:val="13"/>
                <w:color w:val="0E191E"/>
              </w:rPr>
              <w:t>Equity Acceleration</w:t>
            </w:r>
          </w:p>
        </w:tc>
        <w:tc>
          <w:tcPr>
            <w:tcW w:w="2180" w:type="dxa"/>
            <w:vAlign w:val="bottom"/>
          </w:tcPr>
          <w:p>
            <w:pPr>
              <w:jc w:val="right"/>
              <w:spacing w:after="0"/>
              <w:rPr>
                <w:sz w:val="20"/>
                <w:szCs w:val="20"/>
                <w:color w:val="auto"/>
              </w:rPr>
            </w:pPr>
            <w:r>
              <w:rPr>
                <w:rFonts w:ascii="Arial" w:cs="Arial" w:eastAsia="Arial" w:hAnsi="Arial"/>
                <w:sz w:val="13"/>
                <w:szCs w:val="13"/>
                <w:color w:val="0E191E"/>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0E191E"/>
              </w:rPr>
              <w:t>3,759,322</w:t>
            </w:r>
          </w:p>
        </w:tc>
        <w:tc>
          <w:tcPr>
            <w:tcW w:w="540" w:type="dxa"/>
            <w:vAlign w:val="bottom"/>
          </w:tcPr>
          <w:p>
            <w:pPr>
              <w:jc w:val="right"/>
              <w:ind w:right="245"/>
              <w:spacing w:after="0"/>
              <w:rPr>
                <w:sz w:val="20"/>
                <w:szCs w:val="20"/>
                <w:color w:val="auto"/>
              </w:rPr>
            </w:pPr>
            <w:r>
              <w:rPr>
                <w:rFonts w:ascii="Arial" w:cs="Arial" w:eastAsia="Arial" w:hAnsi="Arial"/>
                <w:sz w:val="15"/>
                <w:szCs w:val="15"/>
                <w:color w:val="0E191E"/>
              </w:rPr>
              <w:t>(3)</w:t>
            </w:r>
          </w:p>
        </w:tc>
        <w:tc>
          <w:tcPr>
            <w:tcW w:w="1720" w:type="dxa"/>
            <w:vAlign w:val="bottom"/>
          </w:tcPr>
          <w:p>
            <w:pPr>
              <w:jc w:val="right"/>
              <w:spacing w:after="0"/>
              <w:rPr>
                <w:sz w:val="20"/>
                <w:szCs w:val="20"/>
                <w:color w:val="auto"/>
              </w:rPr>
            </w:pPr>
            <w:r>
              <w:rPr>
                <w:rFonts w:ascii="Arial" w:cs="Arial" w:eastAsia="Arial" w:hAnsi="Arial"/>
                <w:sz w:val="13"/>
                <w:szCs w:val="13"/>
                <w:color w:val="0E191E"/>
              </w:rPr>
              <w:t>3,759,322</w:t>
            </w:r>
          </w:p>
        </w:tc>
        <w:tc>
          <w:tcPr>
            <w:tcW w:w="500" w:type="dxa"/>
            <w:vAlign w:val="bottom"/>
          </w:tcPr>
          <w:p>
            <w:pPr>
              <w:jc w:val="right"/>
              <w:ind w:right="184"/>
              <w:spacing w:after="0"/>
              <w:rPr>
                <w:sz w:val="20"/>
                <w:szCs w:val="20"/>
                <w:color w:val="auto"/>
              </w:rPr>
            </w:pPr>
            <w:r>
              <w:rPr>
                <w:rFonts w:ascii="Arial" w:cs="Arial" w:eastAsia="Arial" w:hAnsi="Arial"/>
                <w:sz w:val="15"/>
                <w:szCs w:val="15"/>
                <w:color w:val="0E191E"/>
              </w:rPr>
              <w:t>(3)</w:t>
            </w:r>
          </w:p>
        </w:tc>
        <w:tc>
          <w:tcPr>
            <w:tcW w:w="0" w:type="dxa"/>
            <w:vAlign w:val="bottom"/>
          </w:tcPr>
          <w:p>
            <w:pPr>
              <w:spacing w:after="0"/>
              <w:rPr>
                <w:sz w:val="1"/>
                <w:szCs w:val="1"/>
                <w:color w:val="auto"/>
              </w:rPr>
            </w:pPr>
          </w:p>
        </w:tc>
      </w:tr>
      <w:tr>
        <w:trPr>
          <w:trHeight w:val="81"/>
        </w:trPr>
        <w:tc>
          <w:tcPr>
            <w:tcW w:w="2740" w:type="dxa"/>
            <w:vAlign w:val="bottom"/>
            <w:vMerge w:val="continue"/>
          </w:tcPr>
          <w:p>
            <w:pPr>
              <w:spacing w:after="0"/>
              <w:rPr>
                <w:sz w:val="7"/>
                <w:szCs w:val="7"/>
                <w:color w:val="auto"/>
              </w:rPr>
            </w:pPr>
          </w:p>
        </w:tc>
        <w:tc>
          <w:tcPr>
            <w:tcW w:w="1720" w:type="dxa"/>
            <w:vAlign w:val="bottom"/>
            <w:tcBorders>
              <w:bottom w:val="single" w:sz="8" w:color="0E191E"/>
            </w:tcBorders>
          </w:tcPr>
          <w:p>
            <w:pPr>
              <w:spacing w:after="0"/>
              <w:rPr>
                <w:sz w:val="7"/>
                <w:szCs w:val="7"/>
                <w:color w:val="auto"/>
              </w:rPr>
            </w:pPr>
          </w:p>
        </w:tc>
        <w:tc>
          <w:tcPr>
            <w:tcW w:w="2180" w:type="dxa"/>
            <w:vAlign w:val="bottom"/>
            <w:tcBorders>
              <w:bottom w:val="single" w:sz="8" w:color="0E191E"/>
            </w:tcBorders>
          </w:tcPr>
          <w:p>
            <w:pPr>
              <w:spacing w:after="0"/>
              <w:rPr>
                <w:sz w:val="7"/>
                <w:szCs w:val="7"/>
                <w:color w:val="auto"/>
              </w:rPr>
            </w:pPr>
          </w:p>
        </w:tc>
        <w:tc>
          <w:tcPr>
            <w:tcW w:w="40" w:type="dxa"/>
            <w:vAlign w:val="bottom"/>
            <w:tcBorders>
              <w:bottom w:val="single" w:sz="8" w:color="0E191E"/>
            </w:tcBorders>
          </w:tcPr>
          <w:p>
            <w:pPr>
              <w:spacing w:after="0"/>
              <w:rPr>
                <w:sz w:val="7"/>
                <w:szCs w:val="7"/>
                <w:color w:val="auto"/>
              </w:rPr>
            </w:pPr>
          </w:p>
        </w:tc>
        <w:tc>
          <w:tcPr>
            <w:tcW w:w="500" w:type="dxa"/>
            <w:vAlign w:val="bottom"/>
            <w:tcBorders>
              <w:bottom w:val="single" w:sz="8" w:color="0E191E"/>
            </w:tcBorders>
          </w:tcPr>
          <w:p>
            <w:pPr>
              <w:spacing w:after="0"/>
              <w:rPr>
                <w:sz w:val="7"/>
                <w:szCs w:val="7"/>
                <w:color w:val="auto"/>
              </w:rPr>
            </w:pPr>
          </w:p>
        </w:tc>
        <w:tc>
          <w:tcPr>
            <w:tcW w:w="1300" w:type="dxa"/>
            <w:vAlign w:val="bottom"/>
            <w:tcBorders>
              <w:bottom w:val="single" w:sz="8" w:color="0E191E"/>
            </w:tcBorders>
          </w:tcPr>
          <w:p>
            <w:pPr>
              <w:spacing w:after="0"/>
              <w:rPr>
                <w:sz w:val="7"/>
                <w:szCs w:val="7"/>
                <w:color w:val="auto"/>
              </w:rPr>
            </w:pPr>
          </w:p>
        </w:tc>
        <w:tc>
          <w:tcPr>
            <w:tcW w:w="540" w:type="dxa"/>
            <w:vAlign w:val="bottom"/>
            <w:tcBorders>
              <w:bottom w:val="single" w:sz="8" w:color="0E191E"/>
            </w:tcBorders>
          </w:tcPr>
          <w:p>
            <w:pPr>
              <w:spacing w:after="0"/>
              <w:rPr>
                <w:sz w:val="7"/>
                <w:szCs w:val="7"/>
                <w:color w:val="auto"/>
              </w:rPr>
            </w:pPr>
          </w:p>
        </w:tc>
        <w:tc>
          <w:tcPr>
            <w:tcW w:w="1720" w:type="dxa"/>
            <w:vAlign w:val="bottom"/>
            <w:tcBorders>
              <w:bottom w:val="single" w:sz="8" w:color="0E191E"/>
            </w:tcBorders>
          </w:tcPr>
          <w:p>
            <w:pPr>
              <w:spacing w:after="0"/>
              <w:rPr>
                <w:sz w:val="7"/>
                <w:szCs w:val="7"/>
                <w:color w:val="auto"/>
              </w:rPr>
            </w:pPr>
          </w:p>
        </w:tc>
        <w:tc>
          <w:tcPr>
            <w:tcW w:w="500" w:type="dxa"/>
            <w:vAlign w:val="bottom"/>
            <w:tcBorders>
              <w:bottom w:val="single" w:sz="8" w:color="0E191E"/>
            </w:tcBorders>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740" w:type="dxa"/>
            <w:vAlign w:val="bottom"/>
            <w:vMerge w:val="continue"/>
          </w:tcPr>
          <w:p>
            <w:pPr>
              <w:spacing w:after="0"/>
              <w:rPr>
                <w:sz w:val="5"/>
                <w:szCs w:val="5"/>
                <w:color w:val="auto"/>
              </w:rPr>
            </w:pPr>
          </w:p>
        </w:tc>
        <w:tc>
          <w:tcPr>
            <w:tcW w:w="1720" w:type="dxa"/>
            <w:vAlign w:val="bottom"/>
            <w:vMerge w:val="restart"/>
          </w:tcPr>
          <w:p>
            <w:pPr>
              <w:ind w:left="20"/>
              <w:spacing w:after="0"/>
              <w:rPr>
                <w:sz w:val="20"/>
                <w:szCs w:val="20"/>
                <w:color w:val="auto"/>
              </w:rPr>
            </w:pPr>
            <w:r>
              <w:rPr>
                <w:rFonts w:ascii="Arial" w:cs="Arial" w:eastAsia="Arial" w:hAnsi="Arial"/>
                <w:sz w:val="13"/>
                <w:szCs w:val="13"/>
                <w:color w:val="0E191E"/>
              </w:rPr>
              <w:t>Health Benefits</w:t>
            </w:r>
          </w:p>
        </w:tc>
        <w:tc>
          <w:tcPr>
            <w:tcW w:w="2180" w:type="dxa"/>
            <w:vAlign w:val="bottom"/>
            <w:vMerge w:val="restart"/>
          </w:tcPr>
          <w:p>
            <w:pPr>
              <w:jc w:val="right"/>
              <w:spacing w:after="0"/>
              <w:rPr>
                <w:sz w:val="20"/>
                <w:szCs w:val="20"/>
                <w:color w:val="auto"/>
              </w:rPr>
            </w:pPr>
            <w:r>
              <w:rPr>
                <w:rFonts w:ascii="Arial" w:cs="Arial" w:eastAsia="Arial" w:hAnsi="Arial"/>
                <w:sz w:val="13"/>
                <w:szCs w:val="13"/>
                <w:color w:val="0E191E"/>
              </w:rPr>
              <w:t>22,844</w:t>
            </w:r>
          </w:p>
        </w:tc>
        <w:tc>
          <w:tcPr>
            <w:tcW w:w="540" w:type="dxa"/>
            <w:vAlign w:val="bottom"/>
            <w:gridSpan w:val="2"/>
            <w:vMerge w:val="restart"/>
          </w:tcPr>
          <w:p>
            <w:pPr>
              <w:jc w:val="right"/>
              <w:ind w:right="224"/>
              <w:spacing w:after="0"/>
              <w:rPr>
                <w:sz w:val="20"/>
                <w:szCs w:val="20"/>
                <w:color w:val="auto"/>
              </w:rPr>
            </w:pPr>
            <w:r>
              <w:rPr>
                <w:rFonts w:ascii="Arial" w:cs="Arial" w:eastAsia="Arial" w:hAnsi="Arial"/>
                <w:sz w:val="15"/>
                <w:szCs w:val="15"/>
                <w:color w:val="0E191E"/>
              </w:rPr>
              <w:t>(4)</w:t>
            </w:r>
          </w:p>
        </w:tc>
        <w:tc>
          <w:tcPr>
            <w:tcW w:w="1300" w:type="dxa"/>
            <w:vAlign w:val="bottom"/>
            <w:vMerge w:val="restart"/>
          </w:tcPr>
          <w:p>
            <w:pPr>
              <w:jc w:val="right"/>
              <w:spacing w:after="0"/>
              <w:rPr>
                <w:sz w:val="20"/>
                <w:szCs w:val="20"/>
                <w:color w:val="auto"/>
              </w:rPr>
            </w:pPr>
            <w:r>
              <w:rPr>
                <w:rFonts w:ascii="Arial" w:cs="Arial" w:eastAsia="Arial" w:hAnsi="Arial"/>
                <w:sz w:val="13"/>
                <w:szCs w:val="13"/>
                <w:color w:val="0E191E"/>
              </w:rPr>
              <w:t>—</w:t>
            </w:r>
          </w:p>
        </w:tc>
        <w:tc>
          <w:tcPr>
            <w:tcW w:w="540" w:type="dxa"/>
            <w:vAlign w:val="bottom"/>
          </w:tcPr>
          <w:p>
            <w:pPr>
              <w:spacing w:after="0"/>
              <w:rPr>
                <w:sz w:val="5"/>
                <w:szCs w:val="5"/>
                <w:color w:val="auto"/>
              </w:rPr>
            </w:pPr>
          </w:p>
        </w:tc>
        <w:tc>
          <w:tcPr>
            <w:tcW w:w="1720" w:type="dxa"/>
            <w:vAlign w:val="bottom"/>
            <w:vMerge w:val="restart"/>
          </w:tcPr>
          <w:p>
            <w:pPr>
              <w:jc w:val="right"/>
              <w:spacing w:after="0"/>
              <w:rPr>
                <w:sz w:val="20"/>
                <w:szCs w:val="20"/>
                <w:color w:val="auto"/>
              </w:rPr>
            </w:pPr>
            <w:r>
              <w:rPr>
                <w:rFonts w:ascii="Arial" w:cs="Arial" w:eastAsia="Arial" w:hAnsi="Arial"/>
                <w:sz w:val="13"/>
                <w:szCs w:val="13"/>
                <w:color w:val="0E191E"/>
              </w:rPr>
              <w:t>22,844</w:t>
            </w:r>
          </w:p>
        </w:tc>
        <w:tc>
          <w:tcPr>
            <w:tcW w:w="500" w:type="dxa"/>
            <w:vAlign w:val="bottom"/>
            <w:vMerge w:val="restart"/>
          </w:tcPr>
          <w:p>
            <w:pPr>
              <w:jc w:val="right"/>
              <w:ind w:right="184"/>
              <w:spacing w:after="0"/>
              <w:rPr>
                <w:sz w:val="20"/>
                <w:szCs w:val="20"/>
                <w:color w:val="auto"/>
              </w:rPr>
            </w:pPr>
            <w:r>
              <w:rPr>
                <w:rFonts w:ascii="Arial" w:cs="Arial" w:eastAsia="Arial" w:hAnsi="Arial"/>
                <w:sz w:val="15"/>
                <w:szCs w:val="15"/>
                <w:color w:val="0E191E"/>
              </w:rPr>
              <w:t>(4)</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740" w:type="dxa"/>
            <w:vAlign w:val="bottom"/>
          </w:tcPr>
          <w:p>
            <w:pPr>
              <w:spacing w:after="0"/>
              <w:rPr>
                <w:sz w:val="7"/>
                <w:szCs w:val="7"/>
                <w:color w:val="auto"/>
              </w:rPr>
            </w:pPr>
          </w:p>
        </w:tc>
        <w:tc>
          <w:tcPr>
            <w:tcW w:w="1720" w:type="dxa"/>
            <w:vAlign w:val="bottom"/>
            <w:tcBorders>
              <w:bottom w:val="single" w:sz="8" w:color="0E191E"/>
            </w:tcBorders>
          </w:tcPr>
          <w:p>
            <w:pPr>
              <w:spacing w:after="0"/>
              <w:rPr>
                <w:sz w:val="7"/>
                <w:szCs w:val="7"/>
                <w:color w:val="auto"/>
              </w:rPr>
            </w:pPr>
          </w:p>
        </w:tc>
        <w:tc>
          <w:tcPr>
            <w:tcW w:w="2180" w:type="dxa"/>
            <w:vAlign w:val="bottom"/>
            <w:tcBorders>
              <w:bottom w:val="single" w:sz="8" w:color="0E191E"/>
            </w:tcBorders>
          </w:tcPr>
          <w:p>
            <w:pPr>
              <w:spacing w:after="0"/>
              <w:rPr>
                <w:sz w:val="7"/>
                <w:szCs w:val="7"/>
                <w:color w:val="auto"/>
              </w:rPr>
            </w:pPr>
          </w:p>
        </w:tc>
        <w:tc>
          <w:tcPr>
            <w:tcW w:w="40" w:type="dxa"/>
            <w:vAlign w:val="bottom"/>
            <w:tcBorders>
              <w:bottom w:val="single" w:sz="8" w:color="0E191E"/>
            </w:tcBorders>
          </w:tcPr>
          <w:p>
            <w:pPr>
              <w:spacing w:after="0"/>
              <w:rPr>
                <w:sz w:val="7"/>
                <w:szCs w:val="7"/>
                <w:color w:val="auto"/>
              </w:rPr>
            </w:pPr>
          </w:p>
        </w:tc>
        <w:tc>
          <w:tcPr>
            <w:tcW w:w="500" w:type="dxa"/>
            <w:vAlign w:val="bottom"/>
            <w:tcBorders>
              <w:bottom w:val="single" w:sz="8" w:color="0E191E"/>
            </w:tcBorders>
          </w:tcPr>
          <w:p>
            <w:pPr>
              <w:spacing w:after="0"/>
              <w:rPr>
                <w:sz w:val="7"/>
                <w:szCs w:val="7"/>
                <w:color w:val="auto"/>
              </w:rPr>
            </w:pPr>
          </w:p>
        </w:tc>
        <w:tc>
          <w:tcPr>
            <w:tcW w:w="1300" w:type="dxa"/>
            <w:vAlign w:val="bottom"/>
            <w:tcBorders>
              <w:bottom w:val="single" w:sz="8" w:color="0E191E"/>
            </w:tcBorders>
          </w:tcPr>
          <w:p>
            <w:pPr>
              <w:spacing w:after="0"/>
              <w:rPr>
                <w:sz w:val="7"/>
                <w:szCs w:val="7"/>
                <w:color w:val="auto"/>
              </w:rPr>
            </w:pPr>
          </w:p>
        </w:tc>
        <w:tc>
          <w:tcPr>
            <w:tcW w:w="540" w:type="dxa"/>
            <w:vAlign w:val="bottom"/>
            <w:tcBorders>
              <w:bottom w:val="single" w:sz="8" w:color="0E191E"/>
            </w:tcBorders>
          </w:tcPr>
          <w:p>
            <w:pPr>
              <w:spacing w:after="0"/>
              <w:rPr>
                <w:sz w:val="7"/>
                <w:szCs w:val="7"/>
                <w:color w:val="auto"/>
              </w:rPr>
            </w:pPr>
          </w:p>
        </w:tc>
        <w:tc>
          <w:tcPr>
            <w:tcW w:w="1720" w:type="dxa"/>
            <w:vAlign w:val="bottom"/>
            <w:tcBorders>
              <w:bottom w:val="single" w:sz="8" w:color="0E191E"/>
            </w:tcBorders>
          </w:tcPr>
          <w:p>
            <w:pPr>
              <w:spacing w:after="0"/>
              <w:rPr>
                <w:sz w:val="7"/>
                <w:szCs w:val="7"/>
                <w:color w:val="auto"/>
              </w:rPr>
            </w:pPr>
          </w:p>
        </w:tc>
        <w:tc>
          <w:tcPr>
            <w:tcW w:w="500" w:type="dxa"/>
            <w:vAlign w:val="bottom"/>
            <w:tcBorders>
              <w:bottom w:val="single" w:sz="8" w:color="0E191E"/>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1720" w:type="dxa"/>
            <w:vAlign w:val="bottom"/>
          </w:tcPr>
          <w:p>
            <w:pPr>
              <w:ind w:left="20"/>
              <w:spacing w:after="0"/>
              <w:rPr>
                <w:sz w:val="20"/>
                <w:szCs w:val="20"/>
                <w:color w:val="auto"/>
              </w:rPr>
            </w:pPr>
            <w:r>
              <w:rPr>
                <w:rFonts w:ascii="Arial" w:cs="Arial" w:eastAsia="Arial" w:hAnsi="Arial"/>
                <w:sz w:val="13"/>
                <w:szCs w:val="13"/>
                <w:b w:val="1"/>
                <w:bCs w:val="1"/>
                <w:color w:val="0E191E"/>
              </w:rPr>
              <w:t>Total</w:t>
            </w:r>
          </w:p>
        </w:tc>
        <w:tc>
          <w:tcPr>
            <w:tcW w:w="2180" w:type="dxa"/>
            <w:vAlign w:val="bottom"/>
          </w:tcPr>
          <w:p>
            <w:pPr>
              <w:jc w:val="right"/>
              <w:spacing w:after="0"/>
              <w:rPr>
                <w:sz w:val="20"/>
                <w:szCs w:val="20"/>
                <w:color w:val="auto"/>
              </w:rPr>
            </w:pPr>
            <w:r>
              <w:rPr>
                <w:rFonts w:ascii="Arial" w:cs="Arial" w:eastAsia="Arial" w:hAnsi="Arial"/>
                <w:sz w:val="13"/>
                <w:szCs w:val="13"/>
                <w:b w:val="1"/>
                <w:bCs w:val="1"/>
                <w:color w:val="0E191E"/>
              </w:rPr>
              <w:t>372,844</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0E191E"/>
              </w:rPr>
              <w:t>3,759,322</w:t>
            </w: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3"/>
                <w:szCs w:val="13"/>
                <w:b w:val="1"/>
                <w:bCs w:val="1"/>
                <w:color w:val="0E191E"/>
              </w:rPr>
              <w:t>4,307,166</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74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480" w:hanging="240"/>
        <w:spacing w:after="0"/>
        <w:tabs>
          <w:tab w:leader="none" w:pos="480" w:val="left"/>
        </w:tabs>
        <w:numPr>
          <w:ilvl w:val="0"/>
          <w:numId w:val="36"/>
        </w:numPr>
        <w:rPr>
          <w:rFonts w:ascii="Arial" w:cs="Arial" w:eastAsia="Arial" w:hAnsi="Arial"/>
          <w:sz w:val="15"/>
          <w:szCs w:val="15"/>
          <w:color w:val="auto"/>
        </w:rPr>
      </w:pPr>
      <w:r>
        <w:rPr>
          <w:rFonts w:ascii="Arial" w:cs="Arial" w:eastAsia="Arial" w:hAnsi="Arial"/>
          <w:sz w:val="15"/>
          <w:szCs w:val="15"/>
          <w:color w:val="0E191E"/>
        </w:rPr>
        <w:t>Represents 12 months' continuation of Mr. Rosenbaum's base salary and payment of one times his target annual bonus opportunity.</w:t>
      </w:r>
    </w:p>
    <w:p>
      <w:pPr>
        <w:spacing w:after="0" w:line="70" w:lineRule="exact"/>
        <w:rPr>
          <w:rFonts w:ascii="Arial" w:cs="Arial" w:eastAsia="Arial" w:hAnsi="Arial"/>
          <w:sz w:val="15"/>
          <w:szCs w:val="15"/>
          <w:color w:val="auto"/>
        </w:rPr>
      </w:pPr>
    </w:p>
    <w:p>
      <w:pPr>
        <w:ind w:left="480" w:hanging="240"/>
        <w:spacing w:after="0"/>
        <w:tabs>
          <w:tab w:leader="none" w:pos="480" w:val="left"/>
        </w:tabs>
        <w:numPr>
          <w:ilvl w:val="0"/>
          <w:numId w:val="36"/>
        </w:numPr>
        <w:rPr>
          <w:rFonts w:ascii="Arial" w:cs="Arial" w:eastAsia="Arial" w:hAnsi="Arial"/>
          <w:sz w:val="15"/>
          <w:szCs w:val="15"/>
          <w:color w:val="auto"/>
        </w:rPr>
      </w:pPr>
      <w:r>
        <w:rPr>
          <w:rFonts w:ascii="Arial" w:cs="Arial" w:eastAsia="Arial" w:hAnsi="Arial"/>
          <w:sz w:val="15"/>
          <w:szCs w:val="15"/>
          <w:color w:val="0E191E"/>
        </w:rPr>
        <w:t>Represents 1.5 times the sum of each of Mr. Rosenbaum's base salary and target annual bonus opportunity.</w:t>
      </w:r>
    </w:p>
    <w:p>
      <w:pPr>
        <w:spacing w:after="0" w:line="70" w:lineRule="exact"/>
        <w:rPr>
          <w:rFonts w:ascii="Arial" w:cs="Arial" w:eastAsia="Arial" w:hAnsi="Arial"/>
          <w:sz w:val="15"/>
          <w:szCs w:val="15"/>
          <w:color w:val="auto"/>
        </w:rPr>
      </w:pPr>
    </w:p>
    <w:p>
      <w:pPr>
        <w:ind w:left="480" w:right="280" w:hanging="240"/>
        <w:spacing w:after="0" w:line="267" w:lineRule="auto"/>
        <w:tabs>
          <w:tab w:leader="none" w:pos="480" w:val="left"/>
        </w:tabs>
        <w:numPr>
          <w:ilvl w:val="0"/>
          <w:numId w:val="36"/>
        </w:numPr>
        <w:rPr>
          <w:rFonts w:ascii="Arial" w:cs="Arial" w:eastAsia="Arial" w:hAnsi="Arial"/>
          <w:sz w:val="15"/>
          <w:szCs w:val="15"/>
          <w:color w:val="auto"/>
        </w:rPr>
      </w:pPr>
      <w:r>
        <w:rPr>
          <w:rFonts w:ascii="Arial" w:cs="Arial" w:eastAsia="Arial" w:hAnsi="Arial"/>
          <w:sz w:val="15"/>
          <w:szCs w:val="15"/>
          <w:color w:val="0E191E"/>
        </w:rPr>
        <w:t>Represents the value of the acceleration of vesting of 100% of the executive's unvested Time-Vesting RSUs, 104.3% of half of the fiscal year 2021 Performance-Vesting RSUs, 100% of the other half of the fiscal year 2021 Performance-Vesting RSUs plus 53.49% of the fiscal year 2020 TSR RSUs, all based on the closing price of our common stock as reported on the NYSE on July 30, 2021, which was $115.20. The actual number of TSR RSUs that may vest depends on Guidewire's TSR performance relative to the software companies in the S&amp;P Software and Services Select Industry Index over the performance period ending on the effective date of the change in control.</w:t>
      </w:r>
    </w:p>
    <w:p>
      <w:pPr>
        <w:spacing w:after="0" w:line="39" w:lineRule="exact"/>
        <w:rPr>
          <w:rFonts w:ascii="Arial" w:cs="Arial" w:eastAsia="Arial" w:hAnsi="Arial"/>
          <w:sz w:val="15"/>
          <w:szCs w:val="15"/>
          <w:color w:val="auto"/>
        </w:rPr>
      </w:pPr>
    </w:p>
    <w:p>
      <w:pPr>
        <w:ind w:left="480" w:hanging="240"/>
        <w:spacing w:after="0"/>
        <w:tabs>
          <w:tab w:leader="none" w:pos="480" w:val="left"/>
        </w:tabs>
        <w:numPr>
          <w:ilvl w:val="0"/>
          <w:numId w:val="36"/>
        </w:numPr>
        <w:rPr>
          <w:rFonts w:ascii="Arial" w:cs="Arial" w:eastAsia="Arial" w:hAnsi="Arial"/>
          <w:sz w:val="15"/>
          <w:szCs w:val="15"/>
          <w:color w:val="auto"/>
        </w:rPr>
      </w:pPr>
      <w:r>
        <w:rPr>
          <w:rFonts w:ascii="Arial" w:cs="Arial" w:eastAsia="Arial" w:hAnsi="Arial"/>
          <w:sz w:val="15"/>
          <w:szCs w:val="15"/>
          <w:color w:val="0E191E"/>
        </w:rPr>
        <w:t>Represents 12 months of payment of COBRA premiums for the executive.</w:t>
      </w:r>
    </w:p>
    <w:p>
      <w:pPr>
        <w:spacing w:after="0" w:line="70" w:lineRule="exact"/>
        <w:rPr>
          <w:rFonts w:ascii="Arial" w:cs="Arial" w:eastAsia="Arial" w:hAnsi="Arial"/>
          <w:sz w:val="15"/>
          <w:szCs w:val="15"/>
          <w:color w:val="auto"/>
        </w:rPr>
      </w:pPr>
    </w:p>
    <w:p>
      <w:pPr>
        <w:ind w:left="480" w:hanging="240"/>
        <w:spacing w:after="0"/>
        <w:tabs>
          <w:tab w:leader="none" w:pos="480" w:val="left"/>
        </w:tabs>
        <w:numPr>
          <w:ilvl w:val="0"/>
          <w:numId w:val="36"/>
        </w:numPr>
        <w:rPr>
          <w:rFonts w:ascii="Arial" w:cs="Arial" w:eastAsia="Arial" w:hAnsi="Arial"/>
          <w:sz w:val="15"/>
          <w:szCs w:val="15"/>
          <w:color w:val="auto"/>
        </w:rPr>
      </w:pPr>
      <w:r>
        <w:rPr>
          <w:rFonts w:ascii="Arial" w:cs="Arial" w:eastAsia="Arial" w:hAnsi="Arial"/>
          <w:sz w:val="15"/>
          <w:szCs w:val="15"/>
          <w:color w:val="0E191E"/>
        </w:rPr>
        <w:t>Represents 18 months of payment of COBRA premiums for Mr. Rosenbaum.</w:t>
      </w:r>
    </w:p>
    <w:p>
      <w:pPr>
        <w:spacing w:after="0" w:line="70" w:lineRule="exact"/>
        <w:rPr>
          <w:rFonts w:ascii="Arial" w:cs="Arial" w:eastAsia="Arial" w:hAnsi="Arial"/>
          <w:sz w:val="15"/>
          <w:szCs w:val="15"/>
          <w:color w:val="auto"/>
        </w:rPr>
      </w:pPr>
    </w:p>
    <w:p>
      <w:pPr>
        <w:ind w:left="480" w:hanging="240"/>
        <w:spacing w:after="0"/>
        <w:tabs>
          <w:tab w:leader="none" w:pos="480" w:val="left"/>
        </w:tabs>
        <w:numPr>
          <w:ilvl w:val="0"/>
          <w:numId w:val="36"/>
        </w:numPr>
        <w:rPr>
          <w:rFonts w:ascii="Arial" w:cs="Arial" w:eastAsia="Arial" w:hAnsi="Arial"/>
          <w:sz w:val="15"/>
          <w:szCs w:val="15"/>
          <w:color w:val="auto"/>
        </w:rPr>
      </w:pPr>
      <w:r>
        <w:rPr>
          <w:rFonts w:ascii="Arial" w:cs="Arial" w:eastAsia="Arial" w:hAnsi="Arial"/>
          <w:sz w:val="15"/>
          <w:szCs w:val="15"/>
          <w:color w:val="0E191E"/>
        </w:rPr>
        <w:t>Represents 12 months' continuation of the executive's base salary.</w:t>
      </w:r>
    </w:p>
    <w:p>
      <w:pPr>
        <w:spacing w:after="0" w:line="70" w:lineRule="exact"/>
        <w:rPr>
          <w:rFonts w:ascii="Arial" w:cs="Arial" w:eastAsia="Arial" w:hAnsi="Arial"/>
          <w:sz w:val="15"/>
          <w:szCs w:val="15"/>
          <w:color w:val="auto"/>
        </w:rPr>
      </w:pPr>
    </w:p>
    <w:p>
      <w:pPr>
        <w:ind w:left="480" w:hanging="240"/>
        <w:spacing w:after="0"/>
        <w:tabs>
          <w:tab w:leader="none" w:pos="480" w:val="left"/>
        </w:tabs>
        <w:numPr>
          <w:ilvl w:val="0"/>
          <w:numId w:val="36"/>
        </w:numPr>
        <w:rPr>
          <w:rFonts w:ascii="Arial" w:cs="Arial" w:eastAsia="Arial" w:hAnsi="Arial"/>
          <w:sz w:val="15"/>
          <w:szCs w:val="15"/>
          <w:color w:val="auto"/>
        </w:rPr>
      </w:pPr>
      <w:r>
        <w:rPr>
          <w:rFonts w:ascii="Arial" w:cs="Arial" w:eastAsia="Arial" w:hAnsi="Arial"/>
          <w:sz w:val="15"/>
          <w:szCs w:val="15"/>
          <w:color w:val="0E191E"/>
        </w:rPr>
        <w:t>Represents one times the sum of the executive's base salary and target annual bonus opportunity.</w:t>
      </w:r>
    </w:p>
    <w:p>
      <w:pPr>
        <w:spacing w:after="0" w:line="70" w:lineRule="exact"/>
        <w:rPr>
          <w:rFonts w:ascii="Arial" w:cs="Arial" w:eastAsia="Arial" w:hAnsi="Arial"/>
          <w:sz w:val="15"/>
          <w:szCs w:val="15"/>
          <w:color w:val="auto"/>
        </w:rPr>
      </w:pPr>
    </w:p>
    <w:p>
      <w:pPr>
        <w:ind w:left="480" w:right="520" w:hanging="240"/>
        <w:spacing w:after="0" w:line="279" w:lineRule="auto"/>
        <w:tabs>
          <w:tab w:leader="none" w:pos="480" w:val="left"/>
        </w:tabs>
        <w:numPr>
          <w:ilvl w:val="0"/>
          <w:numId w:val="36"/>
        </w:numPr>
        <w:rPr>
          <w:rFonts w:ascii="Arial" w:cs="Arial" w:eastAsia="Arial" w:hAnsi="Arial"/>
          <w:sz w:val="15"/>
          <w:szCs w:val="15"/>
          <w:color w:val="auto"/>
        </w:rPr>
      </w:pPr>
      <w:r>
        <w:rPr>
          <w:rFonts w:ascii="Arial" w:cs="Arial" w:eastAsia="Arial" w:hAnsi="Arial"/>
          <w:sz w:val="15"/>
          <w:szCs w:val="15"/>
          <w:color w:val="0E191E"/>
        </w:rPr>
        <w:t>Represents the value of the acceleration of vesting of 25% of Mr. Rosenbaum's outstanding initial Time-Vesting RSUs, based on the closing price of our common stock as reported on the NYSE on July 30, 2021, which was $115.20.</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CEO Pay Ratio</w:t>
      </w:r>
    </w:p>
    <w:p>
      <w:pPr>
        <w:spacing w:after="0" w:line="136" w:lineRule="exact"/>
        <w:rPr>
          <w:sz w:val="20"/>
          <w:szCs w:val="20"/>
          <w:color w:val="auto"/>
        </w:rPr>
      </w:pPr>
    </w:p>
    <w:p>
      <w:pPr>
        <w:ind w:right="520"/>
        <w:spacing w:after="0" w:line="306" w:lineRule="auto"/>
        <w:rPr>
          <w:sz w:val="20"/>
          <w:szCs w:val="20"/>
          <w:color w:val="auto"/>
        </w:rPr>
      </w:pPr>
      <w:r>
        <w:rPr>
          <w:rFonts w:ascii="Arial" w:cs="Arial" w:eastAsia="Arial" w:hAnsi="Arial"/>
          <w:sz w:val="15"/>
          <w:szCs w:val="15"/>
          <w:color w:val="0E191E"/>
        </w:rPr>
        <w:t>Our compensation and benefits philosophy and the overall structure of our compensation and benefit programs are broadly similar across the organization to encourage and reward all employees who contribute to our success. We strive to ensure the pay of every employee reflects the level of their job impact and responsibilities and is competitive within our peer group. Our ongoing commitment to pay equity is critical to our success in supporting a diverse workforce with opportunities for all employees to grow, develop, and contribute.</w:t>
      </w:r>
    </w:p>
    <w:p>
      <w:pPr>
        <w:spacing w:after="0" w:line="358"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55</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5" w:right="339" w:bottom="1440" w:gutter="0" w:footer="0" w:header="0"/>
        </w:sectPr>
      </w:pPr>
    </w:p>
    <w:bookmarkStart w:id="59" w:name="page60"/>
    <w:bookmarkEnd w:id="59"/>
    <w:p>
      <w:pPr>
        <w:jc w:val="both"/>
        <w:ind w:right="100"/>
        <w:spacing w:after="0" w:line="308" w:lineRule="auto"/>
        <w:rPr>
          <w:sz w:val="20"/>
          <w:szCs w:val="20"/>
          <w:color w:val="auto"/>
        </w:rPr>
      </w:pPr>
      <w:r>
        <w:rPr>
          <w:rFonts w:ascii="Arial" w:cs="Arial" w:eastAsia="Arial" w:hAnsi="Arial"/>
          <w:sz w:val="15"/>
          <w:szCs w:val="15"/>
          <w:color w:val="0E191E"/>
        </w:rPr>
        <w:t>Under rules adopted pursuant to the Dodd-Frank Act, we are required to calculate and disclose the total compensation paid to our median paid employee, as well as the ratio of the total compensation paid to the median employee as compared to the total compensation paid to our CEO (the “CEO Pay Ratio”). The paragraphs that follow describe our methodology and the resulting CEO Pay Ratio.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1EB7DF"/>
        </w:rPr>
        <w:t>Measurement Date</w:t>
      </w:r>
    </w:p>
    <w:p>
      <w:pPr>
        <w:spacing w:after="0" w:line="47" w:lineRule="exact"/>
        <w:rPr>
          <w:sz w:val="20"/>
          <w:szCs w:val="20"/>
          <w:color w:val="auto"/>
        </w:rPr>
      </w:pPr>
    </w:p>
    <w:p>
      <w:pPr>
        <w:jc w:val="both"/>
        <w:ind w:right="280"/>
        <w:spacing w:after="0" w:line="308" w:lineRule="auto"/>
        <w:rPr>
          <w:sz w:val="20"/>
          <w:szCs w:val="20"/>
          <w:color w:val="auto"/>
        </w:rPr>
      </w:pPr>
      <w:r>
        <w:rPr>
          <w:rFonts w:ascii="Arial" w:cs="Arial" w:eastAsia="Arial" w:hAnsi="Arial"/>
          <w:sz w:val="15"/>
          <w:szCs w:val="15"/>
          <w:color w:val="0E191E"/>
        </w:rPr>
        <w:t>Although we are permitted by the SEC rules to use the same median employee that was identified for purposes of our fiscal year 2020 disclosure for the CEO Pay Ratio, we did not use such employee as we did not believe that such employee continued to be representative of the median. Instead, we re-identified our median employee using our employee population on May 1, 2021 (including all employees, whether employed on a full-time, part-time, seasonal, or temporary basis).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1EB7DF"/>
        </w:rPr>
        <w:t>Consistently Applied Compensation Measure (CACM)</w:t>
      </w:r>
    </w:p>
    <w:p>
      <w:pPr>
        <w:spacing w:after="0" w:line="47"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color w:val="0E191E"/>
        </w:rPr>
        <w:t>Under the relevant rules, we were required to identify the median employee by use of a “consistently applied compensation measure,” or CACM. We chose a CACM that closely approximates the annual target total direct compensation of our employees. Specifically, we identified the median employee by looking at annual base pay, annual target cash incentive opportunity, and the grant date fair value for equity awards granted as of May 1, 2021 for all active employees as of that date. The value of our 401(k) plan and health and welfare benefits provided was excluded as all employees, including the CEO, are offered the same benefits. We did not perform adjustments to the compensation paid to part-time employees to calculate what they would have been paid on a full-time basis. In identifying the median employee, we did not exclude workers in non-U.S. countries and did not make any cost-of-living adjustments. This methodology resulted in the identification of two median employees, as there was an even number of employees. We selected from among the two a U.S. employee whose annual total compensation for fiscal year 2021 was more representative of the median.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1EB7DF"/>
        </w:rPr>
        <w:t>Methodology and Pay Ratio</w:t>
      </w:r>
    </w:p>
    <w:p>
      <w:pPr>
        <w:spacing w:after="0" w:line="47" w:lineRule="exact"/>
        <w:rPr>
          <w:sz w:val="20"/>
          <w:szCs w:val="20"/>
          <w:color w:val="auto"/>
        </w:rPr>
      </w:pPr>
    </w:p>
    <w:p>
      <w:pPr>
        <w:ind w:right="140"/>
        <w:spacing w:after="0" w:line="317" w:lineRule="auto"/>
        <w:rPr>
          <w:sz w:val="20"/>
          <w:szCs w:val="20"/>
          <w:color w:val="auto"/>
        </w:rPr>
      </w:pPr>
      <w:r>
        <w:rPr>
          <w:rFonts w:ascii="Arial" w:cs="Arial" w:eastAsia="Arial" w:hAnsi="Arial"/>
          <w:sz w:val="15"/>
          <w:szCs w:val="15"/>
          <w:color w:val="0E191E"/>
        </w:rPr>
        <w:t>After applying our CACM methodology, we identified the median employee. Once the median employee was identified, we calculated the median employee’s annual target total direct compensation in accordance with the requirements of the Summary Compensation Table.</w:t>
      </w:r>
    </w:p>
    <w:p>
      <w:pPr>
        <w:spacing w:after="0" w:line="138" w:lineRule="exact"/>
        <w:rPr>
          <w:sz w:val="20"/>
          <w:szCs w:val="20"/>
          <w:color w:val="auto"/>
        </w:rPr>
      </w:pPr>
    </w:p>
    <w:p>
      <w:pPr>
        <w:ind w:right="100"/>
        <w:spacing w:after="0" w:line="308" w:lineRule="auto"/>
        <w:rPr>
          <w:sz w:val="20"/>
          <w:szCs w:val="20"/>
          <w:color w:val="auto"/>
        </w:rPr>
      </w:pPr>
      <w:r>
        <w:rPr>
          <w:rFonts w:ascii="Arial" w:cs="Arial" w:eastAsia="Arial" w:hAnsi="Arial"/>
          <w:sz w:val="15"/>
          <w:szCs w:val="15"/>
          <w:color w:val="0E191E"/>
        </w:rPr>
        <w:t>Our median employee compensation as calculated using Summary Compensation Table requirements (excluding 401(k) matching contributions and health and welfare benefits) was $165,007. Our CEO’s compensation as reported in the Summary Compensation Table (excluding 401(k) matching contributions and health and welfare benefits) was $8,229,122. Therefore, our CEO Pay Ratio is approximately 50:1.</w:t>
      </w:r>
    </w:p>
    <w:p>
      <w:pPr>
        <w:spacing w:after="0" w:line="146" w:lineRule="exact"/>
        <w:rPr>
          <w:sz w:val="20"/>
          <w:szCs w:val="20"/>
          <w:color w:val="auto"/>
        </w:rPr>
      </w:pPr>
    </w:p>
    <w:p>
      <w:pPr>
        <w:ind w:right="100"/>
        <w:spacing w:after="0" w:line="303" w:lineRule="auto"/>
        <w:rPr>
          <w:sz w:val="20"/>
          <w:szCs w:val="20"/>
          <w:color w:val="auto"/>
        </w:rPr>
      </w:pPr>
      <w:r>
        <w:rPr>
          <w:rFonts w:ascii="Arial" w:cs="Arial" w:eastAsia="Arial" w:hAnsi="Arial"/>
          <w:sz w:val="15"/>
          <w:szCs w:val="15"/>
          <w:color w:val="0E191E"/>
        </w:rPr>
        <w:t>This information is being provided for compliance purposes and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Equity Compensation Plan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0E191E"/>
        </w:rPr>
        <w:t>The following table provides information as of July 31, 2021 regarding shares of common stock that may be issued under the Company's 2011 and 2020 Stock Plans.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shd w:val="clear" w:color="auto" w:fill="00739D"/>
          </w:tcPr>
          <w:p>
            <w:pPr>
              <w:spacing w:after="0"/>
              <w:rPr>
                <w:sz w:val="14"/>
                <w:szCs w:val="14"/>
                <w:color w:val="auto"/>
              </w:rPr>
            </w:pPr>
          </w:p>
        </w:tc>
        <w:tc>
          <w:tcPr>
            <w:tcW w:w="21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Number of securities to be</w:t>
            </w:r>
          </w:p>
        </w:tc>
        <w:tc>
          <w:tcPr>
            <w:tcW w:w="2220" w:type="dxa"/>
            <w:vAlign w:val="bottom"/>
            <w:shd w:val="clear" w:color="auto" w:fill="00739D"/>
          </w:tcPr>
          <w:p>
            <w:pPr>
              <w:spacing w:after="0"/>
              <w:rPr>
                <w:sz w:val="14"/>
                <w:szCs w:val="14"/>
                <w:color w:val="auto"/>
              </w:rPr>
            </w:pPr>
          </w:p>
        </w:tc>
        <w:tc>
          <w:tcPr>
            <w:tcW w:w="3620" w:type="dxa"/>
            <w:vAlign w:val="bottom"/>
            <w:shd w:val="clear" w:color="auto" w:fill="00739D"/>
          </w:tcPr>
          <w:p>
            <w:pPr>
              <w:spacing w:after="0"/>
              <w:rPr>
                <w:sz w:val="14"/>
                <w:szCs w:val="14"/>
                <w:color w:val="auto"/>
              </w:rPr>
            </w:pPr>
          </w:p>
        </w:tc>
      </w:tr>
      <w:tr>
        <w:trPr>
          <w:trHeight w:val="162"/>
        </w:trPr>
        <w:tc>
          <w:tcPr>
            <w:tcW w:w="3260" w:type="dxa"/>
            <w:vAlign w:val="bottom"/>
            <w:shd w:val="clear" w:color="auto" w:fill="00739D"/>
          </w:tcPr>
          <w:p>
            <w:pPr>
              <w:spacing w:after="0"/>
              <w:rPr>
                <w:sz w:val="14"/>
                <w:szCs w:val="14"/>
                <w:color w:val="auto"/>
              </w:rPr>
            </w:pPr>
          </w:p>
        </w:tc>
        <w:tc>
          <w:tcPr>
            <w:tcW w:w="21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issued upon exercise of</w:t>
            </w:r>
          </w:p>
        </w:tc>
        <w:tc>
          <w:tcPr>
            <w:tcW w:w="22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Weighted average exercise price</w:t>
            </w:r>
          </w:p>
        </w:tc>
        <w:tc>
          <w:tcPr>
            <w:tcW w:w="36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Number of securities remaining available for future</w:t>
            </w:r>
          </w:p>
        </w:tc>
      </w:tr>
      <w:tr>
        <w:trPr>
          <w:trHeight w:val="162"/>
        </w:trPr>
        <w:tc>
          <w:tcPr>
            <w:tcW w:w="3260" w:type="dxa"/>
            <w:vAlign w:val="bottom"/>
            <w:shd w:val="clear" w:color="auto" w:fill="00739D"/>
          </w:tcPr>
          <w:p>
            <w:pPr>
              <w:spacing w:after="0"/>
              <w:rPr>
                <w:sz w:val="14"/>
                <w:szCs w:val="14"/>
                <w:color w:val="auto"/>
              </w:rPr>
            </w:pPr>
          </w:p>
        </w:tc>
        <w:tc>
          <w:tcPr>
            <w:tcW w:w="21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outstanding options, warrants,</w:t>
            </w:r>
          </w:p>
        </w:tc>
        <w:tc>
          <w:tcPr>
            <w:tcW w:w="22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of outstanding options,</w:t>
            </w:r>
          </w:p>
        </w:tc>
        <w:tc>
          <w:tcPr>
            <w:tcW w:w="36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issuance under equity compensation plan (excluding</w:t>
            </w:r>
          </w:p>
        </w:tc>
      </w:tr>
      <w:tr>
        <w:trPr>
          <w:trHeight w:val="178"/>
        </w:trPr>
        <w:tc>
          <w:tcPr>
            <w:tcW w:w="326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Plan category</w:t>
            </w:r>
          </w:p>
        </w:tc>
        <w:tc>
          <w:tcPr>
            <w:tcW w:w="21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and rights</w:t>
            </w:r>
          </w:p>
        </w:tc>
        <w:tc>
          <w:tcPr>
            <w:tcW w:w="22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warrants, and rights</w:t>
            </w:r>
          </w:p>
        </w:tc>
        <w:tc>
          <w:tcPr>
            <w:tcW w:w="36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securities referenced in first column)</w:t>
            </w:r>
          </w:p>
        </w:tc>
      </w:tr>
      <w:tr>
        <w:trPr>
          <w:trHeight w:val="122"/>
        </w:trPr>
        <w:tc>
          <w:tcPr>
            <w:tcW w:w="3260" w:type="dxa"/>
            <w:vAlign w:val="bottom"/>
            <w:shd w:val="clear" w:color="auto" w:fill="00739D"/>
          </w:tcPr>
          <w:p>
            <w:pPr>
              <w:spacing w:after="0"/>
              <w:rPr>
                <w:sz w:val="10"/>
                <w:szCs w:val="10"/>
                <w:color w:val="auto"/>
              </w:rPr>
            </w:pPr>
          </w:p>
        </w:tc>
        <w:tc>
          <w:tcPr>
            <w:tcW w:w="2140" w:type="dxa"/>
            <w:vAlign w:val="bottom"/>
            <w:shd w:val="clear" w:color="auto" w:fill="00739D"/>
          </w:tcPr>
          <w:p>
            <w:pPr>
              <w:spacing w:after="0"/>
              <w:rPr>
                <w:sz w:val="10"/>
                <w:szCs w:val="10"/>
                <w:color w:val="auto"/>
              </w:rPr>
            </w:pPr>
          </w:p>
        </w:tc>
        <w:tc>
          <w:tcPr>
            <w:tcW w:w="2220" w:type="dxa"/>
            <w:vAlign w:val="bottom"/>
            <w:shd w:val="clear" w:color="auto" w:fill="00739D"/>
          </w:tcPr>
          <w:p>
            <w:pPr>
              <w:spacing w:after="0"/>
              <w:rPr>
                <w:sz w:val="10"/>
                <w:szCs w:val="10"/>
                <w:color w:val="auto"/>
              </w:rPr>
            </w:pPr>
          </w:p>
        </w:tc>
        <w:tc>
          <w:tcPr>
            <w:tcW w:w="3620" w:type="dxa"/>
            <w:vAlign w:val="bottom"/>
            <w:shd w:val="clear" w:color="auto" w:fill="00739D"/>
          </w:tcPr>
          <w:p>
            <w:pPr>
              <w:spacing w:after="0"/>
              <w:rPr>
                <w:sz w:val="10"/>
                <w:szCs w:val="10"/>
                <w:color w:val="auto"/>
              </w:rPr>
            </w:pPr>
          </w:p>
        </w:tc>
      </w:tr>
    </w:tbl>
    <w:p>
      <w:pPr>
        <w:spacing w:after="0" w:line="26" w:lineRule="exact"/>
        <w:rPr>
          <w:sz w:val="20"/>
          <w:szCs w:val="20"/>
          <w:color w:val="auto"/>
        </w:rPr>
      </w:pPr>
    </w:p>
    <w:p>
      <w:pPr>
        <w:sectPr>
          <w:pgSz w:w="11900" w:h="16838" w:orient="portrait"/>
          <w:cols w:equalWidth="0" w:num="1">
            <w:col w:w="11240"/>
          </w:cols>
          <w:pgMar w:left="320" w:top="811" w:right="339" w:bottom="1440" w:gutter="0" w:footer="0" w:header="0"/>
        </w:sectPr>
      </w:pPr>
    </w:p>
    <w:p>
      <w:pPr>
        <w:ind w:left="100" w:right="320"/>
        <w:spacing w:after="0" w:line="262" w:lineRule="auto"/>
        <w:rPr>
          <w:sz w:val="20"/>
          <w:szCs w:val="20"/>
          <w:color w:val="auto"/>
        </w:rPr>
      </w:pPr>
      <w:r>
        <w:rPr>
          <w:rFonts w:ascii="Arial" w:cs="Arial" w:eastAsia="Arial" w:hAnsi="Arial"/>
          <w:sz w:val="13"/>
          <w:szCs w:val="13"/>
          <w:color w:val="0E191E"/>
        </w:rPr>
        <w:t xml:space="preserve">Equity compensation plans approved by security holders </w:t>
      </w:r>
      <w:r>
        <w:rPr>
          <w:rFonts w:ascii="Arial" w:cs="Arial" w:eastAsia="Arial" w:hAnsi="Arial"/>
          <w:sz w:val="17"/>
          <w:szCs w:val="17"/>
          <w:color w:val="0E191E"/>
          <w:vertAlign w:val="superscript"/>
        </w:rPr>
        <w:t>(1)</w:t>
      </w:r>
    </w:p>
    <w:p>
      <w:pPr>
        <w:spacing w:after="0" w:line="1" w:lineRule="exact"/>
        <w:rPr>
          <w:sz w:val="20"/>
          <w:szCs w:val="20"/>
          <w:color w:val="auto"/>
        </w:rPr>
      </w:pPr>
    </w:p>
    <w:p>
      <w:pPr>
        <w:ind w:left="100" w:right="100"/>
        <w:spacing w:after="0" w:line="280" w:lineRule="auto"/>
        <w:rPr>
          <w:sz w:val="20"/>
          <w:szCs w:val="20"/>
          <w:color w:val="auto"/>
        </w:rPr>
      </w:pPr>
      <w:r>
        <w:rPr>
          <w:rFonts w:ascii="Arial" w:cs="Arial" w:eastAsia="Arial" w:hAnsi="Arial"/>
          <w:sz w:val="13"/>
          <w:szCs w:val="13"/>
          <w:color w:val="0E191E"/>
        </w:rPr>
        <w:t>Equity compensation plans not approved by security holders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2220" w:val="left"/>
          <w:tab w:leader="none" w:pos="5060" w:val="left"/>
        </w:tabs>
        <w:rPr>
          <w:sz w:val="20"/>
          <w:szCs w:val="20"/>
          <w:color w:val="auto"/>
        </w:rPr>
      </w:pPr>
      <w:r>
        <w:rPr>
          <w:rFonts w:ascii="Arial" w:cs="Arial" w:eastAsia="Arial" w:hAnsi="Arial"/>
          <w:sz w:val="13"/>
          <w:szCs w:val="13"/>
          <w:color w:val="0E191E"/>
        </w:rPr>
        <w:t>2,435,461</w:t>
      </w:r>
      <w:r>
        <w:rPr>
          <w:sz w:val="20"/>
          <w:szCs w:val="20"/>
          <w:color w:val="auto"/>
        </w:rPr>
        <w:tab/>
      </w:r>
      <w:r>
        <w:rPr>
          <w:rFonts w:ascii="Arial" w:cs="Arial" w:eastAsia="Arial" w:hAnsi="Arial"/>
          <w:sz w:val="13"/>
          <w:szCs w:val="13"/>
          <w:color w:val="0E191E"/>
        </w:rPr>
        <w:t>17.39</w:t>
      </w:r>
      <w:r>
        <w:rPr>
          <w:rFonts w:ascii="Arial" w:cs="Arial" w:eastAsia="Arial" w:hAnsi="Arial"/>
          <w:sz w:val="17"/>
          <w:szCs w:val="17"/>
          <w:color w:val="0E191E"/>
          <w:vertAlign w:val="superscript"/>
        </w:rPr>
        <w:t>(2)</w:t>
      </w:r>
      <w:r>
        <w:rPr>
          <w:sz w:val="20"/>
          <w:szCs w:val="20"/>
          <w:color w:val="auto"/>
        </w:rPr>
        <w:tab/>
      </w:r>
      <w:r>
        <w:rPr>
          <w:rFonts w:ascii="Arial" w:cs="Arial" w:eastAsia="Arial" w:hAnsi="Arial"/>
          <w:sz w:val="13"/>
          <w:szCs w:val="13"/>
          <w:color w:val="0E191E"/>
        </w:rPr>
        <w:t>5,014,069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47625</wp:posOffset>
            </wp:positionV>
            <wp:extent cx="713232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63" w:lineRule="exact"/>
        <w:rPr>
          <w:sz w:val="20"/>
          <w:szCs w:val="20"/>
          <w:color w:val="auto"/>
        </w:rPr>
      </w:pPr>
    </w:p>
    <w:p>
      <w:pPr>
        <w:ind w:left="240"/>
        <w:spacing w:after="0"/>
        <w:tabs>
          <w:tab w:leader="none" w:pos="2380" w:val="left"/>
          <w:tab w:leader="none" w:pos="5280" w:val="left"/>
        </w:tabs>
        <w:rPr>
          <w:sz w:val="20"/>
          <w:szCs w:val="20"/>
          <w:color w:val="auto"/>
        </w:rPr>
      </w:pPr>
      <w:r>
        <w:rPr>
          <w:rFonts w:ascii="Arial" w:cs="Arial" w:eastAsia="Arial" w:hAnsi="Arial"/>
          <w:sz w:val="13"/>
          <w:szCs w:val="13"/>
          <w:color w:val="0E191E"/>
        </w:rPr>
        <w:t>—</w:t>
      </w:r>
      <w:r>
        <w:rPr>
          <w:sz w:val="20"/>
          <w:szCs w:val="20"/>
          <w:color w:val="auto"/>
        </w:rPr>
        <w:tab/>
      </w:r>
      <w:r>
        <w:rPr>
          <w:rFonts w:ascii="Arial" w:cs="Arial" w:eastAsia="Arial" w:hAnsi="Arial"/>
          <w:sz w:val="13"/>
          <w:szCs w:val="13"/>
          <w:color w:val="0E191E"/>
        </w:rPr>
        <w:t>—</w:t>
      </w:r>
      <w:r>
        <w:rPr>
          <w:sz w:val="20"/>
          <w:szCs w:val="20"/>
          <w:color w:val="auto"/>
        </w:rPr>
        <w:tab/>
      </w:r>
      <w:r>
        <w:rPr>
          <w:rFonts w:ascii="Arial" w:cs="Arial" w:eastAsia="Arial" w:hAnsi="Arial"/>
          <w:sz w:val="13"/>
          <w:szCs w:val="13"/>
          <w:color w:val="0E191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76835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5" w:lineRule="exact"/>
        <w:rPr>
          <w:sz w:val="20"/>
          <w:szCs w:val="20"/>
          <w:color w:val="auto"/>
        </w:rPr>
      </w:pPr>
    </w:p>
    <w:p>
      <w:pPr>
        <w:sectPr>
          <w:pgSz w:w="11900" w:h="16838" w:orient="portrait"/>
          <w:cols w:equalWidth="0" w:num="2">
            <w:col w:w="3320" w:space="720"/>
            <w:col w:w="7200"/>
          </w:cols>
          <w:pgMar w:left="320" w:top="811" w:right="3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2240" w:type="dxa"/>
            <w:vAlign w:val="bottom"/>
          </w:tcPr>
          <w:p>
            <w:pPr>
              <w:ind w:left="100"/>
              <w:spacing w:after="0"/>
              <w:rPr>
                <w:sz w:val="20"/>
                <w:szCs w:val="20"/>
                <w:color w:val="auto"/>
              </w:rPr>
            </w:pPr>
            <w:r>
              <w:rPr>
                <w:rFonts w:ascii="Arial" w:cs="Arial" w:eastAsia="Arial" w:hAnsi="Arial"/>
                <w:sz w:val="13"/>
                <w:szCs w:val="13"/>
                <w:b w:val="1"/>
                <w:bCs w:val="1"/>
                <w:color w:val="0E191E"/>
              </w:rPr>
              <w:t>Total</w:t>
            </w:r>
          </w:p>
        </w:tc>
        <w:tc>
          <w:tcPr>
            <w:tcW w:w="4640" w:type="dxa"/>
            <w:vAlign w:val="bottom"/>
          </w:tcPr>
          <w:p>
            <w:pPr>
              <w:jc w:val="right"/>
              <w:ind w:right="2173"/>
              <w:spacing w:after="0"/>
              <w:rPr>
                <w:sz w:val="20"/>
                <w:szCs w:val="20"/>
                <w:color w:val="auto"/>
              </w:rPr>
            </w:pPr>
            <w:r>
              <w:rPr>
                <w:rFonts w:ascii="Arial" w:cs="Arial" w:eastAsia="Arial" w:hAnsi="Arial"/>
                <w:sz w:val="13"/>
                <w:szCs w:val="13"/>
                <w:b w:val="1"/>
                <w:bCs w:val="1"/>
                <w:color w:val="0E191E"/>
              </w:rPr>
              <w:t>2,435,461</w:t>
            </w:r>
          </w:p>
        </w:tc>
        <w:tc>
          <w:tcPr>
            <w:tcW w:w="4360" w:type="dxa"/>
            <w:vAlign w:val="bottom"/>
          </w:tcPr>
          <w:p>
            <w:pPr>
              <w:jc w:val="right"/>
              <w:ind w:right="1453"/>
              <w:spacing w:after="0"/>
              <w:rPr>
                <w:sz w:val="20"/>
                <w:szCs w:val="20"/>
                <w:color w:val="auto"/>
              </w:rPr>
            </w:pPr>
            <w:r>
              <w:rPr>
                <w:rFonts w:ascii="Arial" w:cs="Arial" w:eastAsia="Arial" w:hAnsi="Arial"/>
                <w:sz w:val="13"/>
                <w:szCs w:val="13"/>
                <w:b w:val="1"/>
                <w:bCs w:val="1"/>
                <w:color w:val="0E191E"/>
              </w:rPr>
              <w:t>5,014,069</w:t>
            </w:r>
          </w:p>
        </w:tc>
      </w:tr>
      <w:tr>
        <w:trPr>
          <w:trHeight w:val="28"/>
        </w:trPr>
        <w:tc>
          <w:tcPr>
            <w:tcW w:w="224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bl>
    <w:p>
      <w:pPr>
        <w:spacing w:after="0" w:line="343"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56</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1" w:right="339" w:bottom="1440" w:gutter="0" w:footer="0" w:header="0"/>
          <w:type w:val="continuous"/>
        </w:sectPr>
      </w:pPr>
    </w:p>
    <w:bookmarkStart w:id="60" w:name="page61"/>
    <w:bookmarkEnd w:id="60"/>
    <w:p>
      <w:pPr>
        <w:ind w:left="225" w:hanging="225"/>
        <w:spacing w:after="0" w:line="267" w:lineRule="auto"/>
        <w:tabs>
          <w:tab w:leader="none" w:pos="225" w:val="left"/>
        </w:tabs>
        <w:numPr>
          <w:ilvl w:val="0"/>
          <w:numId w:val="37"/>
        </w:numPr>
        <w:rPr>
          <w:rFonts w:ascii="Arial" w:cs="Arial" w:eastAsia="Arial" w:hAnsi="Arial"/>
          <w:sz w:val="15"/>
          <w:szCs w:val="15"/>
          <w:color w:val="auto"/>
        </w:rPr>
      </w:pPr>
      <w:r>
        <w:rPr>
          <w:rFonts w:ascii="Arial" w:cs="Arial" w:eastAsia="Arial" w:hAnsi="Arial"/>
          <w:sz w:val="15"/>
          <w:szCs w:val="15"/>
          <w:color w:val="0E191E"/>
        </w:rPr>
        <w:t>Includes the following plans: our 2011 Stock Plan and 2020 Stock Plan. The number under the 2020 Stock Plan will be subject to adjustment in the event of a stock split, stock dividend or other change in our capitalization. The shares of Company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2011 Stock Plan will be added to the shares of stock available for issuance under the 2020 Stock Plan. The Company no longer makes grants under the 2006 Stock Plan, the 2009 Stock Plan, the 2010 Stock Plan or the 2011 Stock Plan.</w:t>
      </w:r>
    </w:p>
    <w:p>
      <w:pPr>
        <w:spacing w:after="0" w:line="228" w:lineRule="exact"/>
        <w:rPr>
          <w:rFonts w:ascii="Arial" w:cs="Arial" w:eastAsia="Arial" w:hAnsi="Arial"/>
          <w:sz w:val="15"/>
          <w:szCs w:val="15"/>
          <w:color w:val="auto"/>
        </w:rPr>
      </w:pPr>
    </w:p>
    <w:p>
      <w:pPr>
        <w:ind w:left="225" w:hanging="225"/>
        <w:spacing w:after="0"/>
        <w:tabs>
          <w:tab w:leader="none" w:pos="225" w:val="left"/>
        </w:tabs>
        <w:numPr>
          <w:ilvl w:val="0"/>
          <w:numId w:val="37"/>
        </w:numPr>
        <w:rPr>
          <w:rFonts w:ascii="Arial" w:cs="Arial" w:eastAsia="Arial" w:hAnsi="Arial"/>
          <w:sz w:val="15"/>
          <w:szCs w:val="15"/>
          <w:color w:val="auto"/>
        </w:rPr>
      </w:pPr>
      <w:r>
        <w:rPr>
          <w:rFonts w:ascii="Arial" w:cs="Arial" w:eastAsia="Arial" w:hAnsi="Arial"/>
          <w:sz w:val="15"/>
          <w:szCs w:val="15"/>
          <w:color w:val="0E191E"/>
        </w:rPr>
        <w:t>Excludes 2,410,183 shares subject to RSUs outstanding as of July 31, 2021, as such shares have no exercise price.</w:t>
      </w:r>
    </w:p>
    <w:p>
      <w:pPr>
        <w:spacing w:after="0" w:line="377" w:lineRule="exact"/>
        <w:rPr>
          <w:sz w:val="20"/>
          <w:szCs w:val="20"/>
          <w:color w:val="auto"/>
        </w:rPr>
      </w:pPr>
    </w:p>
    <w:tbl>
      <w:tblPr>
        <w:tblLayout w:type="fixed"/>
        <w:tblInd w:w="3305"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57</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25"/>
          </w:cols>
          <w:pgMar w:left="555" w:top="852" w:right="419" w:bottom="1440" w:gutter="0" w:footer="0" w:header="0"/>
        </w:sectPr>
      </w:pPr>
    </w:p>
    <w:bookmarkStart w:id="61" w:name="page62"/>
    <w:bookmarkEnd w:id="61"/>
    <w:p>
      <w:pPr>
        <w:spacing w:after="0"/>
        <w:rPr>
          <w:sz w:val="20"/>
          <w:szCs w:val="20"/>
          <w:color w:val="auto"/>
        </w:rPr>
      </w:pPr>
      <w:r>
        <w:rPr>
          <w:rFonts w:ascii="Arial" w:cs="Arial" w:eastAsia="Arial" w:hAnsi="Arial"/>
          <w:sz w:val="32"/>
          <w:szCs w:val="32"/>
          <w:b w:val="1"/>
          <w:bCs w:val="1"/>
          <w:color w:val="0E191E"/>
        </w:rPr>
        <w:t>Ownership of Guidewire Software, Inc. Common Stock</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0E191E"/>
        </w:rPr>
        <w:t>The following table sets forth, as of October 19, 2021, the record date, the shares of our common stock beneficially owned by:</w:t>
      </w:r>
    </w:p>
    <w:p>
      <w:pPr>
        <w:spacing w:after="0" w:line="152" w:lineRule="exact"/>
        <w:rPr>
          <w:sz w:val="20"/>
          <w:szCs w:val="20"/>
          <w:color w:val="auto"/>
        </w:rPr>
      </w:pPr>
    </w:p>
    <w:p>
      <w:pPr>
        <w:ind w:left="500" w:hanging="168"/>
        <w:spacing w:after="0"/>
        <w:tabs>
          <w:tab w:leader="none" w:pos="500" w:val="left"/>
        </w:tabs>
        <w:numPr>
          <w:ilvl w:val="0"/>
          <w:numId w:val="38"/>
        </w:numPr>
        <w:rPr>
          <w:rFonts w:ascii="Arial" w:cs="Arial" w:eastAsia="Arial" w:hAnsi="Arial"/>
          <w:sz w:val="15"/>
          <w:szCs w:val="15"/>
          <w:color w:val="0E191E"/>
        </w:rPr>
      </w:pPr>
      <w:r>
        <w:rPr>
          <w:rFonts w:ascii="Arial" w:cs="Arial" w:eastAsia="Arial" w:hAnsi="Arial"/>
          <w:sz w:val="15"/>
          <w:szCs w:val="15"/>
          <w:color w:val="0E191E"/>
        </w:rPr>
        <w:t>Each person known by us to own beneficially more than 5% of our common stock;</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38"/>
        </w:numPr>
        <w:rPr>
          <w:rFonts w:ascii="Arial" w:cs="Arial" w:eastAsia="Arial" w:hAnsi="Arial"/>
          <w:sz w:val="15"/>
          <w:szCs w:val="15"/>
          <w:color w:val="0E191E"/>
        </w:rPr>
      </w:pPr>
      <w:r>
        <w:rPr>
          <w:rFonts w:ascii="Arial" w:cs="Arial" w:eastAsia="Arial" w:hAnsi="Arial"/>
          <w:sz w:val="15"/>
          <w:szCs w:val="15"/>
          <w:color w:val="0E191E"/>
        </w:rPr>
        <w:t>Each of our named executive officers for fiscal year 2021;</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38"/>
        </w:numPr>
        <w:rPr>
          <w:rFonts w:ascii="Arial" w:cs="Arial" w:eastAsia="Arial" w:hAnsi="Arial"/>
          <w:sz w:val="15"/>
          <w:szCs w:val="15"/>
          <w:color w:val="0E191E"/>
        </w:rPr>
      </w:pPr>
      <w:r>
        <w:rPr>
          <w:rFonts w:ascii="Arial" w:cs="Arial" w:eastAsia="Arial" w:hAnsi="Arial"/>
          <w:sz w:val="15"/>
          <w:szCs w:val="15"/>
          <w:color w:val="0E191E"/>
        </w:rPr>
        <w:t>Each of our directors; and</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38"/>
        </w:numPr>
        <w:rPr>
          <w:rFonts w:ascii="Arial" w:cs="Arial" w:eastAsia="Arial" w:hAnsi="Arial"/>
          <w:sz w:val="15"/>
          <w:szCs w:val="15"/>
          <w:color w:val="0E191E"/>
        </w:rPr>
      </w:pPr>
      <w:r>
        <w:rPr>
          <w:rFonts w:ascii="Arial" w:cs="Arial" w:eastAsia="Arial" w:hAnsi="Arial"/>
          <w:sz w:val="15"/>
          <w:szCs w:val="15"/>
          <w:color w:val="0E191E"/>
        </w:rPr>
        <w:t>All of our executive officers and directors as a group.</w:t>
      </w:r>
    </w:p>
    <w:p>
      <w:pPr>
        <w:spacing w:after="0" w:line="206"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0E191E"/>
        </w:rPr>
        <w:t>Beneficial ownership is determined in accordance with SEC rules, which generally attribute beneficial ownership of securities to each person who possesses, either solely or shared with others, the power to vote or dispose of those securities. We have deemed shares of our common stock subject to options and RSUs outstanding as of October 19, 2021 that were exercisable or issuable or will become exercisable or issuable within 60 days of October 19, 2021 to be outstanding and to be beneficially owned by the person holding the option or RSU for the purpose of computing the percentage ownership of that person, but have not treated them as outstanding for the purpose of computing the percentage ownership of any other person. The percentage of beneficial ownership for the following table is based on 83,304,656 shares of common stock outstanding as of the record date. To our knowledge, except as indicated in the footnotes to this table and subject to applicable community property laws, the persons named in the table have sole voting and investment power with respect to all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43" w:lineRule="exact"/>
        <w:rPr>
          <w:sz w:val="20"/>
          <w:szCs w:val="20"/>
          <w:color w:val="auto"/>
        </w:rPr>
      </w:pPr>
    </w:p>
    <w:p>
      <w:pPr>
        <w:ind w:left="7940"/>
        <w:spacing w:after="0"/>
        <w:rPr>
          <w:sz w:val="20"/>
          <w:szCs w:val="20"/>
          <w:color w:val="auto"/>
        </w:rPr>
      </w:pPr>
      <w:r>
        <w:rPr>
          <w:rFonts w:ascii="Arial" w:cs="Arial" w:eastAsia="Arial" w:hAnsi="Arial"/>
          <w:sz w:val="13"/>
          <w:szCs w:val="13"/>
          <w:b w:val="1"/>
          <w:bCs w:val="1"/>
          <w:color w:val="0E191E"/>
        </w:rPr>
        <w:t>Shares Beneficially Owned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380" w:type="dxa"/>
            <w:vAlign w:val="bottom"/>
            <w:shd w:val="clear" w:color="auto" w:fill="00739D"/>
          </w:tcPr>
          <w:p>
            <w:pPr>
              <w:spacing w:after="0"/>
              <w:rPr>
                <w:sz w:val="17"/>
                <w:szCs w:val="17"/>
                <w:color w:val="auto"/>
              </w:rPr>
            </w:pPr>
          </w:p>
        </w:tc>
        <w:tc>
          <w:tcPr>
            <w:tcW w:w="24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Number of Shares</w:t>
            </w:r>
          </w:p>
        </w:tc>
        <w:tc>
          <w:tcPr>
            <w:tcW w:w="2460" w:type="dxa"/>
            <w:vAlign w:val="bottom"/>
            <w:shd w:val="clear" w:color="auto" w:fill="00739D"/>
          </w:tcPr>
          <w:p>
            <w:pPr>
              <w:spacing w:after="0"/>
              <w:rPr>
                <w:sz w:val="17"/>
                <w:szCs w:val="17"/>
                <w:color w:val="auto"/>
              </w:rPr>
            </w:pPr>
          </w:p>
        </w:tc>
      </w:tr>
      <w:tr>
        <w:trPr>
          <w:trHeight w:val="206"/>
        </w:trPr>
        <w:tc>
          <w:tcPr>
            <w:tcW w:w="638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 and Address</w:t>
            </w:r>
            <w:r>
              <w:rPr>
                <w:rFonts w:ascii="Arial" w:cs="Arial" w:eastAsia="Arial" w:hAnsi="Arial"/>
                <w:sz w:val="17"/>
                <w:szCs w:val="17"/>
                <w:b w:val="1"/>
                <w:bCs w:val="1"/>
                <w:color w:val="FFFFFF"/>
                <w:vertAlign w:val="superscript"/>
              </w:rPr>
              <w:t>(1)</w:t>
            </w:r>
          </w:p>
        </w:tc>
        <w:tc>
          <w:tcPr>
            <w:tcW w:w="24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of Common Stock</w:t>
            </w:r>
          </w:p>
        </w:tc>
        <w:tc>
          <w:tcPr>
            <w:tcW w:w="2460" w:type="dxa"/>
            <w:vAlign w:val="bottom"/>
            <w:shd w:val="clear" w:color="auto" w:fill="00739D"/>
          </w:tcPr>
          <w:p>
            <w:pPr>
              <w:ind w:left="600"/>
              <w:spacing w:after="0"/>
              <w:rPr>
                <w:sz w:val="20"/>
                <w:szCs w:val="20"/>
                <w:color w:val="auto"/>
              </w:rPr>
            </w:pPr>
            <w:r>
              <w:rPr>
                <w:rFonts w:ascii="Arial" w:cs="Arial" w:eastAsia="Arial" w:hAnsi="Arial"/>
                <w:sz w:val="13"/>
                <w:szCs w:val="13"/>
                <w:b w:val="1"/>
                <w:bCs w:val="1"/>
                <w:color w:val="FFFFFF"/>
              </w:rPr>
              <w:t>Percent of Class (%)</w:t>
            </w:r>
          </w:p>
        </w:tc>
      </w:tr>
      <w:tr>
        <w:trPr>
          <w:trHeight w:val="94"/>
        </w:trPr>
        <w:tc>
          <w:tcPr>
            <w:tcW w:w="6380" w:type="dxa"/>
            <w:vAlign w:val="bottom"/>
            <w:shd w:val="clear" w:color="auto" w:fill="00739D"/>
          </w:tcPr>
          <w:p>
            <w:pPr>
              <w:spacing w:after="0"/>
              <w:rPr>
                <w:sz w:val="8"/>
                <w:szCs w:val="8"/>
                <w:color w:val="auto"/>
              </w:rPr>
            </w:pPr>
          </w:p>
        </w:tc>
        <w:tc>
          <w:tcPr>
            <w:tcW w:w="2400" w:type="dxa"/>
            <w:vAlign w:val="bottom"/>
            <w:shd w:val="clear" w:color="auto" w:fill="00739D"/>
          </w:tcPr>
          <w:p>
            <w:pPr>
              <w:spacing w:after="0"/>
              <w:rPr>
                <w:sz w:val="8"/>
                <w:szCs w:val="8"/>
                <w:color w:val="auto"/>
              </w:rPr>
            </w:pPr>
          </w:p>
        </w:tc>
        <w:tc>
          <w:tcPr>
            <w:tcW w:w="2460" w:type="dxa"/>
            <w:vAlign w:val="bottom"/>
            <w:shd w:val="clear" w:color="auto" w:fill="00739D"/>
          </w:tcPr>
          <w:p>
            <w:pPr>
              <w:spacing w:after="0"/>
              <w:rPr>
                <w:sz w:val="8"/>
                <w:szCs w:val="8"/>
                <w:color w:val="auto"/>
              </w:rPr>
            </w:pPr>
          </w:p>
        </w:tc>
      </w:tr>
      <w:tr>
        <w:trPr>
          <w:trHeight w:val="196"/>
        </w:trPr>
        <w:tc>
          <w:tcPr>
            <w:tcW w:w="6380" w:type="dxa"/>
            <w:vAlign w:val="bottom"/>
            <w:tcBorders>
              <w:bottom w:val="single" w:sz="8" w:color="1EB7DF"/>
            </w:tcBorders>
            <w:shd w:val="clear" w:color="auto" w:fill="1EB7DF"/>
          </w:tcPr>
          <w:p>
            <w:pPr>
              <w:ind w:left="100"/>
              <w:spacing w:after="0"/>
              <w:rPr>
                <w:sz w:val="20"/>
                <w:szCs w:val="20"/>
                <w:color w:val="auto"/>
              </w:rPr>
            </w:pPr>
            <w:r>
              <w:rPr>
                <w:rFonts w:ascii="Arial" w:cs="Arial" w:eastAsia="Arial" w:hAnsi="Arial"/>
                <w:sz w:val="13"/>
                <w:szCs w:val="13"/>
                <w:b w:val="1"/>
                <w:bCs w:val="1"/>
                <w:color w:val="0E191E"/>
              </w:rPr>
              <w:t>5% Stockholders:</w:t>
            </w:r>
          </w:p>
        </w:tc>
        <w:tc>
          <w:tcPr>
            <w:tcW w:w="2400" w:type="dxa"/>
            <w:vAlign w:val="bottom"/>
            <w:tcBorders>
              <w:bottom w:val="single" w:sz="8" w:color="1EB7DF"/>
            </w:tcBorders>
            <w:shd w:val="clear" w:color="auto" w:fill="1EB7DF"/>
          </w:tcPr>
          <w:p>
            <w:pPr>
              <w:spacing w:after="0"/>
              <w:rPr>
                <w:sz w:val="17"/>
                <w:szCs w:val="17"/>
                <w:color w:val="auto"/>
              </w:rPr>
            </w:pPr>
          </w:p>
        </w:tc>
        <w:tc>
          <w:tcPr>
            <w:tcW w:w="2460" w:type="dxa"/>
            <w:vAlign w:val="bottom"/>
            <w:tcBorders>
              <w:bottom w:val="single" w:sz="8" w:color="1EB7DF"/>
            </w:tcBorders>
            <w:shd w:val="clear" w:color="auto" w:fill="1EB7DF"/>
          </w:tcPr>
          <w:p>
            <w:pPr>
              <w:spacing w:after="0"/>
              <w:rPr>
                <w:sz w:val="17"/>
                <w:szCs w:val="17"/>
                <w:color w:val="auto"/>
              </w:rPr>
            </w:pPr>
          </w:p>
        </w:tc>
      </w:tr>
      <w:tr>
        <w:trPr>
          <w:trHeight w:val="216"/>
        </w:trPr>
        <w:tc>
          <w:tcPr>
            <w:tcW w:w="6380" w:type="dxa"/>
            <w:vAlign w:val="bottom"/>
          </w:tcPr>
          <w:p>
            <w:pPr>
              <w:ind w:left="260"/>
              <w:spacing w:after="0"/>
              <w:rPr>
                <w:sz w:val="20"/>
                <w:szCs w:val="20"/>
                <w:color w:val="auto"/>
              </w:rPr>
            </w:pPr>
            <w:r>
              <w:rPr>
                <w:rFonts w:ascii="Arial" w:cs="Arial" w:eastAsia="Arial" w:hAnsi="Arial"/>
                <w:sz w:val="13"/>
                <w:szCs w:val="13"/>
                <w:color w:val="0E191E"/>
              </w:rPr>
              <w:t>Baron Capital Group, Inc.</w:t>
            </w:r>
            <w:r>
              <w:rPr>
                <w:rFonts w:ascii="Arial" w:cs="Arial" w:eastAsia="Arial" w:hAnsi="Arial"/>
                <w:sz w:val="17"/>
                <w:szCs w:val="17"/>
                <w:color w:val="0E191E"/>
                <w:vertAlign w:val="superscript"/>
              </w:rPr>
              <w:t>(2)</w:t>
            </w:r>
          </w:p>
        </w:tc>
        <w:tc>
          <w:tcPr>
            <w:tcW w:w="2400" w:type="dxa"/>
            <w:vAlign w:val="bottom"/>
          </w:tcPr>
          <w:p>
            <w:pPr>
              <w:jc w:val="center"/>
              <w:spacing w:after="0"/>
              <w:rPr>
                <w:sz w:val="20"/>
                <w:szCs w:val="20"/>
                <w:color w:val="auto"/>
              </w:rPr>
            </w:pPr>
            <w:r>
              <w:rPr>
                <w:rFonts w:ascii="Arial" w:cs="Arial" w:eastAsia="Arial" w:hAnsi="Arial"/>
                <w:sz w:val="13"/>
                <w:szCs w:val="13"/>
                <w:color w:val="0E191E"/>
              </w:rPr>
              <w:t>5,729,639</w:t>
            </w:r>
          </w:p>
        </w:tc>
        <w:tc>
          <w:tcPr>
            <w:tcW w:w="2460" w:type="dxa"/>
            <w:vAlign w:val="bottom"/>
          </w:tcPr>
          <w:p>
            <w:pPr>
              <w:jc w:val="center"/>
              <w:spacing w:after="0"/>
              <w:rPr>
                <w:sz w:val="20"/>
                <w:szCs w:val="20"/>
                <w:color w:val="auto"/>
              </w:rPr>
            </w:pPr>
            <w:r>
              <w:rPr>
                <w:rFonts w:ascii="Arial" w:cs="Arial" w:eastAsia="Arial" w:hAnsi="Arial"/>
                <w:sz w:val="13"/>
                <w:szCs w:val="13"/>
                <w:color w:val="0E191E"/>
              </w:rPr>
              <w:t>6.88</w:t>
            </w:r>
          </w:p>
        </w:tc>
      </w:tr>
      <w:tr>
        <w:trPr>
          <w:trHeight w:val="216"/>
        </w:trPr>
        <w:tc>
          <w:tcPr>
            <w:tcW w:w="6380" w:type="dxa"/>
            <w:vAlign w:val="bottom"/>
            <w:shd w:val="clear" w:color="auto" w:fill="E5F1F5"/>
          </w:tcPr>
          <w:p>
            <w:pPr>
              <w:ind w:left="260"/>
              <w:spacing w:after="0"/>
              <w:rPr>
                <w:sz w:val="20"/>
                <w:szCs w:val="20"/>
                <w:color w:val="auto"/>
              </w:rPr>
            </w:pPr>
            <w:r>
              <w:rPr>
                <w:rFonts w:ascii="Arial" w:cs="Arial" w:eastAsia="Arial" w:hAnsi="Arial"/>
                <w:sz w:val="13"/>
                <w:szCs w:val="13"/>
                <w:color w:val="0E191E"/>
              </w:rPr>
              <w:t>Berkshire Partners Holdings LLC</w:t>
            </w:r>
            <w:r>
              <w:rPr>
                <w:rFonts w:ascii="Arial" w:cs="Arial" w:eastAsia="Arial" w:hAnsi="Arial"/>
                <w:sz w:val="17"/>
                <w:szCs w:val="17"/>
                <w:color w:val="0E191E"/>
                <w:vertAlign w:val="superscript"/>
              </w:rPr>
              <w:t>(3)</w:t>
            </w:r>
          </w:p>
        </w:tc>
        <w:tc>
          <w:tcPr>
            <w:tcW w:w="240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4,471,387</w:t>
            </w:r>
          </w:p>
        </w:tc>
        <w:tc>
          <w:tcPr>
            <w:tcW w:w="246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5.37</w:t>
            </w:r>
          </w:p>
        </w:tc>
      </w:tr>
      <w:tr>
        <w:trPr>
          <w:trHeight w:val="216"/>
        </w:trPr>
        <w:tc>
          <w:tcPr>
            <w:tcW w:w="6380" w:type="dxa"/>
            <w:vAlign w:val="bottom"/>
          </w:tcPr>
          <w:p>
            <w:pPr>
              <w:ind w:left="260"/>
              <w:spacing w:after="0"/>
              <w:rPr>
                <w:sz w:val="20"/>
                <w:szCs w:val="20"/>
                <w:color w:val="auto"/>
              </w:rPr>
            </w:pPr>
            <w:r>
              <w:rPr>
                <w:rFonts w:ascii="Arial" w:cs="Arial" w:eastAsia="Arial" w:hAnsi="Arial"/>
                <w:sz w:val="13"/>
                <w:szCs w:val="13"/>
                <w:color w:val="0E191E"/>
              </w:rPr>
              <w:t>BlackRock, Inc.</w:t>
            </w:r>
            <w:r>
              <w:rPr>
                <w:rFonts w:ascii="Arial" w:cs="Arial" w:eastAsia="Arial" w:hAnsi="Arial"/>
                <w:sz w:val="17"/>
                <w:szCs w:val="17"/>
                <w:color w:val="0E191E"/>
                <w:vertAlign w:val="superscript"/>
              </w:rPr>
              <w:t>(4)</w:t>
            </w:r>
          </w:p>
        </w:tc>
        <w:tc>
          <w:tcPr>
            <w:tcW w:w="2400" w:type="dxa"/>
            <w:vAlign w:val="bottom"/>
          </w:tcPr>
          <w:p>
            <w:pPr>
              <w:jc w:val="center"/>
              <w:spacing w:after="0"/>
              <w:rPr>
                <w:sz w:val="20"/>
                <w:szCs w:val="20"/>
                <w:color w:val="auto"/>
              </w:rPr>
            </w:pPr>
            <w:r>
              <w:rPr>
                <w:rFonts w:ascii="Arial" w:cs="Arial" w:eastAsia="Arial" w:hAnsi="Arial"/>
                <w:sz w:val="13"/>
                <w:szCs w:val="13"/>
                <w:color w:val="0E191E"/>
              </w:rPr>
              <w:t>4,528,717</w:t>
            </w:r>
          </w:p>
        </w:tc>
        <w:tc>
          <w:tcPr>
            <w:tcW w:w="2460" w:type="dxa"/>
            <w:vAlign w:val="bottom"/>
          </w:tcPr>
          <w:p>
            <w:pPr>
              <w:jc w:val="center"/>
              <w:spacing w:after="0"/>
              <w:rPr>
                <w:sz w:val="20"/>
                <w:szCs w:val="20"/>
                <w:color w:val="auto"/>
              </w:rPr>
            </w:pPr>
            <w:r>
              <w:rPr>
                <w:rFonts w:ascii="Arial" w:cs="Arial" w:eastAsia="Arial" w:hAnsi="Arial"/>
                <w:sz w:val="13"/>
                <w:szCs w:val="13"/>
                <w:color w:val="0E191E"/>
              </w:rPr>
              <w:t>5.44</w:t>
            </w:r>
          </w:p>
        </w:tc>
      </w:tr>
      <w:tr>
        <w:trPr>
          <w:trHeight w:val="216"/>
        </w:trPr>
        <w:tc>
          <w:tcPr>
            <w:tcW w:w="6380" w:type="dxa"/>
            <w:vAlign w:val="bottom"/>
            <w:shd w:val="clear" w:color="auto" w:fill="E5F1F5"/>
          </w:tcPr>
          <w:p>
            <w:pPr>
              <w:ind w:left="260"/>
              <w:spacing w:after="0"/>
              <w:rPr>
                <w:sz w:val="20"/>
                <w:szCs w:val="20"/>
                <w:color w:val="auto"/>
              </w:rPr>
            </w:pPr>
            <w:r>
              <w:rPr>
                <w:rFonts w:ascii="Arial" w:cs="Arial" w:eastAsia="Arial" w:hAnsi="Arial"/>
                <w:sz w:val="13"/>
                <w:szCs w:val="13"/>
                <w:color w:val="0E191E"/>
              </w:rPr>
              <w:t>The Vanguard Group</w:t>
            </w:r>
            <w:r>
              <w:rPr>
                <w:rFonts w:ascii="Arial" w:cs="Arial" w:eastAsia="Arial" w:hAnsi="Arial"/>
                <w:sz w:val="17"/>
                <w:szCs w:val="17"/>
                <w:color w:val="0E191E"/>
                <w:vertAlign w:val="superscript"/>
              </w:rPr>
              <w:t>(5)</w:t>
            </w:r>
          </w:p>
        </w:tc>
        <w:tc>
          <w:tcPr>
            <w:tcW w:w="240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7,590,188</w:t>
            </w:r>
          </w:p>
        </w:tc>
        <w:tc>
          <w:tcPr>
            <w:tcW w:w="246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9.11</w:t>
            </w:r>
          </w:p>
        </w:tc>
      </w:tr>
      <w:tr>
        <w:trPr>
          <w:trHeight w:val="216"/>
        </w:trPr>
        <w:tc>
          <w:tcPr>
            <w:tcW w:w="6380" w:type="dxa"/>
            <w:vAlign w:val="bottom"/>
          </w:tcPr>
          <w:p>
            <w:pPr>
              <w:ind w:left="260"/>
              <w:spacing w:after="0"/>
              <w:rPr>
                <w:sz w:val="20"/>
                <w:szCs w:val="20"/>
                <w:color w:val="auto"/>
              </w:rPr>
            </w:pPr>
            <w:r>
              <w:rPr>
                <w:rFonts w:ascii="Arial" w:cs="Arial" w:eastAsia="Arial" w:hAnsi="Arial"/>
                <w:sz w:val="13"/>
                <w:szCs w:val="13"/>
                <w:color w:val="0E191E"/>
              </w:rPr>
              <w:t>Wellington Management Group LLC</w:t>
            </w:r>
            <w:r>
              <w:rPr>
                <w:rFonts w:ascii="Arial" w:cs="Arial" w:eastAsia="Arial" w:hAnsi="Arial"/>
                <w:sz w:val="17"/>
                <w:szCs w:val="17"/>
                <w:color w:val="0E191E"/>
                <w:vertAlign w:val="superscript"/>
              </w:rPr>
              <w:t>(6)</w:t>
            </w:r>
          </w:p>
        </w:tc>
        <w:tc>
          <w:tcPr>
            <w:tcW w:w="2400" w:type="dxa"/>
            <w:vAlign w:val="bottom"/>
          </w:tcPr>
          <w:p>
            <w:pPr>
              <w:jc w:val="center"/>
              <w:spacing w:after="0"/>
              <w:rPr>
                <w:sz w:val="20"/>
                <w:szCs w:val="20"/>
                <w:color w:val="auto"/>
              </w:rPr>
            </w:pPr>
            <w:r>
              <w:rPr>
                <w:rFonts w:ascii="Arial" w:cs="Arial" w:eastAsia="Arial" w:hAnsi="Arial"/>
                <w:sz w:val="13"/>
                <w:szCs w:val="13"/>
                <w:color w:val="0E191E"/>
              </w:rPr>
              <w:t>7,391,479</w:t>
            </w:r>
          </w:p>
        </w:tc>
        <w:tc>
          <w:tcPr>
            <w:tcW w:w="2460" w:type="dxa"/>
            <w:vAlign w:val="bottom"/>
          </w:tcPr>
          <w:p>
            <w:pPr>
              <w:jc w:val="center"/>
              <w:spacing w:after="0"/>
              <w:rPr>
                <w:sz w:val="20"/>
                <w:szCs w:val="20"/>
                <w:color w:val="auto"/>
              </w:rPr>
            </w:pPr>
            <w:r>
              <w:rPr>
                <w:rFonts w:ascii="Arial" w:cs="Arial" w:eastAsia="Arial" w:hAnsi="Arial"/>
                <w:sz w:val="13"/>
                <w:szCs w:val="13"/>
                <w:color w:val="0E191E"/>
              </w:rPr>
              <w:t>8.87</w:t>
            </w:r>
          </w:p>
        </w:tc>
      </w:tr>
      <w:tr>
        <w:trPr>
          <w:trHeight w:val="196"/>
        </w:trPr>
        <w:tc>
          <w:tcPr>
            <w:tcW w:w="6380" w:type="dxa"/>
            <w:vAlign w:val="bottom"/>
            <w:tcBorders>
              <w:bottom w:val="single" w:sz="8" w:color="1EB7DF"/>
            </w:tcBorders>
            <w:shd w:val="clear" w:color="auto" w:fill="1EB7DF"/>
          </w:tcPr>
          <w:p>
            <w:pPr>
              <w:ind w:left="100"/>
              <w:spacing w:after="0"/>
              <w:rPr>
                <w:sz w:val="20"/>
                <w:szCs w:val="20"/>
                <w:color w:val="auto"/>
              </w:rPr>
            </w:pPr>
            <w:r>
              <w:rPr>
                <w:rFonts w:ascii="Arial" w:cs="Arial" w:eastAsia="Arial" w:hAnsi="Arial"/>
                <w:sz w:val="13"/>
                <w:szCs w:val="13"/>
                <w:b w:val="1"/>
                <w:bCs w:val="1"/>
                <w:color w:val="0E191E"/>
              </w:rPr>
              <w:t>Named Executive Officers and Directors:</w:t>
            </w:r>
          </w:p>
        </w:tc>
        <w:tc>
          <w:tcPr>
            <w:tcW w:w="2400" w:type="dxa"/>
            <w:vAlign w:val="bottom"/>
            <w:tcBorders>
              <w:bottom w:val="single" w:sz="8" w:color="1EB7DF"/>
            </w:tcBorders>
            <w:shd w:val="clear" w:color="auto" w:fill="1EB7DF"/>
          </w:tcPr>
          <w:p>
            <w:pPr>
              <w:spacing w:after="0"/>
              <w:rPr>
                <w:sz w:val="17"/>
                <w:szCs w:val="17"/>
                <w:color w:val="auto"/>
              </w:rPr>
            </w:pPr>
          </w:p>
        </w:tc>
        <w:tc>
          <w:tcPr>
            <w:tcW w:w="2460" w:type="dxa"/>
            <w:vAlign w:val="bottom"/>
            <w:tcBorders>
              <w:bottom w:val="single" w:sz="8" w:color="1EB7DF"/>
            </w:tcBorders>
            <w:shd w:val="clear" w:color="auto" w:fill="1EB7DF"/>
          </w:tcPr>
          <w:p>
            <w:pPr>
              <w:spacing w:after="0"/>
              <w:rPr>
                <w:sz w:val="17"/>
                <w:szCs w:val="17"/>
                <w:color w:val="auto"/>
              </w:rPr>
            </w:pPr>
          </w:p>
        </w:tc>
      </w:tr>
      <w:tr>
        <w:trPr>
          <w:trHeight w:val="216"/>
        </w:trPr>
        <w:tc>
          <w:tcPr>
            <w:tcW w:w="6380" w:type="dxa"/>
            <w:vAlign w:val="bottom"/>
          </w:tcPr>
          <w:p>
            <w:pPr>
              <w:ind w:left="260"/>
              <w:spacing w:after="0"/>
              <w:rPr>
                <w:sz w:val="20"/>
                <w:szCs w:val="20"/>
                <w:color w:val="auto"/>
              </w:rPr>
            </w:pPr>
            <w:r>
              <w:rPr>
                <w:rFonts w:ascii="Arial" w:cs="Arial" w:eastAsia="Arial" w:hAnsi="Arial"/>
                <w:sz w:val="13"/>
                <w:szCs w:val="13"/>
                <w:color w:val="0E191E"/>
              </w:rPr>
              <w:t>Mike Rosenbaum</w:t>
            </w:r>
            <w:r>
              <w:rPr>
                <w:rFonts w:ascii="Arial" w:cs="Arial" w:eastAsia="Arial" w:hAnsi="Arial"/>
                <w:sz w:val="17"/>
                <w:szCs w:val="17"/>
                <w:color w:val="0E191E"/>
                <w:vertAlign w:val="superscript"/>
              </w:rPr>
              <w:t>(7)</w:t>
            </w:r>
          </w:p>
        </w:tc>
        <w:tc>
          <w:tcPr>
            <w:tcW w:w="2400" w:type="dxa"/>
            <w:vAlign w:val="bottom"/>
          </w:tcPr>
          <w:p>
            <w:pPr>
              <w:jc w:val="center"/>
              <w:spacing w:after="0"/>
              <w:rPr>
                <w:sz w:val="20"/>
                <w:szCs w:val="20"/>
                <w:color w:val="auto"/>
              </w:rPr>
            </w:pPr>
            <w:r>
              <w:rPr>
                <w:rFonts w:ascii="Arial" w:cs="Arial" w:eastAsia="Arial" w:hAnsi="Arial"/>
                <w:sz w:val="13"/>
                <w:szCs w:val="13"/>
                <w:color w:val="auto"/>
              </w:rPr>
              <w:t>49,167</w:t>
            </w:r>
          </w:p>
        </w:tc>
        <w:tc>
          <w:tcPr>
            <w:tcW w:w="2460" w:type="dxa"/>
            <w:vAlign w:val="bottom"/>
          </w:tcPr>
          <w:p>
            <w:pPr>
              <w:jc w:val="center"/>
              <w:spacing w:after="0"/>
              <w:rPr>
                <w:sz w:val="20"/>
                <w:szCs w:val="20"/>
                <w:color w:val="auto"/>
              </w:rPr>
            </w:pPr>
            <w:r>
              <w:rPr>
                <w:rFonts w:ascii="Arial" w:cs="Arial" w:eastAsia="Arial" w:hAnsi="Arial"/>
                <w:sz w:val="13"/>
                <w:szCs w:val="13"/>
                <w:color w:val="0E191E"/>
              </w:rPr>
              <w:t>*</w:t>
            </w:r>
          </w:p>
        </w:tc>
      </w:tr>
      <w:tr>
        <w:trPr>
          <w:trHeight w:val="216"/>
        </w:trPr>
        <w:tc>
          <w:tcPr>
            <w:tcW w:w="6380" w:type="dxa"/>
            <w:vAlign w:val="bottom"/>
            <w:shd w:val="clear" w:color="auto" w:fill="E5F1F5"/>
          </w:tcPr>
          <w:p>
            <w:pPr>
              <w:ind w:left="260"/>
              <w:spacing w:after="0"/>
              <w:rPr>
                <w:sz w:val="20"/>
                <w:szCs w:val="20"/>
                <w:color w:val="auto"/>
              </w:rPr>
            </w:pPr>
            <w:r>
              <w:rPr>
                <w:rFonts w:ascii="Arial" w:cs="Arial" w:eastAsia="Arial" w:hAnsi="Arial"/>
                <w:sz w:val="13"/>
                <w:szCs w:val="13"/>
                <w:color w:val="0E191E"/>
              </w:rPr>
              <w:t>Jeff Cooper</w:t>
            </w:r>
            <w:r>
              <w:rPr>
                <w:rFonts w:ascii="Arial" w:cs="Arial" w:eastAsia="Arial" w:hAnsi="Arial"/>
                <w:sz w:val="17"/>
                <w:szCs w:val="17"/>
                <w:color w:val="0E191E"/>
                <w:vertAlign w:val="superscript"/>
              </w:rPr>
              <w:t>(8)</w:t>
            </w:r>
          </w:p>
        </w:tc>
        <w:tc>
          <w:tcPr>
            <w:tcW w:w="2400" w:type="dxa"/>
            <w:vAlign w:val="bottom"/>
            <w:shd w:val="clear" w:color="auto" w:fill="E5F1F5"/>
          </w:tcPr>
          <w:p>
            <w:pPr>
              <w:jc w:val="center"/>
              <w:spacing w:after="0"/>
              <w:rPr>
                <w:sz w:val="20"/>
                <w:szCs w:val="20"/>
                <w:color w:val="auto"/>
              </w:rPr>
            </w:pPr>
            <w:r>
              <w:rPr>
                <w:rFonts w:ascii="Arial" w:cs="Arial" w:eastAsia="Arial" w:hAnsi="Arial"/>
                <w:sz w:val="13"/>
                <w:szCs w:val="13"/>
                <w:color w:val="auto"/>
              </w:rPr>
              <w:t>10,242</w:t>
            </w:r>
          </w:p>
        </w:tc>
        <w:tc>
          <w:tcPr>
            <w:tcW w:w="246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w:t>
            </w:r>
          </w:p>
        </w:tc>
      </w:tr>
      <w:tr>
        <w:trPr>
          <w:trHeight w:val="216"/>
        </w:trPr>
        <w:tc>
          <w:tcPr>
            <w:tcW w:w="6380" w:type="dxa"/>
            <w:vAlign w:val="bottom"/>
          </w:tcPr>
          <w:p>
            <w:pPr>
              <w:ind w:left="260"/>
              <w:spacing w:after="0"/>
              <w:rPr>
                <w:sz w:val="20"/>
                <w:szCs w:val="20"/>
                <w:color w:val="auto"/>
              </w:rPr>
            </w:pPr>
            <w:r>
              <w:rPr>
                <w:rFonts w:ascii="Arial" w:cs="Arial" w:eastAsia="Arial" w:hAnsi="Arial"/>
                <w:sz w:val="13"/>
                <w:szCs w:val="13"/>
                <w:color w:val="0E191E"/>
              </w:rPr>
              <w:t>Priscilla Hung</w:t>
            </w:r>
            <w:r>
              <w:rPr>
                <w:rFonts w:ascii="Arial" w:cs="Arial" w:eastAsia="Arial" w:hAnsi="Arial"/>
                <w:sz w:val="17"/>
                <w:szCs w:val="17"/>
                <w:color w:val="0E191E"/>
                <w:vertAlign w:val="superscript"/>
              </w:rPr>
              <w:t>(9)</w:t>
            </w:r>
          </w:p>
        </w:tc>
        <w:tc>
          <w:tcPr>
            <w:tcW w:w="2400" w:type="dxa"/>
            <w:vAlign w:val="bottom"/>
          </w:tcPr>
          <w:p>
            <w:pPr>
              <w:jc w:val="center"/>
              <w:spacing w:after="0"/>
              <w:rPr>
                <w:sz w:val="20"/>
                <w:szCs w:val="20"/>
                <w:color w:val="auto"/>
              </w:rPr>
            </w:pPr>
            <w:r>
              <w:rPr>
                <w:rFonts w:ascii="Arial" w:cs="Arial" w:eastAsia="Arial" w:hAnsi="Arial"/>
                <w:sz w:val="13"/>
                <w:szCs w:val="13"/>
                <w:color w:val="auto"/>
              </w:rPr>
              <w:t>9,883</w:t>
            </w:r>
          </w:p>
        </w:tc>
        <w:tc>
          <w:tcPr>
            <w:tcW w:w="2460" w:type="dxa"/>
            <w:vAlign w:val="bottom"/>
          </w:tcPr>
          <w:p>
            <w:pPr>
              <w:jc w:val="center"/>
              <w:spacing w:after="0"/>
              <w:rPr>
                <w:sz w:val="20"/>
                <w:szCs w:val="20"/>
                <w:color w:val="auto"/>
              </w:rPr>
            </w:pPr>
            <w:r>
              <w:rPr>
                <w:rFonts w:ascii="Arial" w:cs="Arial" w:eastAsia="Arial" w:hAnsi="Arial"/>
                <w:sz w:val="13"/>
                <w:szCs w:val="13"/>
                <w:color w:val="0E191E"/>
              </w:rPr>
              <w:t>*</w:t>
            </w:r>
          </w:p>
        </w:tc>
      </w:tr>
      <w:tr>
        <w:trPr>
          <w:trHeight w:val="216"/>
        </w:trPr>
        <w:tc>
          <w:tcPr>
            <w:tcW w:w="6380" w:type="dxa"/>
            <w:vAlign w:val="bottom"/>
            <w:shd w:val="clear" w:color="auto" w:fill="E5F1F5"/>
          </w:tcPr>
          <w:p>
            <w:pPr>
              <w:ind w:left="260"/>
              <w:spacing w:after="0"/>
              <w:rPr>
                <w:sz w:val="20"/>
                <w:szCs w:val="20"/>
                <w:color w:val="auto"/>
              </w:rPr>
            </w:pPr>
            <w:r>
              <w:rPr>
                <w:rFonts w:ascii="Arial" w:cs="Arial" w:eastAsia="Arial" w:hAnsi="Arial"/>
                <w:sz w:val="13"/>
                <w:szCs w:val="13"/>
                <w:color w:val="0E191E"/>
              </w:rPr>
              <w:t>Frank O'Dowd</w:t>
            </w:r>
            <w:r>
              <w:rPr>
                <w:rFonts w:ascii="Arial" w:cs="Arial" w:eastAsia="Arial" w:hAnsi="Arial"/>
                <w:sz w:val="17"/>
                <w:szCs w:val="17"/>
                <w:color w:val="0E191E"/>
                <w:vertAlign w:val="superscript"/>
              </w:rPr>
              <w:t>(10)</w:t>
            </w:r>
          </w:p>
        </w:tc>
        <w:tc>
          <w:tcPr>
            <w:tcW w:w="2400" w:type="dxa"/>
            <w:vAlign w:val="bottom"/>
            <w:shd w:val="clear" w:color="auto" w:fill="E5F1F5"/>
          </w:tcPr>
          <w:p>
            <w:pPr>
              <w:jc w:val="center"/>
              <w:spacing w:after="0"/>
              <w:rPr>
                <w:sz w:val="20"/>
                <w:szCs w:val="20"/>
                <w:color w:val="auto"/>
              </w:rPr>
            </w:pPr>
            <w:r>
              <w:rPr>
                <w:rFonts w:ascii="Arial" w:cs="Arial" w:eastAsia="Arial" w:hAnsi="Arial"/>
                <w:sz w:val="13"/>
                <w:szCs w:val="13"/>
                <w:color w:val="auto"/>
              </w:rPr>
              <w:t>19,072</w:t>
            </w:r>
          </w:p>
        </w:tc>
        <w:tc>
          <w:tcPr>
            <w:tcW w:w="246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w:t>
            </w:r>
          </w:p>
        </w:tc>
      </w:tr>
      <w:tr>
        <w:trPr>
          <w:trHeight w:val="216"/>
        </w:trPr>
        <w:tc>
          <w:tcPr>
            <w:tcW w:w="6380" w:type="dxa"/>
            <w:vAlign w:val="bottom"/>
          </w:tcPr>
          <w:p>
            <w:pPr>
              <w:ind w:left="260"/>
              <w:spacing w:after="0"/>
              <w:rPr>
                <w:sz w:val="20"/>
                <w:szCs w:val="20"/>
                <w:color w:val="auto"/>
              </w:rPr>
            </w:pPr>
            <w:r>
              <w:rPr>
                <w:rFonts w:ascii="Arial" w:cs="Arial" w:eastAsia="Arial" w:hAnsi="Arial"/>
                <w:sz w:val="13"/>
                <w:szCs w:val="13"/>
                <w:color w:val="0E191E"/>
              </w:rPr>
              <w:t>Winston King</w:t>
            </w:r>
            <w:r>
              <w:rPr>
                <w:rFonts w:ascii="Arial" w:cs="Arial" w:eastAsia="Arial" w:hAnsi="Arial"/>
                <w:sz w:val="17"/>
                <w:szCs w:val="17"/>
                <w:color w:val="0E191E"/>
                <w:vertAlign w:val="superscript"/>
              </w:rPr>
              <w:t>(11)</w:t>
            </w:r>
          </w:p>
        </w:tc>
        <w:tc>
          <w:tcPr>
            <w:tcW w:w="2400" w:type="dxa"/>
            <w:vAlign w:val="bottom"/>
          </w:tcPr>
          <w:p>
            <w:pPr>
              <w:jc w:val="center"/>
              <w:spacing w:after="0"/>
              <w:rPr>
                <w:sz w:val="20"/>
                <w:szCs w:val="20"/>
                <w:color w:val="auto"/>
              </w:rPr>
            </w:pPr>
            <w:r>
              <w:rPr>
                <w:rFonts w:ascii="Arial" w:cs="Arial" w:eastAsia="Arial" w:hAnsi="Arial"/>
                <w:sz w:val="13"/>
                <w:szCs w:val="13"/>
                <w:color w:val="auto"/>
              </w:rPr>
              <w:t>11,780</w:t>
            </w:r>
          </w:p>
        </w:tc>
        <w:tc>
          <w:tcPr>
            <w:tcW w:w="2460" w:type="dxa"/>
            <w:vAlign w:val="bottom"/>
          </w:tcPr>
          <w:p>
            <w:pPr>
              <w:jc w:val="center"/>
              <w:spacing w:after="0"/>
              <w:rPr>
                <w:sz w:val="20"/>
                <w:szCs w:val="20"/>
                <w:color w:val="auto"/>
              </w:rPr>
            </w:pPr>
            <w:r>
              <w:rPr>
                <w:rFonts w:ascii="Arial" w:cs="Arial" w:eastAsia="Arial" w:hAnsi="Arial"/>
                <w:sz w:val="13"/>
                <w:szCs w:val="13"/>
                <w:color w:val="0E191E"/>
              </w:rPr>
              <w:t>*</w:t>
            </w:r>
          </w:p>
        </w:tc>
      </w:tr>
      <w:tr>
        <w:trPr>
          <w:trHeight w:val="216"/>
        </w:trPr>
        <w:tc>
          <w:tcPr>
            <w:tcW w:w="6380" w:type="dxa"/>
            <w:vAlign w:val="bottom"/>
            <w:shd w:val="clear" w:color="auto" w:fill="E5F1F5"/>
          </w:tcPr>
          <w:p>
            <w:pPr>
              <w:ind w:left="260"/>
              <w:spacing w:after="0"/>
              <w:rPr>
                <w:sz w:val="20"/>
                <w:szCs w:val="20"/>
                <w:color w:val="auto"/>
              </w:rPr>
            </w:pPr>
            <w:r>
              <w:rPr>
                <w:rFonts w:ascii="Arial" w:cs="Arial" w:eastAsia="Arial" w:hAnsi="Arial"/>
                <w:sz w:val="13"/>
                <w:szCs w:val="13"/>
                <w:color w:val="0E191E"/>
              </w:rPr>
              <w:t>Marcus S. Ryu</w:t>
            </w:r>
            <w:r>
              <w:rPr>
                <w:rFonts w:ascii="Arial" w:cs="Arial" w:eastAsia="Arial" w:hAnsi="Arial"/>
                <w:sz w:val="17"/>
                <w:szCs w:val="17"/>
                <w:color w:val="0E191E"/>
                <w:vertAlign w:val="superscript"/>
              </w:rPr>
              <w:t>(12)</w:t>
            </w:r>
          </w:p>
        </w:tc>
        <w:tc>
          <w:tcPr>
            <w:tcW w:w="2400" w:type="dxa"/>
            <w:vAlign w:val="bottom"/>
            <w:shd w:val="clear" w:color="auto" w:fill="E5F1F5"/>
          </w:tcPr>
          <w:p>
            <w:pPr>
              <w:jc w:val="center"/>
              <w:spacing w:after="0"/>
              <w:rPr>
                <w:sz w:val="20"/>
                <w:szCs w:val="20"/>
                <w:color w:val="auto"/>
              </w:rPr>
            </w:pPr>
            <w:r>
              <w:rPr>
                <w:rFonts w:ascii="Arial" w:cs="Arial" w:eastAsia="Arial" w:hAnsi="Arial"/>
                <w:sz w:val="13"/>
                <w:szCs w:val="13"/>
                <w:color w:val="auto"/>
              </w:rPr>
              <w:t>1,848</w:t>
            </w:r>
          </w:p>
        </w:tc>
        <w:tc>
          <w:tcPr>
            <w:tcW w:w="246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w:t>
            </w:r>
          </w:p>
        </w:tc>
      </w:tr>
      <w:tr>
        <w:trPr>
          <w:trHeight w:val="216"/>
        </w:trPr>
        <w:tc>
          <w:tcPr>
            <w:tcW w:w="6380" w:type="dxa"/>
            <w:vAlign w:val="bottom"/>
          </w:tcPr>
          <w:p>
            <w:pPr>
              <w:ind w:left="260"/>
              <w:spacing w:after="0"/>
              <w:rPr>
                <w:sz w:val="20"/>
                <w:szCs w:val="20"/>
                <w:color w:val="auto"/>
              </w:rPr>
            </w:pPr>
            <w:r>
              <w:rPr>
                <w:rFonts w:ascii="Arial" w:cs="Arial" w:eastAsia="Arial" w:hAnsi="Arial"/>
                <w:sz w:val="13"/>
                <w:szCs w:val="13"/>
                <w:color w:val="0E191E"/>
              </w:rPr>
              <w:t>Paul Lavin</w:t>
            </w:r>
            <w:r>
              <w:rPr>
                <w:rFonts w:ascii="Arial" w:cs="Arial" w:eastAsia="Arial" w:hAnsi="Arial"/>
                <w:sz w:val="17"/>
                <w:szCs w:val="17"/>
                <w:color w:val="0E191E"/>
                <w:vertAlign w:val="superscript"/>
              </w:rPr>
              <w:t>(13)</w:t>
            </w:r>
          </w:p>
        </w:tc>
        <w:tc>
          <w:tcPr>
            <w:tcW w:w="2400" w:type="dxa"/>
            <w:vAlign w:val="bottom"/>
          </w:tcPr>
          <w:p>
            <w:pPr>
              <w:jc w:val="center"/>
              <w:spacing w:after="0"/>
              <w:rPr>
                <w:sz w:val="20"/>
                <w:szCs w:val="20"/>
                <w:color w:val="auto"/>
              </w:rPr>
            </w:pPr>
            <w:r>
              <w:rPr>
                <w:rFonts w:ascii="Arial" w:cs="Arial" w:eastAsia="Arial" w:hAnsi="Arial"/>
                <w:sz w:val="13"/>
                <w:szCs w:val="13"/>
                <w:color w:val="auto"/>
              </w:rPr>
              <w:t>4,878</w:t>
            </w:r>
          </w:p>
        </w:tc>
        <w:tc>
          <w:tcPr>
            <w:tcW w:w="2460" w:type="dxa"/>
            <w:vAlign w:val="bottom"/>
          </w:tcPr>
          <w:p>
            <w:pPr>
              <w:jc w:val="center"/>
              <w:spacing w:after="0"/>
              <w:rPr>
                <w:sz w:val="20"/>
                <w:szCs w:val="20"/>
                <w:color w:val="auto"/>
              </w:rPr>
            </w:pPr>
            <w:r>
              <w:rPr>
                <w:rFonts w:ascii="Arial" w:cs="Arial" w:eastAsia="Arial" w:hAnsi="Arial"/>
                <w:sz w:val="13"/>
                <w:szCs w:val="13"/>
                <w:color w:val="0E191E"/>
              </w:rPr>
              <w:t>*</w:t>
            </w:r>
          </w:p>
        </w:tc>
      </w:tr>
      <w:tr>
        <w:trPr>
          <w:trHeight w:val="216"/>
        </w:trPr>
        <w:tc>
          <w:tcPr>
            <w:tcW w:w="6380" w:type="dxa"/>
            <w:vAlign w:val="bottom"/>
            <w:shd w:val="clear" w:color="auto" w:fill="E5F1F5"/>
          </w:tcPr>
          <w:p>
            <w:pPr>
              <w:ind w:left="260"/>
              <w:spacing w:after="0"/>
              <w:rPr>
                <w:sz w:val="20"/>
                <w:szCs w:val="20"/>
                <w:color w:val="auto"/>
              </w:rPr>
            </w:pPr>
            <w:r>
              <w:rPr>
                <w:rFonts w:ascii="Arial" w:cs="Arial" w:eastAsia="Arial" w:hAnsi="Arial"/>
                <w:sz w:val="13"/>
                <w:szCs w:val="13"/>
                <w:color w:val="0E191E"/>
              </w:rPr>
              <w:t>Andrew Brown</w:t>
            </w:r>
            <w:r>
              <w:rPr>
                <w:rFonts w:ascii="Arial" w:cs="Arial" w:eastAsia="Arial" w:hAnsi="Arial"/>
                <w:sz w:val="17"/>
                <w:szCs w:val="17"/>
                <w:color w:val="0E191E"/>
                <w:vertAlign w:val="superscript"/>
              </w:rPr>
              <w:t>(14)</w:t>
            </w:r>
          </w:p>
        </w:tc>
        <w:tc>
          <w:tcPr>
            <w:tcW w:w="2400" w:type="dxa"/>
            <w:vAlign w:val="bottom"/>
            <w:shd w:val="clear" w:color="auto" w:fill="E5F1F5"/>
          </w:tcPr>
          <w:p>
            <w:pPr>
              <w:jc w:val="center"/>
              <w:spacing w:after="0"/>
              <w:rPr>
                <w:sz w:val="20"/>
                <w:szCs w:val="20"/>
                <w:color w:val="auto"/>
              </w:rPr>
            </w:pPr>
            <w:r>
              <w:rPr>
                <w:rFonts w:ascii="Arial" w:cs="Arial" w:eastAsia="Arial" w:hAnsi="Arial"/>
                <w:sz w:val="13"/>
                <w:szCs w:val="13"/>
                <w:color w:val="auto"/>
              </w:rPr>
              <w:t>15,141</w:t>
            </w:r>
          </w:p>
        </w:tc>
        <w:tc>
          <w:tcPr>
            <w:tcW w:w="246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w:t>
            </w:r>
          </w:p>
        </w:tc>
      </w:tr>
      <w:tr>
        <w:trPr>
          <w:trHeight w:val="216"/>
        </w:trPr>
        <w:tc>
          <w:tcPr>
            <w:tcW w:w="6380" w:type="dxa"/>
            <w:vAlign w:val="bottom"/>
          </w:tcPr>
          <w:p>
            <w:pPr>
              <w:ind w:left="260"/>
              <w:spacing w:after="0"/>
              <w:rPr>
                <w:sz w:val="20"/>
                <w:szCs w:val="20"/>
                <w:color w:val="auto"/>
              </w:rPr>
            </w:pPr>
            <w:r>
              <w:rPr>
                <w:rFonts w:ascii="Arial" w:cs="Arial" w:eastAsia="Arial" w:hAnsi="Arial"/>
                <w:sz w:val="13"/>
                <w:szCs w:val="13"/>
                <w:color w:val="0E191E"/>
              </w:rPr>
              <w:t>Margaret Dillon</w:t>
            </w:r>
            <w:r>
              <w:rPr>
                <w:rFonts w:ascii="Arial" w:cs="Arial" w:eastAsia="Arial" w:hAnsi="Arial"/>
                <w:sz w:val="17"/>
                <w:szCs w:val="17"/>
                <w:color w:val="0E191E"/>
                <w:vertAlign w:val="superscript"/>
              </w:rPr>
              <w:t>(15)</w:t>
            </w:r>
          </w:p>
        </w:tc>
        <w:tc>
          <w:tcPr>
            <w:tcW w:w="2400" w:type="dxa"/>
            <w:vAlign w:val="bottom"/>
          </w:tcPr>
          <w:p>
            <w:pPr>
              <w:jc w:val="center"/>
              <w:spacing w:after="0"/>
              <w:rPr>
                <w:sz w:val="20"/>
                <w:szCs w:val="20"/>
                <w:color w:val="auto"/>
              </w:rPr>
            </w:pPr>
            <w:r>
              <w:rPr>
                <w:rFonts w:ascii="Arial" w:cs="Arial" w:eastAsia="Arial" w:hAnsi="Arial"/>
                <w:sz w:val="13"/>
                <w:szCs w:val="13"/>
                <w:color w:val="auto"/>
              </w:rPr>
              <w:t>6,279</w:t>
            </w:r>
          </w:p>
        </w:tc>
        <w:tc>
          <w:tcPr>
            <w:tcW w:w="2460" w:type="dxa"/>
            <w:vAlign w:val="bottom"/>
          </w:tcPr>
          <w:p>
            <w:pPr>
              <w:jc w:val="center"/>
              <w:spacing w:after="0"/>
              <w:rPr>
                <w:sz w:val="20"/>
                <w:szCs w:val="20"/>
                <w:color w:val="auto"/>
              </w:rPr>
            </w:pPr>
            <w:r>
              <w:rPr>
                <w:rFonts w:ascii="Arial" w:cs="Arial" w:eastAsia="Arial" w:hAnsi="Arial"/>
                <w:sz w:val="13"/>
                <w:szCs w:val="13"/>
                <w:color w:val="0E191E"/>
              </w:rPr>
              <w:t>*</w:t>
            </w:r>
          </w:p>
        </w:tc>
      </w:tr>
      <w:tr>
        <w:trPr>
          <w:trHeight w:val="216"/>
        </w:trPr>
        <w:tc>
          <w:tcPr>
            <w:tcW w:w="6380" w:type="dxa"/>
            <w:vAlign w:val="bottom"/>
            <w:shd w:val="clear" w:color="auto" w:fill="E5F1F5"/>
          </w:tcPr>
          <w:p>
            <w:pPr>
              <w:ind w:left="260"/>
              <w:spacing w:after="0"/>
              <w:rPr>
                <w:sz w:val="20"/>
                <w:szCs w:val="20"/>
                <w:color w:val="auto"/>
              </w:rPr>
            </w:pPr>
            <w:r>
              <w:rPr>
                <w:rFonts w:ascii="Arial" w:cs="Arial" w:eastAsia="Arial" w:hAnsi="Arial"/>
                <w:sz w:val="13"/>
                <w:szCs w:val="13"/>
                <w:color w:val="0E191E"/>
              </w:rPr>
              <w:t>Michael Keller</w:t>
            </w:r>
            <w:r>
              <w:rPr>
                <w:rFonts w:ascii="Arial" w:cs="Arial" w:eastAsia="Arial" w:hAnsi="Arial"/>
                <w:sz w:val="17"/>
                <w:szCs w:val="17"/>
                <w:color w:val="0E191E"/>
                <w:vertAlign w:val="superscript"/>
              </w:rPr>
              <w:t>(16)</w:t>
            </w:r>
          </w:p>
        </w:tc>
        <w:tc>
          <w:tcPr>
            <w:tcW w:w="2400" w:type="dxa"/>
            <w:vAlign w:val="bottom"/>
            <w:shd w:val="clear" w:color="auto" w:fill="E5F1F5"/>
          </w:tcPr>
          <w:p>
            <w:pPr>
              <w:jc w:val="center"/>
              <w:spacing w:after="0"/>
              <w:rPr>
                <w:sz w:val="20"/>
                <w:szCs w:val="20"/>
                <w:color w:val="auto"/>
              </w:rPr>
            </w:pPr>
            <w:r>
              <w:rPr>
                <w:rFonts w:ascii="Arial" w:cs="Arial" w:eastAsia="Arial" w:hAnsi="Arial"/>
                <w:sz w:val="13"/>
                <w:szCs w:val="13"/>
                <w:color w:val="auto"/>
              </w:rPr>
              <w:t>5,139</w:t>
            </w:r>
          </w:p>
        </w:tc>
        <w:tc>
          <w:tcPr>
            <w:tcW w:w="246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w:t>
            </w:r>
          </w:p>
        </w:tc>
      </w:tr>
      <w:tr>
        <w:trPr>
          <w:trHeight w:val="216"/>
        </w:trPr>
        <w:tc>
          <w:tcPr>
            <w:tcW w:w="6380" w:type="dxa"/>
            <w:vAlign w:val="bottom"/>
          </w:tcPr>
          <w:p>
            <w:pPr>
              <w:ind w:left="260"/>
              <w:spacing w:after="0"/>
              <w:rPr>
                <w:sz w:val="20"/>
                <w:szCs w:val="20"/>
                <w:color w:val="auto"/>
              </w:rPr>
            </w:pPr>
            <w:r>
              <w:rPr>
                <w:rFonts w:ascii="Arial" w:cs="Arial" w:eastAsia="Arial" w:hAnsi="Arial"/>
                <w:sz w:val="13"/>
                <w:szCs w:val="13"/>
                <w:color w:val="0E191E"/>
              </w:rPr>
              <w:t>Catherine P. Lego</w:t>
            </w:r>
            <w:r>
              <w:rPr>
                <w:rFonts w:ascii="Arial" w:cs="Arial" w:eastAsia="Arial" w:hAnsi="Arial"/>
                <w:sz w:val="17"/>
                <w:szCs w:val="17"/>
                <w:color w:val="0E191E"/>
                <w:vertAlign w:val="superscript"/>
              </w:rPr>
              <w:t>(17)</w:t>
            </w:r>
          </w:p>
        </w:tc>
        <w:tc>
          <w:tcPr>
            <w:tcW w:w="2400" w:type="dxa"/>
            <w:vAlign w:val="bottom"/>
          </w:tcPr>
          <w:p>
            <w:pPr>
              <w:jc w:val="center"/>
              <w:spacing w:after="0"/>
              <w:rPr>
                <w:sz w:val="20"/>
                <w:szCs w:val="20"/>
                <w:color w:val="auto"/>
              </w:rPr>
            </w:pPr>
            <w:r>
              <w:rPr>
                <w:rFonts w:ascii="Arial" w:cs="Arial" w:eastAsia="Arial" w:hAnsi="Arial"/>
                <w:sz w:val="13"/>
                <w:szCs w:val="13"/>
                <w:color w:val="auto"/>
              </w:rPr>
              <w:t>6,279</w:t>
            </w:r>
          </w:p>
        </w:tc>
        <w:tc>
          <w:tcPr>
            <w:tcW w:w="2460" w:type="dxa"/>
            <w:vAlign w:val="bottom"/>
          </w:tcPr>
          <w:p>
            <w:pPr>
              <w:jc w:val="center"/>
              <w:spacing w:after="0"/>
              <w:rPr>
                <w:sz w:val="20"/>
                <w:szCs w:val="20"/>
                <w:color w:val="auto"/>
              </w:rPr>
            </w:pPr>
            <w:r>
              <w:rPr>
                <w:rFonts w:ascii="Arial" w:cs="Arial" w:eastAsia="Arial" w:hAnsi="Arial"/>
                <w:sz w:val="13"/>
                <w:szCs w:val="13"/>
                <w:color w:val="0E191E"/>
              </w:rPr>
              <w:t>*</w:t>
            </w:r>
          </w:p>
        </w:tc>
      </w:tr>
      <w:tr>
        <w:trPr>
          <w:trHeight w:val="216"/>
        </w:trPr>
        <w:tc>
          <w:tcPr>
            <w:tcW w:w="6380" w:type="dxa"/>
            <w:vAlign w:val="bottom"/>
            <w:shd w:val="clear" w:color="auto" w:fill="E5F1F5"/>
          </w:tcPr>
          <w:p>
            <w:pPr>
              <w:ind w:left="260"/>
              <w:spacing w:after="0"/>
              <w:rPr>
                <w:sz w:val="20"/>
                <w:szCs w:val="20"/>
                <w:color w:val="auto"/>
              </w:rPr>
            </w:pPr>
            <w:r>
              <w:rPr>
                <w:rFonts w:ascii="Arial" w:cs="Arial" w:eastAsia="Arial" w:hAnsi="Arial"/>
                <w:sz w:val="13"/>
                <w:szCs w:val="13"/>
                <w:color w:val="0E191E"/>
              </w:rPr>
              <w:t>Rajani Ramanathan</w:t>
            </w:r>
            <w:r>
              <w:rPr>
                <w:rFonts w:ascii="Arial" w:cs="Arial" w:eastAsia="Arial" w:hAnsi="Arial"/>
                <w:sz w:val="17"/>
                <w:szCs w:val="17"/>
                <w:color w:val="0E191E"/>
                <w:vertAlign w:val="superscript"/>
              </w:rPr>
              <w:t>(18)</w:t>
            </w:r>
          </w:p>
        </w:tc>
        <w:tc>
          <w:tcPr>
            <w:tcW w:w="2400" w:type="dxa"/>
            <w:vAlign w:val="bottom"/>
            <w:shd w:val="clear" w:color="auto" w:fill="E5F1F5"/>
          </w:tcPr>
          <w:p>
            <w:pPr>
              <w:jc w:val="center"/>
              <w:spacing w:after="0"/>
              <w:rPr>
                <w:sz w:val="20"/>
                <w:szCs w:val="20"/>
                <w:color w:val="auto"/>
              </w:rPr>
            </w:pPr>
            <w:r>
              <w:rPr>
                <w:rFonts w:ascii="Arial" w:cs="Arial" w:eastAsia="Arial" w:hAnsi="Arial"/>
                <w:sz w:val="13"/>
                <w:szCs w:val="13"/>
                <w:color w:val="auto"/>
              </w:rPr>
              <w:t>943</w:t>
            </w:r>
          </w:p>
        </w:tc>
        <w:tc>
          <w:tcPr>
            <w:tcW w:w="246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w:t>
            </w:r>
          </w:p>
        </w:tc>
      </w:tr>
      <w:tr>
        <w:trPr>
          <w:trHeight w:val="216"/>
        </w:trPr>
        <w:tc>
          <w:tcPr>
            <w:tcW w:w="63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0E191E"/>
              </w:rPr>
              <w:t>All directors and executive officers as a group ([13] persons)</w:t>
            </w:r>
            <w:r>
              <w:rPr>
                <w:rFonts w:ascii="Arial" w:cs="Arial" w:eastAsia="Arial" w:hAnsi="Arial"/>
                <w:sz w:val="17"/>
                <w:szCs w:val="17"/>
                <w:b w:val="1"/>
                <w:bCs w:val="1"/>
                <w:color w:val="0E191E"/>
                <w:vertAlign w:val="superscript"/>
              </w:rPr>
              <w:t>(19)</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145,418</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E191E"/>
              </w:rPr>
              <w:t>*</w:t>
            </w:r>
          </w:p>
        </w:tc>
      </w:tr>
      <w:tr>
        <w:trPr>
          <w:trHeight w:val="68"/>
        </w:trPr>
        <w:tc>
          <w:tcPr>
            <w:tcW w:w="6380" w:type="dxa"/>
            <w:vAlign w:val="bottom"/>
          </w:tcPr>
          <w:p>
            <w:pPr>
              <w:spacing w:after="0"/>
              <w:rPr>
                <w:sz w:val="5"/>
                <w:szCs w:val="5"/>
                <w:color w:val="auto"/>
              </w:rPr>
            </w:pPr>
          </w:p>
        </w:tc>
        <w:tc>
          <w:tcPr>
            <w:tcW w:w="2400" w:type="dxa"/>
            <w:vAlign w:val="bottom"/>
            <w:tcBorders>
              <w:bottom w:val="single" w:sz="8" w:color="FFC000"/>
            </w:tcBorders>
          </w:tcPr>
          <w:p>
            <w:pPr>
              <w:spacing w:after="0"/>
              <w:rPr>
                <w:sz w:val="5"/>
                <w:szCs w:val="5"/>
                <w:color w:val="auto"/>
              </w:rPr>
            </w:pPr>
          </w:p>
        </w:tc>
        <w:tc>
          <w:tcPr>
            <w:tcW w:w="2460" w:type="dxa"/>
            <w:vAlign w:val="bottom"/>
            <w:tcBorders>
              <w:bottom w:val="single" w:sz="8" w:color="FFC000"/>
            </w:tcBorders>
          </w:tcPr>
          <w:p>
            <w:pPr>
              <w:spacing w:after="0"/>
              <w:rPr>
                <w:sz w:val="5"/>
                <w:szCs w:val="5"/>
                <w:color w:val="auto"/>
              </w:rPr>
            </w:pPr>
          </w:p>
        </w:tc>
      </w:tr>
    </w:tbl>
    <w:p>
      <w:pPr>
        <w:spacing w:after="0" w:line="172" w:lineRule="exact"/>
        <w:rPr>
          <w:sz w:val="20"/>
          <w:szCs w:val="20"/>
          <w:color w:val="auto"/>
        </w:rPr>
      </w:pPr>
    </w:p>
    <w:p>
      <w:pPr>
        <w:ind w:left="460" w:hanging="97"/>
        <w:spacing w:after="0"/>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0E191E"/>
        </w:rPr>
        <w:t>Less than 1%.</w:t>
      </w:r>
    </w:p>
    <w:p>
      <w:pPr>
        <w:spacing w:after="0" w:line="269"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58</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1" w:right="339" w:bottom="1440" w:gutter="0" w:footer="0" w:header="0"/>
        </w:sectPr>
      </w:pPr>
    </w:p>
    <w:bookmarkStart w:id="62" w:name="page63"/>
    <w:bookmarkEnd w:id="62"/>
    <w:p>
      <w:pPr>
        <w:ind w:left="319" w:hanging="234"/>
        <w:spacing w:after="0"/>
        <w:tabs>
          <w:tab w:leader="none" w:pos="319" w:val="left"/>
        </w:tabs>
        <w:numPr>
          <w:ilvl w:val="0"/>
          <w:numId w:val="40"/>
        </w:numPr>
        <w:rPr>
          <w:rFonts w:ascii="Arial" w:cs="Arial" w:eastAsia="Arial" w:hAnsi="Arial"/>
          <w:sz w:val="15"/>
          <w:szCs w:val="15"/>
          <w:color w:val="auto"/>
        </w:rPr>
      </w:pPr>
      <w:r>
        <w:rPr>
          <w:rFonts w:ascii="Arial" w:cs="Arial" w:eastAsia="Arial" w:hAnsi="Arial"/>
          <w:sz w:val="15"/>
          <w:szCs w:val="15"/>
          <w:color w:val="0E191E"/>
        </w:rPr>
        <w:t>Unless noted otherwise in the footnotes, all addresses are c/o Guidewire Software, Inc., 2850 S. Delaware St., Suite 400, San Mateo, California 94403.</w:t>
      </w:r>
    </w:p>
    <w:p>
      <w:pPr>
        <w:spacing w:after="0" w:line="70" w:lineRule="exact"/>
        <w:rPr>
          <w:rFonts w:ascii="Arial" w:cs="Arial" w:eastAsia="Arial" w:hAnsi="Arial"/>
          <w:sz w:val="15"/>
          <w:szCs w:val="15"/>
          <w:color w:val="auto"/>
        </w:rPr>
      </w:pPr>
    </w:p>
    <w:p>
      <w:pPr>
        <w:ind w:left="319" w:right="40" w:hanging="234"/>
        <w:spacing w:after="0" w:line="267" w:lineRule="auto"/>
        <w:tabs>
          <w:tab w:leader="none" w:pos="319" w:val="left"/>
        </w:tabs>
        <w:numPr>
          <w:ilvl w:val="0"/>
          <w:numId w:val="40"/>
        </w:numPr>
        <w:rPr>
          <w:rFonts w:ascii="Arial" w:cs="Arial" w:eastAsia="Arial" w:hAnsi="Arial"/>
          <w:sz w:val="15"/>
          <w:szCs w:val="15"/>
          <w:color w:val="auto"/>
        </w:rPr>
      </w:pPr>
      <w:r>
        <w:rPr>
          <w:rFonts w:ascii="Arial" w:cs="Arial" w:eastAsia="Arial" w:hAnsi="Arial"/>
          <w:sz w:val="15"/>
          <w:szCs w:val="15"/>
          <w:color w:val="0E191E"/>
        </w:rPr>
        <w:t>Based solely on information reported on a Schedule 13G filed with the SEC on February 12, 2021 by BAMCO, Inc. (“BAMCO”), Baron Capital Group, Inc. (“BCG”), Baron Capital Management, Inc. (“BCM”) and Ronald Baron, consists of 5,729,639 shares beneficially held by BCG, 5,559,639 shares for which BCG possesses shared voting power and 5,729,639 shares for which BCG possesses shared dispositive power. BAMCO and BCM are subsidiaries of BCG and Ronald Baron owns a controlling interest in BCG. The principal business address of BAMCO, BCG, BCM and Mr. Baron is 767 Fifth Avenue, 49th Floor, New York, NY 10153.</w:t>
      </w:r>
    </w:p>
    <w:p>
      <w:pPr>
        <w:spacing w:after="0" w:line="39" w:lineRule="exact"/>
        <w:rPr>
          <w:rFonts w:ascii="Arial" w:cs="Arial" w:eastAsia="Arial" w:hAnsi="Arial"/>
          <w:sz w:val="15"/>
          <w:szCs w:val="15"/>
          <w:color w:val="auto"/>
        </w:rPr>
      </w:pPr>
    </w:p>
    <w:p>
      <w:pPr>
        <w:ind w:left="319" w:right="60" w:hanging="234"/>
        <w:spacing w:after="0" w:line="267" w:lineRule="auto"/>
        <w:tabs>
          <w:tab w:leader="none" w:pos="319" w:val="left"/>
        </w:tabs>
        <w:numPr>
          <w:ilvl w:val="0"/>
          <w:numId w:val="40"/>
        </w:numPr>
        <w:rPr>
          <w:rFonts w:ascii="Arial" w:cs="Arial" w:eastAsia="Arial" w:hAnsi="Arial"/>
          <w:sz w:val="15"/>
          <w:szCs w:val="15"/>
          <w:color w:val="auto"/>
        </w:rPr>
      </w:pPr>
      <w:r>
        <w:rPr>
          <w:rFonts w:ascii="Arial" w:cs="Arial" w:eastAsia="Arial" w:hAnsi="Arial"/>
          <w:sz w:val="15"/>
          <w:szCs w:val="15"/>
          <w:color w:val="0E191E"/>
        </w:rPr>
        <w:t>Based solely on information reported on a Schedule 13G filed with the SEC on February 16, 2021 by Berkshire Partners Holdings LLC (“BPH”), BPSP, L.P. (“BPSP”), Stockbridge Fund, L.P. (“SF”), Stockbridge Absolute Return Fund, L.P. (“SARF”) and Stockbridge Partners LLC (“SP”), consists of 4,471,387 shares beneficially held by BPH, 4,471,387 shares for which BPH possesses shared voting power and 4,471,387 shares for which BPH possesses shared dispositive power. SA is the general partner of SF and SARF. BPH is a general partner of BPSP. BPSP is the managing member of SP and investment advisor to SF. The principal business address of BPH, BPSP, SF, SARF and SP is 200 Clarendon Street, 35th Floor, Boston, MA 02116.</w:t>
      </w:r>
    </w:p>
    <w:p>
      <w:pPr>
        <w:spacing w:after="0" w:line="39" w:lineRule="exact"/>
        <w:rPr>
          <w:rFonts w:ascii="Arial" w:cs="Arial" w:eastAsia="Arial" w:hAnsi="Arial"/>
          <w:sz w:val="15"/>
          <w:szCs w:val="15"/>
          <w:color w:val="auto"/>
        </w:rPr>
      </w:pPr>
    </w:p>
    <w:p>
      <w:pPr>
        <w:ind w:left="319" w:right="380" w:hanging="234"/>
        <w:spacing w:after="0" w:line="271" w:lineRule="auto"/>
        <w:tabs>
          <w:tab w:leader="none" w:pos="319" w:val="left"/>
        </w:tabs>
        <w:numPr>
          <w:ilvl w:val="0"/>
          <w:numId w:val="40"/>
        </w:numPr>
        <w:rPr>
          <w:rFonts w:ascii="Arial" w:cs="Arial" w:eastAsia="Arial" w:hAnsi="Arial"/>
          <w:sz w:val="15"/>
          <w:szCs w:val="15"/>
          <w:color w:val="auto"/>
        </w:rPr>
      </w:pPr>
      <w:r>
        <w:rPr>
          <w:rFonts w:ascii="Arial" w:cs="Arial" w:eastAsia="Arial" w:hAnsi="Arial"/>
          <w:sz w:val="15"/>
          <w:szCs w:val="15"/>
          <w:color w:val="0E191E"/>
        </w:rPr>
        <w:t>Based solely on information reported on a Schedule 13G filed with the SEC on February 5, 2021, by BlackRock, Inc. (“BlackRock”), consists of 4,528,717 shares beneficially held by BlackRock, 4,015,740 shares for which BlackRock possesses sole voting power and 4,528,717 shares for which BlackRock possesses sole dispositive power. The principal business address for BlackRock is 55 East 52nd Street, New York, NY 10055.</w:t>
      </w:r>
    </w:p>
    <w:p>
      <w:pPr>
        <w:spacing w:after="0" w:line="36" w:lineRule="exact"/>
        <w:rPr>
          <w:rFonts w:ascii="Arial" w:cs="Arial" w:eastAsia="Arial" w:hAnsi="Arial"/>
          <w:sz w:val="15"/>
          <w:szCs w:val="15"/>
          <w:color w:val="auto"/>
        </w:rPr>
      </w:pPr>
    </w:p>
    <w:p>
      <w:pPr>
        <w:ind w:left="319" w:hanging="234"/>
        <w:spacing w:after="0" w:line="268" w:lineRule="auto"/>
        <w:tabs>
          <w:tab w:leader="none" w:pos="319" w:val="left"/>
        </w:tabs>
        <w:numPr>
          <w:ilvl w:val="0"/>
          <w:numId w:val="40"/>
        </w:numPr>
        <w:rPr>
          <w:rFonts w:ascii="Arial" w:cs="Arial" w:eastAsia="Arial" w:hAnsi="Arial"/>
          <w:sz w:val="15"/>
          <w:szCs w:val="15"/>
          <w:color w:val="auto"/>
        </w:rPr>
      </w:pPr>
      <w:r>
        <w:rPr>
          <w:rFonts w:ascii="Arial" w:cs="Arial" w:eastAsia="Arial" w:hAnsi="Arial"/>
          <w:sz w:val="15"/>
          <w:szCs w:val="15"/>
          <w:color w:val="0E191E"/>
        </w:rPr>
        <w:t>Based solely on information reported on a Schedule 13G filed with the SEC on February 10, 2021, by The Vanguard Group (“Vanguard”), consists of 7,590,188 shares beneficially held by Vanguard, 74,543 shares for which Vanguard possesses shared voting power, 7,450,654 shares for which Vanguard possesses sole dispositive power and 139,534 shares for which Vanguard possesses shared dispositive power. The principal business address for Vanguard is 100 Vanguard Boulevard, Malvern, PA 19355.</w:t>
      </w:r>
    </w:p>
    <w:p>
      <w:pPr>
        <w:spacing w:after="0" w:line="39" w:lineRule="exact"/>
        <w:rPr>
          <w:rFonts w:ascii="Arial" w:cs="Arial" w:eastAsia="Arial" w:hAnsi="Arial"/>
          <w:sz w:val="15"/>
          <w:szCs w:val="15"/>
          <w:color w:val="auto"/>
        </w:rPr>
      </w:pPr>
    </w:p>
    <w:p>
      <w:pPr>
        <w:ind w:left="319" w:right="80" w:hanging="234"/>
        <w:spacing w:after="0" w:line="268" w:lineRule="auto"/>
        <w:tabs>
          <w:tab w:leader="none" w:pos="319" w:val="left"/>
        </w:tabs>
        <w:numPr>
          <w:ilvl w:val="0"/>
          <w:numId w:val="40"/>
        </w:numPr>
        <w:rPr>
          <w:rFonts w:ascii="Arial" w:cs="Arial" w:eastAsia="Arial" w:hAnsi="Arial"/>
          <w:sz w:val="15"/>
          <w:szCs w:val="15"/>
          <w:color w:val="auto"/>
        </w:rPr>
      </w:pPr>
      <w:r>
        <w:rPr>
          <w:rFonts w:ascii="Arial" w:cs="Arial" w:eastAsia="Arial" w:hAnsi="Arial"/>
          <w:sz w:val="15"/>
          <w:szCs w:val="15"/>
          <w:color w:val="0E191E"/>
        </w:rPr>
        <w:t>Based solely on information reported on a Schedule 13G filed with the SEC on February 4, 2021, by Wellington Management Group LLP ("WMG"), Wellington Group Holdings LLP ("WGH"), Wellington Investment Advisors Holdings LLP ("WIAH"), and Wellington Management Company LLP ("WMC"), consists of 7,391,479 shares beneficially held by WMG, 6,091,020 shares for which WMG possesses shared voting power, and 7,391,445 shares for which WMG possesses shared dispositive power. The principal business address for WMG, WGH, WIAH and WMC is 280 Congress Street, Boston, MA 02210.</w:t>
      </w:r>
    </w:p>
    <w:p>
      <w:pPr>
        <w:spacing w:after="0" w:line="39" w:lineRule="exact"/>
        <w:rPr>
          <w:rFonts w:ascii="Arial" w:cs="Arial" w:eastAsia="Arial" w:hAnsi="Arial"/>
          <w:sz w:val="15"/>
          <w:szCs w:val="15"/>
          <w:color w:val="auto"/>
        </w:rPr>
      </w:pPr>
    </w:p>
    <w:p>
      <w:pPr>
        <w:ind w:left="319" w:hanging="234"/>
        <w:spacing w:after="0"/>
        <w:tabs>
          <w:tab w:leader="none" w:pos="319" w:val="left"/>
        </w:tabs>
        <w:numPr>
          <w:ilvl w:val="0"/>
          <w:numId w:val="40"/>
        </w:numPr>
        <w:rPr>
          <w:rFonts w:ascii="Arial" w:cs="Arial" w:eastAsia="Arial" w:hAnsi="Arial"/>
          <w:sz w:val="15"/>
          <w:szCs w:val="15"/>
          <w:color w:val="auto"/>
        </w:rPr>
      </w:pPr>
      <w:r>
        <w:rPr>
          <w:rFonts w:ascii="Arial" w:cs="Arial" w:eastAsia="Arial" w:hAnsi="Arial"/>
          <w:sz w:val="15"/>
          <w:szCs w:val="15"/>
          <w:color w:val="0E191E"/>
        </w:rPr>
        <w:t>Includes 11,266 RSU shares that will be vested and released within 60 days of the record date.</w:t>
      </w:r>
    </w:p>
    <w:p>
      <w:pPr>
        <w:spacing w:after="0" w:line="70" w:lineRule="exact"/>
        <w:rPr>
          <w:rFonts w:ascii="Arial" w:cs="Arial" w:eastAsia="Arial" w:hAnsi="Arial"/>
          <w:sz w:val="15"/>
          <w:szCs w:val="15"/>
          <w:color w:val="auto"/>
        </w:rPr>
      </w:pPr>
    </w:p>
    <w:p>
      <w:pPr>
        <w:ind w:left="319" w:hanging="234"/>
        <w:spacing w:after="0"/>
        <w:tabs>
          <w:tab w:leader="none" w:pos="319" w:val="left"/>
        </w:tabs>
        <w:numPr>
          <w:ilvl w:val="0"/>
          <w:numId w:val="40"/>
        </w:numPr>
        <w:rPr>
          <w:rFonts w:ascii="Arial" w:cs="Arial" w:eastAsia="Arial" w:hAnsi="Arial"/>
          <w:sz w:val="15"/>
          <w:szCs w:val="15"/>
          <w:color w:val="auto"/>
        </w:rPr>
      </w:pPr>
      <w:r>
        <w:rPr>
          <w:rFonts w:ascii="Arial" w:cs="Arial" w:eastAsia="Arial" w:hAnsi="Arial"/>
          <w:sz w:val="15"/>
          <w:szCs w:val="15"/>
          <w:color w:val="0E191E"/>
        </w:rPr>
        <w:t>Includes 4,201 RSU shares that will be vested and released within 60 days of the record date.</w:t>
      </w:r>
    </w:p>
    <w:p>
      <w:pPr>
        <w:spacing w:after="0" w:line="70" w:lineRule="exact"/>
        <w:rPr>
          <w:rFonts w:ascii="Arial" w:cs="Arial" w:eastAsia="Arial" w:hAnsi="Arial"/>
          <w:sz w:val="15"/>
          <w:szCs w:val="15"/>
          <w:color w:val="auto"/>
        </w:rPr>
      </w:pPr>
    </w:p>
    <w:p>
      <w:pPr>
        <w:ind w:left="319" w:hanging="234"/>
        <w:spacing w:after="0"/>
        <w:tabs>
          <w:tab w:leader="none" w:pos="319" w:val="left"/>
        </w:tabs>
        <w:numPr>
          <w:ilvl w:val="0"/>
          <w:numId w:val="40"/>
        </w:numPr>
        <w:rPr>
          <w:rFonts w:ascii="Arial" w:cs="Arial" w:eastAsia="Arial" w:hAnsi="Arial"/>
          <w:sz w:val="15"/>
          <w:szCs w:val="15"/>
          <w:color w:val="auto"/>
        </w:rPr>
      </w:pPr>
      <w:r>
        <w:rPr>
          <w:rFonts w:ascii="Arial" w:cs="Arial" w:eastAsia="Arial" w:hAnsi="Arial"/>
          <w:sz w:val="15"/>
          <w:szCs w:val="15"/>
          <w:color w:val="0E191E"/>
        </w:rPr>
        <w:t>Includes 4,826 RSU shares that will be vested and released within 60 days of the record date.</w:t>
      </w:r>
    </w:p>
    <w:p>
      <w:pPr>
        <w:spacing w:after="0" w:line="70" w:lineRule="exact"/>
        <w:rPr>
          <w:rFonts w:ascii="Arial" w:cs="Arial" w:eastAsia="Arial" w:hAnsi="Arial"/>
          <w:sz w:val="15"/>
          <w:szCs w:val="15"/>
          <w:color w:val="auto"/>
        </w:rPr>
      </w:pPr>
    </w:p>
    <w:p>
      <w:pPr>
        <w:ind w:left="319" w:hanging="319"/>
        <w:spacing w:after="0"/>
        <w:tabs>
          <w:tab w:leader="none" w:pos="319" w:val="left"/>
        </w:tabs>
        <w:numPr>
          <w:ilvl w:val="0"/>
          <w:numId w:val="40"/>
        </w:numPr>
        <w:rPr>
          <w:rFonts w:ascii="Arial" w:cs="Arial" w:eastAsia="Arial" w:hAnsi="Arial"/>
          <w:sz w:val="15"/>
          <w:szCs w:val="15"/>
          <w:color w:val="auto"/>
        </w:rPr>
      </w:pPr>
      <w:r>
        <w:rPr>
          <w:rFonts w:ascii="Arial" w:cs="Arial" w:eastAsia="Arial" w:hAnsi="Arial"/>
          <w:sz w:val="15"/>
          <w:szCs w:val="15"/>
          <w:color w:val="0E191E"/>
        </w:rPr>
        <w:t>Includes 4,839 RSU shares that will be vested and released within 60 days of the record date.</w:t>
      </w:r>
    </w:p>
    <w:p>
      <w:pPr>
        <w:spacing w:after="0" w:line="70" w:lineRule="exact"/>
        <w:rPr>
          <w:rFonts w:ascii="Arial" w:cs="Arial" w:eastAsia="Arial" w:hAnsi="Arial"/>
          <w:sz w:val="15"/>
          <w:szCs w:val="15"/>
          <w:color w:val="auto"/>
        </w:rPr>
      </w:pPr>
    </w:p>
    <w:p>
      <w:pPr>
        <w:ind w:left="319" w:right="260" w:hanging="319"/>
        <w:spacing w:after="0" w:line="279" w:lineRule="auto"/>
        <w:tabs>
          <w:tab w:leader="none" w:pos="319" w:val="left"/>
        </w:tabs>
        <w:numPr>
          <w:ilvl w:val="0"/>
          <w:numId w:val="40"/>
        </w:numPr>
        <w:rPr>
          <w:rFonts w:ascii="Arial" w:cs="Arial" w:eastAsia="Arial" w:hAnsi="Arial"/>
          <w:sz w:val="15"/>
          <w:szCs w:val="15"/>
          <w:color w:val="auto"/>
        </w:rPr>
      </w:pPr>
      <w:r>
        <w:rPr>
          <w:rFonts w:ascii="Arial" w:cs="Arial" w:eastAsia="Arial" w:hAnsi="Arial"/>
          <w:sz w:val="15"/>
          <w:szCs w:val="15"/>
          <w:color w:val="0E191E"/>
        </w:rPr>
        <w:t>Includes 339 shares that may be acquired within 60 days of the record date through the exercise of stock options and 2,783 RSU shares that will be vested and released within 60 days of the record date.</w:t>
      </w:r>
    </w:p>
    <w:p>
      <w:pPr>
        <w:spacing w:after="0" w:line="30" w:lineRule="exact"/>
        <w:rPr>
          <w:rFonts w:ascii="Arial" w:cs="Arial" w:eastAsia="Arial" w:hAnsi="Arial"/>
          <w:sz w:val="15"/>
          <w:szCs w:val="15"/>
          <w:color w:val="auto"/>
        </w:rPr>
      </w:pPr>
    </w:p>
    <w:p>
      <w:pPr>
        <w:ind w:left="319" w:hanging="319"/>
        <w:spacing w:after="0"/>
        <w:tabs>
          <w:tab w:leader="none" w:pos="319" w:val="left"/>
        </w:tabs>
        <w:numPr>
          <w:ilvl w:val="0"/>
          <w:numId w:val="40"/>
        </w:numPr>
        <w:rPr>
          <w:rFonts w:ascii="Arial" w:cs="Arial" w:eastAsia="Arial" w:hAnsi="Arial"/>
          <w:sz w:val="15"/>
          <w:szCs w:val="15"/>
          <w:color w:val="auto"/>
        </w:rPr>
      </w:pPr>
      <w:r>
        <w:rPr>
          <w:rFonts w:ascii="Arial" w:cs="Arial" w:eastAsia="Arial" w:hAnsi="Arial"/>
          <w:sz w:val="15"/>
          <w:szCs w:val="15"/>
          <w:color w:val="0E191E"/>
        </w:rPr>
        <w:t>Includes 1,848 RSU shares that will be vested and released within 60 days of the record date.</w:t>
      </w:r>
    </w:p>
    <w:p>
      <w:pPr>
        <w:spacing w:after="0" w:line="70" w:lineRule="exact"/>
        <w:rPr>
          <w:rFonts w:ascii="Arial" w:cs="Arial" w:eastAsia="Arial" w:hAnsi="Arial"/>
          <w:sz w:val="15"/>
          <w:szCs w:val="15"/>
          <w:color w:val="auto"/>
        </w:rPr>
      </w:pPr>
    </w:p>
    <w:p>
      <w:pPr>
        <w:ind w:left="319" w:hanging="319"/>
        <w:spacing w:after="0"/>
        <w:tabs>
          <w:tab w:leader="none" w:pos="319" w:val="left"/>
        </w:tabs>
        <w:numPr>
          <w:ilvl w:val="0"/>
          <w:numId w:val="40"/>
        </w:numPr>
        <w:rPr>
          <w:rFonts w:ascii="Arial" w:cs="Arial" w:eastAsia="Arial" w:hAnsi="Arial"/>
          <w:sz w:val="15"/>
          <w:szCs w:val="15"/>
          <w:color w:val="auto"/>
        </w:rPr>
      </w:pPr>
      <w:r>
        <w:rPr>
          <w:rFonts w:ascii="Arial" w:cs="Arial" w:eastAsia="Arial" w:hAnsi="Arial"/>
          <w:sz w:val="15"/>
          <w:szCs w:val="15"/>
          <w:color w:val="0E191E"/>
        </w:rPr>
        <w:t>Includes 1,848 RSU shares that will be vested and released within 60 days of the record date.</w:t>
      </w:r>
    </w:p>
    <w:p>
      <w:pPr>
        <w:spacing w:after="0" w:line="70" w:lineRule="exact"/>
        <w:rPr>
          <w:rFonts w:ascii="Arial" w:cs="Arial" w:eastAsia="Arial" w:hAnsi="Arial"/>
          <w:sz w:val="15"/>
          <w:szCs w:val="15"/>
          <w:color w:val="auto"/>
        </w:rPr>
      </w:pPr>
    </w:p>
    <w:p>
      <w:pPr>
        <w:ind w:left="319" w:right="140" w:hanging="319"/>
        <w:spacing w:after="0" w:line="279" w:lineRule="auto"/>
        <w:tabs>
          <w:tab w:leader="none" w:pos="319" w:val="left"/>
        </w:tabs>
        <w:numPr>
          <w:ilvl w:val="0"/>
          <w:numId w:val="40"/>
        </w:numPr>
        <w:rPr>
          <w:rFonts w:ascii="Arial" w:cs="Arial" w:eastAsia="Arial" w:hAnsi="Arial"/>
          <w:sz w:val="15"/>
          <w:szCs w:val="15"/>
          <w:color w:val="auto"/>
        </w:rPr>
      </w:pPr>
      <w:r>
        <w:rPr>
          <w:rFonts w:ascii="Arial" w:cs="Arial" w:eastAsia="Arial" w:hAnsi="Arial"/>
          <w:sz w:val="15"/>
          <w:szCs w:val="15"/>
          <w:color w:val="0E191E"/>
        </w:rPr>
        <w:t>Includes 4,308 shares that may be acquired within 60 days of the record date through the exercise of stock options and 1,848 RSU shares that will be vested and released within 60 days of the record date.</w:t>
      </w:r>
    </w:p>
    <w:p>
      <w:pPr>
        <w:spacing w:after="0" w:line="30" w:lineRule="exact"/>
        <w:rPr>
          <w:rFonts w:ascii="Arial" w:cs="Arial" w:eastAsia="Arial" w:hAnsi="Arial"/>
          <w:sz w:val="15"/>
          <w:szCs w:val="15"/>
          <w:color w:val="auto"/>
        </w:rPr>
      </w:pPr>
    </w:p>
    <w:p>
      <w:pPr>
        <w:ind w:left="319" w:hanging="319"/>
        <w:spacing w:after="0"/>
        <w:tabs>
          <w:tab w:leader="none" w:pos="319" w:val="left"/>
        </w:tabs>
        <w:numPr>
          <w:ilvl w:val="0"/>
          <w:numId w:val="40"/>
        </w:numPr>
        <w:rPr>
          <w:rFonts w:ascii="Arial" w:cs="Arial" w:eastAsia="Arial" w:hAnsi="Arial"/>
          <w:sz w:val="15"/>
          <w:szCs w:val="15"/>
          <w:color w:val="auto"/>
        </w:rPr>
      </w:pPr>
      <w:r>
        <w:rPr>
          <w:rFonts w:ascii="Arial" w:cs="Arial" w:eastAsia="Arial" w:hAnsi="Arial"/>
          <w:sz w:val="15"/>
          <w:szCs w:val="15"/>
          <w:color w:val="0E191E"/>
        </w:rPr>
        <w:t>Includes 1,848 RSU shares that will be vested and released within 60 days of the record date.</w:t>
      </w:r>
    </w:p>
    <w:p>
      <w:pPr>
        <w:spacing w:after="0" w:line="70" w:lineRule="exact"/>
        <w:rPr>
          <w:rFonts w:ascii="Arial" w:cs="Arial" w:eastAsia="Arial" w:hAnsi="Arial"/>
          <w:sz w:val="15"/>
          <w:szCs w:val="15"/>
          <w:color w:val="auto"/>
        </w:rPr>
      </w:pPr>
    </w:p>
    <w:p>
      <w:pPr>
        <w:ind w:left="319" w:hanging="319"/>
        <w:spacing w:after="0"/>
        <w:tabs>
          <w:tab w:leader="none" w:pos="319" w:val="left"/>
        </w:tabs>
        <w:numPr>
          <w:ilvl w:val="0"/>
          <w:numId w:val="40"/>
        </w:numPr>
        <w:rPr>
          <w:rFonts w:ascii="Arial" w:cs="Arial" w:eastAsia="Arial" w:hAnsi="Arial"/>
          <w:sz w:val="15"/>
          <w:szCs w:val="15"/>
          <w:color w:val="auto"/>
        </w:rPr>
      </w:pPr>
      <w:r>
        <w:rPr>
          <w:rFonts w:ascii="Arial" w:cs="Arial" w:eastAsia="Arial" w:hAnsi="Arial"/>
          <w:sz w:val="15"/>
          <w:szCs w:val="15"/>
          <w:color w:val="0E191E"/>
        </w:rPr>
        <w:t>Includes 1,848 RSU shares that will be vested and released within 60 days of the record date.</w:t>
      </w:r>
    </w:p>
    <w:p>
      <w:pPr>
        <w:spacing w:after="0" w:line="70" w:lineRule="exact"/>
        <w:rPr>
          <w:rFonts w:ascii="Arial" w:cs="Arial" w:eastAsia="Arial" w:hAnsi="Arial"/>
          <w:sz w:val="15"/>
          <w:szCs w:val="15"/>
          <w:color w:val="auto"/>
        </w:rPr>
      </w:pPr>
    </w:p>
    <w:p>
      <w:pPr>
        <w:ind w:left="319" w:hanging="319"/>
        <w:spacing w:after="0"/>
        <w:tabs>
          <w:tab w:leader="none" w:pos="319" w:val="left"/>
        </w:tabs>
        <w:numPr>
          <w:ilvl w:val="0"/>
          <w:numId w:val="40"/>
        </w:numPr>
        <w:rPr>
          <w:rFonts w:ascii="Arial" w:cs="Arial" w:eastAsia="Arial" w:hAnsi="Arial"/>
          <w:sz w:val="15"/>
          <w:szCs w:val="15"/>
          <w:color w:val="auto"/>
        </w:rPr>
      </w:pPr>
      <w:r>
        <w:rPr>
          <w:rFonts w:ascii="Arial" w:cs="Arial" w:eastAsia="Arial" w:hAnsi="Arial"/>
          <w:sz w:val="15"/>
          <w:szCs w:val="15"/>
          <w:color w:val="0E191E"/>
        </w:rPr>
        <w:t>Includes 1,848 RSU shares that will be vested and released within 60 days of the record date.</w:t>
      </w:r>
    </w:p>
    <w:p>
      <w:pPr>
        <w:spacing w:after="0" w:line="70" w:lineRule="exact"/>
        <w:rPr>
          <w:rFonts w:ascii="Arial" w:cs="Arial" w:eastAsia="Arial" w:hAnsi="Arial"/>
          <w:sz w:val="15"/>
          <w:szCs w:val="15"/>
          <w:color w:val="auto"/>
        </w:rPr>
      </w:pPr>
    </w:p>
    <w:p>
      <w:pPr>
        <w:ind w:left="319" w:hanging="319"/>
        <w:spacing w:after="0"/>
        <w:tabs>
          <w:tab w:leader="none" w:pos="319" w:val="left"/>
        </w:tabs>
        <w:numPr>
          <w:ilvl w:val="0"/>
          <w:numId w:val="40"/>
        </w:numPr>
        <w:rPr>
          <w:rFonts w:ascii="Arial" w:cs="Arial" w:eastAsia="Arial" w:hAnsi="Arial"/>
          <w:sz w:val="15"/>
          <w:szCs w:val="15"/>
          <w:color w:val="auto"/>
        </w:rPr>
      </w:pPr>
      <w:r>
        <w:rPr>
          <w:rFonts w:ascii="Arial" w:cs="Arial" w:eastAsia="Arial" w:hAnsi="Arial"/>
          <w:sz w:val="15"/>
          <w:szCs w:val="15"/>
          <w:color w:val="0E191E"/>
        </w:rPr>
        <w:t>Includes 943 RSU shares that will be vested and released within 60 days of the record date.</w:t>
      </w:r>
    </w:p>
    <w:p>
      <w:pPr>
        <w:spacing w:after="0" w:line="70" w:lineRule="exact"/>
        <w:rPr>
          <w:rFonts w:ascii="Arial" w:cs="Arial" w:eastAsia="Arial" w:hAnsi="Arial"/>
          <w:sz w:val="15"/>
          <w:szCs w:val="15"/>
          <w:color w:val="auto"/>
        </w:rPr>
      </w:pPr>
    </w:p>
    <w:p>
      <w:pPr>
        <w:ind w:left="319" w:right="60" w:hanging="319"/>
        <w:spacing w:after="0" w:line="279" w:lineRule="auto"/>
        <w:tabs>
          <w:tab w:leader="none" w:pos="319" w:val="left"/>
        </w:tabs>
        <w:numPr>
          <w:ilvl w:val="0"/>
          <w:numId w:val="40"/>
        </w:numPr>
        <w:rPr>
          <w:rFonts w:ascii="Arial" w:cs="Arial" w:eastAsia="Arial" w:hAnsi="Arial"/>
          <w:sz w:val="15"/>
          <w:szCs w:val="15"/>
          <w:color w:val="auto"/>
        </w:rPr>
      </w:pPr>
      <w:r>
        <w:rPr>
          <w:rFonts w:ascii="Arial" w:cs="Arial" w:eastAsia="Arial" w:hAnsi="Arial"/>
          <w:sz w:val="15"/>
          <w:szCs w:val="15"/>
          <w:color w:val="0E191E"/>
        </w:rPr>
        <w:t>Includes 4,647 that may be acquired within 60 days of the record date through the exercise of stock options by the current directors and executive officers and 41,638 shares that will be vested and released to the current directors and executive officers within 60 days of the record date.</w:t>
      </w:r>
    </w:p>
    <w:p>
      <w:pPr>
        <w:spacing w:after="0" w:line="200" w:lineRule="exact"/>
        <w:rPr>
          <w:sz w:val="20"/>
          <w:szCs w:val="20"/>
          <w:color w:val="auto"/>
        </w:rPr>
      </w:pPr>
    </w:p>
    <w:p>
      <w:pPr>
        <w:spacing w:after="0" w:line="272" w:lineRule="exact"/>
        <w:rPr>
          <w:sz w:val="20"/>
          <w:szCs w:val="20"/>
          <w:color w:val="auto"/>
        </w:rPr>
      </w:pPr>
    </w:p>
    <w:tbl>
      <w:tblPr>
        <w:tblLayout w:type="fixed"/>
        <w:tblInd w:w="3399"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59</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59"/>
          </w:cols>
          <w:pgMar w:left="461" w:top="852" w:right="379" w:bottom="1440" w:gutter="0" w:footer="0" w:header="0"/>
        </w:sectPr>
      </w:pPr>
    </w:p>
    <w:bookmarkStart w:id="63" w:name="page64"/>
    <w:bookmarkEnd w:id="63"/>
    <w:p>
      <w:pPr>
        <w:spacing w:after="0"/>
        <w:rPr>
          <w:sz w:val="20"/>
          <w:szCs w:val="20"/>
          <w:color w:val="auto"/>
        </w:rPr>
      </w:pPr>
      <w:r>
        <w:rPr>
          <w:rFonts w:ascii="Arial" w:cs="Arial" w:eastAsia="Arial" w:hAnsi="Arial"/>
          <w:sz w:val="32"/>
          <w:szCs w:val="32"/>
          <w:b w:val="1"/>
          <w:bCs w:val="1"/>
          <w:color w:val="0E191E"/>
        </w:rPr>
        <w:t>Certain Relationships and Related Party Transactions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Transactions with Our Executive Officers and Directors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1EB7DF"/>
        </w:rPr>
        <w:t>Stock Option and RSU Awards</w:t>
      </w:r>
    </w:p>
    <w:p>
      <w:pPr>
        <w:spacing w:after="0" w:line="47" w:lineRule="exact"/>
        <w:rPr>
          <w:sz w:val="20"/>
          <w:szCs w:val="20"/>
          <w:color w:val="auto"/>
        </w:rPr>
      </w:pPr>
    </w:p>
    <w:p>
      <w:pPr>
        <w:ind w:right="320"/>
        <w:spacing w:after="0" w:line="317" w:lineRule="auto"/>
        <w:rPr>
          <w:sz w:val="20"/>
          <w:szCs w:val="20"/>
          <w:color w:val="auto"/>
        </w:rPr>
      </w:pPr>
      <w:r>
        <w:rPr>
          <w:rFonts w:ascii="Arial" w:cs="Arial" w:eastAsia="Arial" w:hAnsi="Arial"/>
          <w:sz w:val="15"/>
          <w:szCs w:val="15"/>
          <w:color w:val="0E191E"/>
        </w:rPr>
        <w:t xml:space="preserve">The grants of certain stock options and RSUs to our directors and executive officers and related equity compensation policies are described above in the sections titled </w:t>
      </w:r>
      <w:r>
        <w:rPr>
          <w:rFonts w:ascii="Arial" w:cs="Arial" w:eastAsia="Arial" w:hAnsi="Arial"/>
          <w:sz w:val="15"/>
          <w:szCs w:val="15"/>
          <w:i w:val="1"/>
          <w:iCs w:val="1"/>
          <w:color w:val="0E191E"/>
        </w:rPr>
        <w:t>“Information Regarding Compensation of Directors and Executive Officers” and “Compensation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1EB7DF"/>
        </w:rPr>
        <w:t>Employment Agreements</w:t>
      </w:r>
    </w:p>
    <w:p>
      <w:pPr>
        <w:spacing w:after="0" w:line="47" w:lineRule="exact"/>
        <w:rPr>
          <w:sz w:val="20"/>
          <w:szCs w:val="20"/>
          <w:color w:val="auto"/>
        </w:rPr>
      </w:pPr>
    </w:p>
    <w:p>
      <w:pPr>
        <w:ind w:right="380"/>
        <w:spacing w:after="0" w:line="317" w:lineRule="auto"/>
        <w:rPr>
          <w:sz w:val="20"/>
          <w:szCs w:val="20"/>
          <w:color w:val="auto"/>
        </w:rPr>
      </w:pPr>
      <w:r>
        <w:rPr>
          <w:rFonts w:ascii="Arial" w:cs="Arial" w:eastAsia="Arial" w:hAnsi="Arial"/>
          <w:sz w:val="15"/>
          <w:szCs w:val="15"/>
          <w:color w:val="0E191E"/>
        </w:rPr>
        <w:t xml:space="preserve">We have entered into agreements containing compensation, termination and change of control provisions, among others, with certain of our executive officers as described above in the section titled </w:t>
      </w:r>
      <w:r>
        <w:rPr>
          <w:rFonts w:ascii="Arial" w:cs="Arial" w:eastAsia="Arial" w:hAnsi="Arial"/>
          <w:sz w:val="15"/>
          <w:szCs w:val="15"/>
          <w:i w:val="1"/>
          <w:iCs w:val="1"/>
          <w:color w:val="0E191E"/>
        </w:rPr>
        <w:t>“Compensation Discussion and Analysis-Executive Agreements and Termination of Employment Arrangements.”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1EB7DF"/>
        </w:rPr>
        <w:t>Indemnification of Officers and Directors</w:t>
      </w:r>
    </w:p>
    <w:p>
      <w:pPr>
        <w:spacing w:after="0" w:line="47" w:lineRule="exact"/>
        <w:rPr>
          <w:sz w:val="20"/>
          <w:szCs w:val="20"/>
          <w:color w:val="auto"/>
        </w:rPr>
      </w:pPr>
    </w:p>
    <w:p>
      <w:pPr>
        <w:ind w:right="300"/>
        <w:spacing w:after="0" w:line="308" w:lineRule="auto"/>
        <w:rPr>
          <w:sz w:val="20"/>
          <w:szCs w:val="20"/>
          <w:color w:val="auto"/>
        </w:rPr>
      </w:pPr>
      <w:r>
        <w:rPr>
          <w:rFonts w:ascii="Arial" w:cs="Arial" w:eastAsia="Arial" w:hAnsi="Arial"/>
          <w:sz w:val="15"/>
          <w:szCs w:val="15"/>
          <w:color w:val="0E191E"/>
        </w:rPr>
        <w:t>We have also entered into indemnification agreements with each of our directors and executive officers. The indemnification agreements and our amended and restated certificate of incorporation and amended and restated bylaws require us to indemnify our directors and executive officers to the fullest extent permitted by Delaware law.</w:t>
      </w:r>
    </w:p>
    <w:p>
      <w:pPr>
        <w:spacing w:after="0" w:line="146" w:lineRule="exact"/>
        <w:rPr>
          <w:sz w:val="20"/>
          <w:szCs w:val="20"/>
          <w:color w:val="auto"/>
        </w:rPr>
      </w:pPr>
    </w:p>
    <w:p>
      <w:pPr>
        <w:spacing w:after="0" w:line="308" w:lineRule="auto"/>
        <w:rPr>
          <w:sz w:val="20"/>
          <w:szCs w:val="20"/>
          <w:color w:val="auto"/>
        </w:rPr>
      </w:pPr>
      <w:r>
        <w:rPr>
          <w:rFonts w:ascii="Arial" w:cs="Arial" w:eastAsia="Arial" w:hAnsi="Arial"/>
          <w:sz w:val="15"/>
          <w:szCs w:val="15"/>
          <w:color w:val="0E191E"/>
        </w:rPr>
        <w:t>Our amended and restated certificate of incorporation and amended and restated bylaws contain provisions that limit the personal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92" w:lineRule="exact"/>
        <w:rPr>
          <w:sz w:val="20"/>
          <w:szCs w:val="20"/>
          <w:color w:val="auto"/>
        </w:rPr>
      </w:pPr>
    </w:p>
    <w:p>
      <w:pPr>
        <w:ind w:left="500" w:hanging="168"/>
        <w:spacing w:after="0"/>
        <w:tabs>
          <w:tab w:leader="none" w:pos="500" w:val="left"/>
        </w:tabs>
        <w:numPr>
          <w:ilvl w:val="0"/>
          <w:numId w:val="41"/>
        </w:numPr>
        <w:rPr>
          <w:rFonts w:ascii="Arial" w:cs="Arial" w:eastAsia="Arial" w:hAnsi="Arial"/>
          <w:sz w:val="15"/>
          <w:szCs w:val="15"/>
          <w:color w:val="0E191E"/>
        </w:rPr>
      </w:pPr>
      <w:r>
        <w:rPr>
          <w:rFonts w:ascii="Arial" w:cs="Arial" w:eastAsia="Arial" w:hAnsi="Arial"/>
          <w:sz w:val="15"/>
          <w:szCs w:val="15"/>
          <w:color w:val="0E191E"/>
        </w:rPr>
        <w:t>Any breach of the director's duty of loyalty to us or our stockholders;</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41"/>
        </w:numPr>
        <w:rPr>
          <w:rFonts w:ascii="Arial" w:cs="Arial" w:eastAsia="Arial" w:hAnsi="Arial"/>
          <w:sz w:val="15"/>
          <w:szCs w:val="15"/>
          <w:color w:val="0E191E"/>
        </w:rPr>
      </w:pPr>
      <w:r>
        <w:rPr>
          <w:rFonts w:ascii="Arial" w:cs="Arial" w:eastAsia="Arial" w:hAnsi="Arial"/>
          <w:sz w:val="15"/>
          <w:szCs w:val="15"/>
          <w:color w:val="0E191E"/>
        </w:rPr>
        <w:t>Any act or omission not in good faith or that involves intentional misconduct or a knowing violation of law;</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41"/>
        </w:numPr>
        <w:rPr>
          <w:rFonts w:ascii="Arial" w:cs="Arial" w:eastAsia="Arial" w:hAnsi="Arial"/>
          <w:sz w:val="15"/>
          <w:szCs w:val="15"/>
          <w:color w:val="0E191E"/>
        </w:rPr>
      </w:pPr>
      <w:r>
        <w:rPr>
          <w:rFonts w:ascii="Arial" w:cs="Arial" w:eastAsia="Arial" w:hAnsi="Arial"/>
          <w:sz w:val="15"/>
          <w:szCs w:val="15"/>
          <w:color w:val="0E191E"/>
        </w:rPr>
        <w:t>Unlawful payments of dividends or unlawful stock repurchases or redemptions as provided in Section 174 of the Delaware General Corporation Law; or</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41"/>
        </w:numPr>
        <w:rPr>
          <w:rFonts w:ascii="Arial" w:cs="Arial" w:eastAsia="Arial" w:hAnsi="Arial"/>
          <w:sz w:val="15"/>
          <w:szCs w:val="15"/>
          <w:color w:val="0E191E"/>
        </w:rPr>
      </w:pPr>
      <w:r>
        <w:rPr>
          <w:rFonts w:ascii="Arial" w:cs="Arial" w:eastAsia="Arial" w:hAnsi="Arial"/>
          <w:sz w:val="15"/>
          <w:szCs w:val="15"/>
          <w:color w:val="0E191E"/>
        </w:rPr>
        <w:t>Any transaction from which the director derived an improper personal benefit.</w:t>
      </w:r>
    </w:p>
    <w:p>
      <w:pPr>
        <w:spacing w:after="0" w:line="206"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0E191E"/>
        </w:rPr>
        <w:t>Our amended and restated certificate of incorporation provides that we indemnify our directors to the fullest extent permitted by Delaware law. In addition, our amended and restated bylaws provide that we indemnify our directors and officers to the fullest extent permitted by Delaware law. Our amended and restated bylaws also provide that we shall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among others,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Policies and Procedures for Related Party Transactions</w:t>
      </w:r>
    </w:p>
    <w:p>
      <w:pPr>
        <w:spacing w:after="0" w:line="136" w:lineRule="exact"/>
        <w:rPr>
          <w:sz w:val="20"/>
          <w:szCs w:val="20"/>
          <w:color w:val="auto"/>
        </w:rPr>
      </w:pPr>
    </w:p>
    <w:p>
      <w:pPr>
        <w:jc w:val="both"/>
        <w:ind w:right="20"/>
        <w:spacing w:after="0" w:line="300" w:lineRule="auto"/>
        <w:rPr>
          <w:sz w:val="20"/>
          <w:szCs w:val="20"/>
          <w:color w:val="auto"/>
        </w:rPr>
      </w:pPr>
      <w:r>
        <w:rPr>
          <w:rFonts w:ascii="Arial" w:cs="Arial" w:eastAsia="Arial" w:hAnsi="Arial"/>
          <w:sz w:val="15"/>
          <w:szCs w:val="15"/>
          <w:color w:val="0E191E"/>
        </w:rPr>
        <w:t>We have adopted a formal written policy that our executive officers, directors, and principal stockholders, including their immediate family members and affiliates, are not permitted to enter into a related party transaction with us that must be reported under applicable rules of the SEC without the prior consent of our Audit Committee or other independent members of our board of directors in the case it is inappropriate for our Audit Committee to review such transaction due to a conflict of interest.</w:t>
      </w:r>
    </w:p>
    <w:p>
      <w:pPr>
        <w:spacing w:after="0" w:line="1" w:lineRule="exact"/>
        <w:rPr>
          <w:sz w:val="20"/>
          <w:szCs w:val="20"/>
          <w:color w:val="auto"/>
        </w:rPr>
      </w:pPr>
    </w:p>
    <w:p>
      <w:pPr>
        <w:ind w:right="180"/>
        <w:spacing w:after="0" w:line="304" w:lineRule="auto"/>
        <w:rPr>
          <w:sz w:val="20"/>
          <w:szCs w:val="20"/>
          <w:color w:val="auto"/>
        </w:rPr>
      </w:pPr>
      <w:r>
        <w:rPr>
          <w:rFonts w:ascii="Arial" w:cs="Arial" w:eastAsia="Arial" w:hAnsi="Arial"/>
          <w:sz w:val="15"/>
          <w:szCs w:val="15"/>
          <w:color w:val="0E191E"/>
        </w:rPr>
        <w:t>All of our directors, executive officers, and employees are required to report to our Audit Committee any such related party transaction. In approving or rejecting the proposed agreement, our Audit Committee shall consider the relevant facts and circumstances available to and deemed relevant by the Audit Committee, including, but not limited to the risks, costs and benefits to us, the terms of the transaction, the availability of other sources for comparable services or products, and, if applicable, the impact on a director's independence. Our Audit Committee shall approve only those agreements that, in light of known circumstances, are in, or are not inconsistent with, our best interests, as our Audit Committee determines in the good faith exercise of its discretion.</w:t>
      </w:r>
    </w:p>
    <w:p>
      <w:pPr>
        <w:spacing w:after="0" w:line="361"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60</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1" w:right="339" w:bottom="1440" w:gutter="0" w:footer="0" w:header="0"/>
        </w:sectPr>
      </w:pPr>
    </w:p>
    <w:bookmarkStart w:id="64" w:name="page65"/>
    <w:bookmarkEnd w:id="64"/>
    <w:p>
      <w:pPr>
        <w:spacing w:after="0"/>
        <w:rPr>
          <w:sz w:val="20"/>
          <w:szCs w:val="20"/>
          <w:color w:val="auto"/>
        </w:rPr>
      </w:pPr>
      <w:r>
        <w:rPr>
          <w:rFonts w:ascii="Arial" w:cs="Arial" w:eastAsia="Arial" w:hAnsi="Arial"/>
          <w:sz w:val="32"/>
          <w:szCs w:val="32"/>
          <w:b w:val="1"/>
          <w:bCs w:val="1"/>
          <w:color w:val="0E191E"/>
        </w:rPr>
        <w:t>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Other Matters</w:t>
      </w:r>
    </w:p>
    <w:p>
      <w:pPr>
        <w:spacing w:after="0" w:line="136" w:lineRule="exact"/>
        <w:rPr>
          <w:sz w:val="20"/>
          <w:szCs w:val="20"/>
          <w:color w:val="auto"/>
        </w:rPr>
      </w:pPr>
    </w:p>
    <w:p>
      <w:pPr>
        <w:spacing w:after="0" w:line="317" w:lineRule="auto"/>
        <w:rPr>
          <w:sz w:val="20"/>
          <w:szCs w:val="20"/>
          <w:color w:val="auto"/>
        </w:rPr>
      </w:pPr>
      <w:r>
        <w:rPr>
          <w:rFonts w:ascii="Arial" w:cs="Arial" w:eastAsia="Arial" w:hAnsi="Arial"/>
          <w:sz w:val="15"/>
          <w:szCs w:val="15"/>
          <w:color w:val="0E191E"/>
        </w:rPr>
        <w:t>We know of no other matters to be submitted at the 2021 annual meeting of stockholders. If any other matters properly come before the annual meeting of stockholders, it is the intention of the proxy holders to vote the shares they represent as the board of directors may recommend.</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22"/>
          <w:szCs w:val="22"/>
          <w:color w:val="auto"/>
        </w:rPr>
        <w:t>THE BOARD OF DIRECTORS</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5"/>
          <w:szCs w:val="15"/>
          <w:color w:val="0E191E"/>
        </w:rPr>
        <w:t>/s/ Mike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29845</wp:posOffset>
            </wp:positionV>
            <wp:extent cx="31629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0E191E"/>
        </w:rPr>
        <w:t>MIKE ROSENBAUM</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5"/>
          <w:szCs w:val="15"/>
          <w:color w:val="0E191E"/>
        </w:rPr>
        <w:t>Chief Executive Officer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0E191E"/>
        </w:rPr>
        <w:t>Dated: November [__], 2021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61</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320" w:top="751" w:right="1159" w:bottom="1440" w:gutter="0" w:footer="0" w:header="0"/>
        </w:sectPr>
      </w:pPr>
    </w:p>
    <w:bookmarkStart w:id="65" w:name="page66"/>
    <w:bookmarkEnd w:id="65"/>
    <w:p>
      <w:pPr>
        <w:spacing w:after="0"/>
        <w:rPr>
          <w:sz w:val="20"/>
          <w:szCs w:val="20"/>
          <w:color w:val="auto"/>
        </w:rPr>
      </w:pPr>
      <w:r>
        <w:rPr>
          <w:rFonts w:ascii="Arial" w:cs="Arial" w:eastAsia="Arial" w:hAnsi="Arial"/>
          <w:sz w:val="32"/>
          <w:szCs w:val="32"/>
          <w:b w:val="1"/>
          <w:bCs w:val="1"/>
          <w:color w:val="0E191E"/>
        </w:rPr>
        <w:t>Annex A</w:t>
      </w:r>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Amended and Restated Certificate of Incorporation of Guidewire</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Software, Inc., a Delaware Corporation</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0E191E"/>
        </w:rPr>
        <w:t>Guidewire Software, Inc., a corporation organized and existing under the laws of the State of Delaware (</w:t>
      </w:r>
      <w:r>
        <w:rPr>
          <w:rFonts w:ascii="Arial" w:cs="Arial" w:eastAsia="Arial" w:hAnsi="Arial"/>
          <w:sz w:val="15"/>
          <w:szCs w:val="15"/>
          <w:b w:val="1"/>
          <w:bCs w:val="1"/>
          <w:color w:val="0E191E"/>
        </w:rPr>
        <w:t>the “Corporation”</w:t>
      </w:r>
      <w:r>
        <w:rPr>
          <w:rFonts w:ascii="Arial" w:cs="Arial" w:eastAsia="Arial" w:hAnsi="Arial"/>
          <w:sz w:val="15"/>
          <w:szCs w:val="15"/>
          <w:color w:val="0E191E"/>
        </w:rPr>
        <w:t>), hereby certifies as follows:</w:t>
      </w:r>
    </w:p>
    <w:p>
      <w:pPr>
        <w:spacing w:after="0" w:line="224" w:lineRule="exact"/>
        <w:rPr>
          <w:sz w:val="20"/>
          <w:szCs w:val="20"/>
          <w:color w:val="auto"/>
        </w:rPr>
      </w:pPr>
    </w:p>
    <w:p>
      <w:pPr>
        <w:ind w:left="580" w:right="340" w:hanging="248"/>
        <w:spacing w:after="0" w:line="317" w:lineRule="auto"/>
        <w:tabs>
          <w:tab w:leader="none" w:pos="572" w:val="left"/>
        </w:tabs>
        <w:numPr>
          <w:ilvl w:val="0"/>
          <w:numId w:val="42"/>
        </w:numPr>
        <w:rPr>
          <w:rFonts w:ascii="Arial" w:cs="Arial" w:eastAsia="Arial" w:hAnsi="Arial"/>
          <w:sz w:val="15"/>
          <w:szCs w:val="15"/>
          <w:color w:val="0E191E"/>
        </w:rPr>
      </w:pPr>
      <w:r>
        <w:rPr>
          <w:rFonts w:ascii="Arial" w:cs="Arial" w:eastAsia="Arial" w:hAnsi="Arial"/>
          <w:sz w:val="15"/>
          <w:szCs w:val="15"/>
          <w:color w:val="0E191E"/>
        </w:rPr>
        <w:t>The name of the Corporation is Guidewire Software, Inc. The Corporation’s original Certificate of Incorporation was filed with the Secretary of State of the State of Delaware on September 20, 2001 under the name Centrica Software, Inc.</w:t>
      </w:r>
    </w:p>
    <w:p>
      <w:pPr>
        <w:spacing w:after="0" w:line="138" w:lineRule="exact"/>
        <w:rPr>
          <w:rFonts w:ascii="Arial" w:cs="Arial" w:eastAsia="Arial" w:hAnsi="Arial"/>
          <w:sz w:val="15"/>
          <w:szCs w:val="15"/>
          <w:color w:val="0E191E"/>
        </w:rPr>
      </w:pPr>
    </w:p>
    <w:p>
      <w:pPr>
        <w:ind w:left="580" w:right="120" w:hanging="248"/>
        <w:spacing w:after="0" w:line="317" w:lineRule="auto"/>
        <w:tabs>
          <w:tab w:leader="none" w:pos="572" w:val="left"/>
        </w:tabs>
        <w:numPr>
          <w:ilvl w:val="0"/>
          <w:numId w:val="42"/>
        </w:numPr>
        <w:rPr>
          <w:rFonts w:ascii="Arial" w:cs="Arial" w:eastAsia="Arial" w:hAnsi="Arial"/>
          <w:sz w:val="15"/>
          <w:szCs w:val="15"/>
          <w:color w:val="0E191E"/>
        </w:rPr>
      </w:pPr>
      <w:r>
        <w:rPr>
          <w:rFonts w:ascii="Arial" w:cs="Arial" w:eastAsia="Arial" w:hAnsi="Arial"/>
          <w:sz w:val="15"/>
          <w:szCs w:val="15"/>
          <w:color w:val="0E191E"/>
        </w:rPr>
        <w:t>This Amended and Restated Certificate of Incorporation amends, restates, and integrates the provisions of the Restated Certificate of Incorporation that was filed with the Secretary of State of the State of Delaware on January 30, 2012.</w:t>
      </w:r>
    </w:p>
    <w:p>
      <w:pPr>
        <w:spacing w:after="0" w:line="138" w:lineRule="exact"/>
        <w:rPr>
          <w:rFonts w:ascii="Arial" w:cs="Arial" w:eastAsia="Arial" w:hAnsi="Arial"/>
          <w:sz w:val="15"/>
          <w:szCs w:val="15"/>
          <w:color w:val="0E191E"/>
        </w:rPr>
      </w:pPr>
    </w:p>
    <w:p>
      <w:pPr>
        <w:ind w:left="580" w:right="60" w:hanging="248"/>
        <w:spacing w:after="0" w:line="308" w:lineRule="auto"/>
        <w:tabs>
          <w:tab w:leader="none" w:pos="577" w:val="left"/>
        </w:tabs>
        <w:numPr>
          <w:ilvl w:val="0"/>
          <w:numId w:val="42"/>
        </w:numPr>
        <w:rPr>
          <w:rFonts w:ascii="Arial" w:cs="Arial" w:eastAsia="Arial" w:hAnsi="Arial"/>
          <w:sz w:val="15"/>
          <w:szCs w:val="15"/>
          <w:color w:val="0E191E"/>
        </w:rPr>
      </w:pPr>
      <w:r>
        <w:rPr>
          <w:rFonts w:ascii="Arial" w:cs="Arial" w:eastAsia="Arial" w:hAnsi="Arial"/>
          <w:sz w:val="15"/>
          <w:szCs w:val="15"/>
          <w:color w:val="0E191E"/>
        </w:rPr>
        <w:t>This Amended and Restated Certificate of Incorporation was duly adopted in accordance with Sections 242 and 245 of the General Corporation Law of the State of Delaware (the “DGCL”), and has been duly approved by the written consent of the stockholders of the Corporation in accordance with Section 228 of the DGCL.</w:t>
      </w:r>
    </w:p>
    <w:p>
      <w:pPr>
        <w:spacing w:after="0" w:line="145" w:lineRule="exact"/>
        <w:rPr>
          <w:rFonts w:ascii="Arial" w:cs="Arial" w:eastAsia="Arial" w:hAnsi="Arial"/>
          <w:sz w:val="15"/>
          <w:szCs w:val="15"/>
          <w:color w:val="0E191E"/>
        </w:rPr>
      </w:pPr>
    </w:p>
    <w:p>
      <w:pPr>
        <w:ind w:left="560" w:hanging="228"/>
        <w:spacing w:after="0"/>
        <w:tabs>
          <w:tab w:leader="none" w:pos="560" w:val="left"/>
        </w:tabs>
        <w:numPr>
          <w:ilvl w:val="0"/>
          <w:numId w:val="42"/>
        </w:numPr>
        <w:rPr>
          <w:rFonts w:ascii="Arial" w:cs="Arial" w:eastAsia="Arial" w:hAnsi="Arial"/>
          <w:sz w:val="15"/>
          <w:szCs w:val="15"/>
          <w:color w:val="0E191E"/>
        </w:rPr>
      </w:pPr>
      <w:r>
        <w:rPr>
          <w:rFonts w:ascii="Arial" w:cs="Arial" w:eastAsia="Arial" w:hAnsi="Arial"/>
          <w:sz w:val="15"/>
          <w:szCs w:val="15"/>
          <w:color w:val="0E191E"/>
        </w:rPr>
        <w:t>The text of the Certificate of Incorporation of this Corporation is hereby amended and restated to read in its entirety as follows: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Article I</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0E191E"/>
        </w:rPr>
        <w:t>The name of the corporation is Guidewire Software, Inc.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Article II</w:t>
      </w:r>
    </w:p>
    <w:p>
      <w:pPr>
        <w:spacing w:after="0" w:line="136" w:lineRule="exact"/>
        <w:rPr>
          <w:sz w:val="20"/>
          <w:szCs w:val="20"/>
          <w:color w:val="auto"/>
        </w:rPr>
      </w:pPr>
    </w:p>
    <w:p>
      <w:pPr>
        <w:ind w:right="20"/>
        <w:spacing w:after="0" w:line="317" w:lineRule="auto"/>
        <w:rPr>
          <w:sz w:val="20"/>
          <w:szCs w:val="20"/>
          <w:color w:val="auto"/>
        </w:rPr>
      </w:pPr>
      <w:r>
        <w:rPr>
          <w:rFonts w:ascii="Arial" w:cs="Arial" w:eastAsia="Arial" w:hAnsi="Arial"/>
          <w:sz w:val="15"/>
          <w:szCs w:val="15"/>
          <w:color w:val="0E191E"/>
        </w:rPr>
        <w:t>The address of the Corporation’s registered office in the State of Delaware is Corporation Service Company, 251 Little Falls Drive, in the City of Wilmington, County of New Castle, Delaware 19808. The name of its registered agent at such address is Corporation Service Company.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Article III</w:t>
      </w:r>
    </w:p>
    <w:p>
      <w:pPr>
        <w:spacing w:after="0" w:line="136" w:lineRule="exact"/>
        <w:rPr>
          <w:sz w:val="20"/>
          <w:szCs w:val="20"/>
          <w:color w:val="auto"/>
        </w:rPr>
      </w:pPr>
    </w:p>
    <w:p>
      <w:pPr>
        <w:ind w:right="500"/>
        <w:spacing w:after="0" w:line="317" w:lineRule="auto"/>
        <w:rPr>
          <w:sz w:val="20"/>
          <w:szCs w:val="20"/>
          <w:color w:val="auto"/>
        </w:rPr>
      </w:pPr>
      <w:r>
        <w:rPr>
          <w:rFonts w:ascii="Arial" w:cs="Arial" w:eastAsia="Arial" w:hAnsi="Arial"/>
          <w:sz w:val="15"/>
          <w:szCs w:val="15"/>
          <w:color w:val="0E191E"/>
        </w:rPr>
        <w:t>The nature of the business or purposes to be conducted or promoted by the Corporation is to engage in any lawful act or activity for which corporations may be organized under the DGCL.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Article IV</w:t>
      </w:r>
    </w:p>
    <w:p>
      <w:pPr>
        <w:spacing w:after="0" w:line="105" w:lineRule="exact"/>
        <w:rPr>
          <w:sz w:val="20"/>
          <w:szCs w:val="20"/>
          <w:color w:val="auto"/>
        </w:rPr>
      </w:pPr>
    </w:p>
    <w:p>
      <w:pPr>
        <w:ind w:right="420"/>
        <w:spacing w:after="0" w:line="283" w:lineRule="auto"/>
        <w:rPr>
          <w:sz w:val="20"/>
          <w:szCs w:val="20"/>
          <w:color w:val="auto"/>
        </w:rPr>
      </w:pPr>
      <w:r>
        <w:rPr>
          <w:rFonts w:ascii="Arial" w:cs="Arial" w:eastAsia="Arial" w:hAnsi="Arial"/>
          <w:sz w:val="15"/>
          <w:szCs w:val="15"/>
          <w:b w:val="1"/>
          <w:bCs w:val="1"/>
          <w:color w:val="0E191E"/>
        </w:rPr>
        <w:t xml:space="preserve">4.1 Authorized Capital Stock. </w:t>
      </w:r>
      <w:r>
        <w:rPr>
          <w:rFonts w:ascii="Arial" w:cs="Arial" w:eastAsia="Arial" w:hAnsi="Arial"/>
          <w:sz w:val="15"/>
          <w:szCs w:val="15"/>
          <w:color w:val="0E191E"/>
        </w:rPr>
        <w:t>The total number of shares of all classes of capital stock which the Corporation is authorized to issue is 525,000,000 shares,</w:t>
      </w:r>
      <w:r>
        <w:rPr>
          <w:rFonts w:ascii="Arial" w:cs="Arial" w:eastAsia="Arial" w:hAnsi="Arial"/>
          <w:sz w:val="15"/>
          <w:szCs w:val="15"/>
          <w:b w:val="1"/>
          <w:bCs w:val="1"/>
          <w:color w:val="0E191E"/>
        </w:rPr>
        <w:t xml:space="preserve"> </w:t>
      </w:r>
      <w:r>
        <w:rPr>
          <w:rFonts w:ascii="Arial" w:cs="Arial" w:eastAsia="Arial" w:hAnsi="Arial"/>
          <w:sz w:val="15"/>
          <w:szCs w:val="15"/>
          <w:color w:val="0E191E"/>
        </w:rPr>
        <w:t xml:space="preserve">consisting of 500,000,000 shares of Common Stock, par value $0.0001 per share (the </w:t>
      </w:r>
      <w:r>
        <w:rPr>
          <w:rFonts w:ascii="Arial" w:cs="Arial" w:eastAsia="Arial" w:hAnsi="Arial"/>
          <w:sz w:val="15"/>
          <w:szCs w:val="15"/>
          <w:b w:val="1"/>
          <w:bCs w:val="1"/>
          <w:color w:val="0E191E"/>
        </w:rPr>
        <w:t>“Common Stock”</w:t>
      </w:r>
      <w:r>
        <w:rPr>
          <w:rFonts w:ascii="Arial" w:cs="Arial" w:eastAsia="Arial" w:hAnsi="Arial"/>
          <w:sz w:val="15"/>
          <w:szCs w:val="15"/>
          <w:color w:val="0E191E"/>
        </w:rPr>
        <w:t xml:space="preserve">), and 25,000,000 shares of Preferred Stock, par value $0.0001 per share (the </w:t>
      </w:r>
      <w:r>
        <w:rPr>
          <w:rFonts w:ascii="Arial" w:cs="Arial" w:eastAsia="Arial" w:hAnsi="Arial"/>
          <w:sz w:val="15"/>
          <w:szCs w:val="15"/>
          <w:b w:val="1"/>
          <w:bCs w:val="1"/>
          <w:color w:val="0E191E"/>
        </w:rPr>
        <w:t>“Preferred Stock”</w:t>
      </w:r>
      <w:r>
        <w:rPr>
          <w:rFonts w:ascii="Arial" w:cs="Arial" w:eastAsia="Arial" w:hAnsi="Arial"/>
          <w:sz w:val="15"/>
          <w:szCs w:val="15"/>
          <w:color w:val="0E191E"/>
        </w:rPr>
        <w:t>).</w:t>
      </w:r>
    </w:p>
    <w:p>
      <w:pPr>
        <w:spacing w:after="0" w:line="119"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b w:val="1"/>
          <w:bCs w:val="1"/>
          <w:color w:val="0E191E"/>
        </w:rPr>
        <w:t xml:space="preserve">4.2 Increase or Decrease in Authorized Capital Stock. </w:t>
      </w:r>
      <w:r>
        <w:rPr>
          <w:rFonts w:ascii="Arial" w:cs="Arial" w:eastAsia="Arial" w:hAnsi="Arial"/>
          <w:sz w:val="15"/>
          <w:szCs w:val="15"/>
          <w:color w:val="0E191E"/>
        </w:rPr>
        <w:t>The number of authorized shares of Preferred Stock or Common Stock may be increased or decreased (but</w:t>
      </w:r>
      <w:r>
        <w:rPr>
          <w:rFonts w:ascii="Arial" w:cs="Arial" w:eastAsia="Arial" w:hAnsi="Arial"/>
          <w:sz w:val="15"/>
          <w:szCs w:val="15"/>
          <w:b w:val="1"/>
          <w:bCs w:val="1"/>
          <w:color w:val="0E191E"/>
        </w:rPr>
        <w:t xml:space="preserve"> </w:t>
      </w:r>
      <w:r>
        <w:rPr>
          <w:rFonts w:ascii="Arial" w:cs="Arial" w:eastAsia="Arial" w:hAnsi="Arial"/>
          <w:sz w:val="15"/>
          <w:szCs w:val="15"/>
          <w:color w:val="0E191E"/>
        </w:rPr>
        <w:t>not below the number of shares thereof then outstanding) by the affirmative vote of the holders of a majority in voting power of the stock of the Corporation entitled to vote generally in the election of directors, irrespective of the provisions of Section 242(b)(2) of the DGCL (or any successor provision thereto), voting together as a single class, without a separate vote of the holders of the class or classes the number of authorized shares of which are being increased or decreased, unless a vote by any holders of one or more series of Preferred Stock is required by the express terms of any series of Preferred Stock as provided for or fixed pursuant to the provisions of Section 4.4 of this Article IV.</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4.3 Common Stock.</w:t>
      </w:r>
    </w:p>
    <w:p>
      <w:pPr>
        <w:spacing w:after="0" w:line="156" w:lineRule="exact"/>
        <w:rPr>
          <w:sz w:val="20"/>
          <w:szCs w:val="20"/>
          <w:color w:val="auto"/>
        </w:rPr>
      </w:pPr>
    </w:p>
    <w:p>
      <w:pPr>
        <w:ind w:left="580" w:hanging="248"/>
        <w:spacing w:after="0" w:line="303" w:lineRule="auto"/>
        <w:tabs>
          <w:tab w:leader="none" w:pos="572" w:val="left"/>
        </w:tabs>
        <w:numPr>
          <w:ilvl w:val="0"/>
          <w:numId w:val="43"/>
        </w:numPr>
        <w:rPr>
          <w:rFonts w:ascii="Arial" w:cs="Arial" w:eastAsia="Arial" w:hAnsi="Arial"/>
          <w:sz w:val="15"/>
          <w:szCs w:val="15"/>
          <w:color w:val="0E191E"/>
        </w:rPr>
      </w:pPr>
      <w:r>
        <w:rPr>
          <w:rFonts w:ascii="Arial" w:cs="Arial" w:eastAsia="Arial" w:hAnsi="Arial"/>
          <w:sz w:val="15"/>
          <w:szCs w:val="15"/>
          <w:color w:val="0E191E"/>
        </w:rPr>
        <w:t>The holders of shares of Common Stock shall be entitled to one vote for each such share on each matter properly submitted to the stockholders on which the holders of shares of Common Stock are entitled to vote. Except as otherwise required by law or this certificate of incorporation (this “Certificate of Incorporation” which term, as used herein, shall mean the certificate of incorporation of the Corporation, as amended from time to time, including the terms of any certificate of designations of any series of Preferred Stock), and subject to the rights of the holders of Preferred Stock, at any annual or special meeting of the stockholders the holders of shares of Common Stock shall have the right to vote for the election of directors and on all other matters properly submitted to a vote of the stockholders; provided, however,</w:t>
      </w:r>
    </w:p>
    <w:p>
      <w:pPr>
        <w:spacing w:after="0" w:line="363"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62</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99" w:right="339" w:bottom="1440" w:gutter="0" w:footer="0" w:header="0"/>
        </w:sectPr>
      </w:pPr>
    </w:p>
    <w:bookmarkStart w:id="66" w:name="page67"/>
    <w:bookmarkEnd w:id="66"/>
    <w:p>
      <w:pPr>
        <w:spacing w:after="0" w:line="20" w:lineRule="exact"/>
        <w:rPr>
          <w:sz w:val="20"/>
          <w:szCs w:val="20"/>
          <w:color w:val="auto"/>
        </w:rPr>
      </w:pPr>
    </w:p>
    <w:p>
      <w:pPr>
        <w:ind w:left="580" w:right="160"/>
        <w:spacing w:after="0" w:line="304" w:lineRule="auto"/>
        <w:rPr>
          <w:sz w:val="20"/>
          <w:szCs w:val="20"/>
          <w:color w:val="auto"/>
        </w:rPr>
      </w:pPr>
      <w:r>
        <w:rPr>
          <w:rFonts w:ascii="Arial" w:cs="Arial" w:eastAsia="Arial" w:hAnsi="Arial"/>
          <w:sz w:val="15"/>
          <w:szCs w:val="15"/>
          <w:color w:val="0E191E"/>
        </w:rPr>
        <w:t>that, except as otherwise required by law, holders of Common Stock shall not be entitled to vote on any amendment to this Certificate of Incorporation that relates solely to the terms, number of shares, powers, designations, preferences, or relative participating, optional or other special rights (including, without limitation, voting rights), or to qualifications, limitations or restrictions thereon, of one or more outstanding series of Preferred Stock if the holders of such affected series are entitled, either separately or together with the holders of one more other such series, to vote thereon pursuant to this Certificate of Incorporation (including, without limitation, by any certificate of designations relating to any series of Preferred Stock) or pursuant to the DGCL.</w:t>
      </w:r>
    </w:p>
    <w:p>
      <w:pPr>
        <w:spacing w:after="0" w:line="150" w:lineRule="exact"/>
        <w:rPr>
          <w:sz w:val="20"/>
          <w:szCs w:val="20"/>
          <w:color w:val="auto"/>
        </w:rPr>
      </w:pPr>
    </w:p>
    <w:p>
      <w:pPr>
        <w:ind w:left="580" w:hanging="248"/>
        <w:spacing w:after="0" w:line="308" w:lineRule="auto"/>
        <w:tabs>
          <w:tab w:leader="none" w:pos="572" w:val="left"/>
        </w:tabs>
        <w:numPr>
          <w:ilvl w:val="0"/>
          <w:numId w:val="44"/>
        </w:numPr>
        <w:rPr>
          <w:rFonts w:ascii="Arial" w:cs="Arial" w:eastAsia="Arial" w:hAnsi="Arial"/>
          <w:sz w:val="15"/>
          <w:szCs w:val="15"/>
          <w:color w:val="0E191E"/>
        </w:rPr>
      </w:pPr>
      <w:r>
        <w:rPr>
          <w:rFonts w:ascii="Arial" w:cs="Arial" w:eastAsia="Arial" w:hAnsi="Arial"/>
          <w:sz w:val="15"/>
          <w:szCs w:val="15"/>
          <w:color w:val="0E191E"/>
        </w:rPr>
        <w:t>Subject to the rights of the holders of Preferred Stock, the holders of shares of Common Stock shall be entitled to receive such dividends and other distributions (payable in cash, property or capital stock of the Corporation) when, as and if declared thereon by the Board of Directors from time to time out of any assets or funds of the Corporation legally available therefor and shall share equally on a per share basis in such dividends and distributions.</w:t>
      </w:r>
    </w:p>
    <w:p>
      <w:pPr>
        <w:spacing w:after="0" w:line="145" w:lineRule="exact"/>
        <w:rPr>
          <w:rFonts w:ascii="Arial" w:cs="Arial" w:eastAsia="Arial" w:hAnsi="Arial"/>
          <w:sz w:val="15"/>
          <w:szCs w:val="15"/>
          <w:color w:val="0E191E"/>
        </w:rPr>
      </w:pPr>
    </w:p>
    <w:p>
      <w:pPr>
        <w:jc w:val="both"/>
        <w:ind w:left="580" w:right="60" w:hanging="248"/>
        <w:spacing w:after="0" w:line="306" w:lineRule="auto"/>
        <w:tabs>
          <w:tab w:leader="none" w:pos="577" w:val="left"/>
        </w:tabs>
        <w:numPr>
          <w:ilvl w:val="0"/>
          <w:numId w:val="44"/>
        </w:numPr>
        <w:rPr>
          <w:rFonts w:ascii="Arial" w:cs="Arial" w:eastAsia="Arial" w:hAnsi="Arial"/>
          <w:sz w:val="15"/>
          <w:szCs w:val="15"/>
          <w:color w:val="0E191E"/>
        </w:rPr>
      </w:pPr>
      <w:r>
        <w:rPr>
          <w:rFonts w:ascii="Arial" w:cs="Arial" w:eastAsia="Arial" w:hAnsi="Arial"/>
          <w:sz w:val="15"/>
          <w:szCs w:val="15"/>
          <w:color w:val="0E191E"/>
        </w:rPr>
        <w:t>In the event of any voluntary or involuntary liquidation, dissolution or winding-up of the Corporation, after payment or provision for payment of the debts and other liabilities of the Corporation, and subject to the rights of the holders of Preferred Stock in respect thereof, the holders of shares of Common Stock shall be entitled to receive all the remaining assets of the Corporation available for distribution to its stockholders, ratably in proportion to the number of shares of Common Stock held by them.</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4.4 Preferred Stock.</w:t>
      </w:r>
    </w:p>
    <w:p>
      <w:pPr>
        <w:spacing w:after="0" w:line="156" w:lineRule="exact"/>
        <w:rPr>
          <w:sz w:val="20"/>
          <w:szCs w:val="20"/>
          <w:color w:val="auto"/>
        </w:rPr>
      </w:pPr>
    </w:p>
    <w:p>
      <w:pPr>
        <w:ind w:left="580" w:right="180" w:hanging="248"/>
        <w:spacing w:after="0" w:line="303" w:lineRule="auto"/>
        <w:tabs>
          <w:tab w:leader="none" w:pos="572" w:val="left"/>
        </w:tabs>
        <w:numPr>
          <w:ilvl w:val="0"/>
          <w:numId w:val="45"/>
        </w:numPr>
        <w:rPr>
          <w:rFonts w:ascii="Arial" w:cs="Arial" w:eastAsia="Arial" w:hAnsi="Arial"/>
          <w:sz w:val="15"/>
          <w:szCs w:val="15"/>
          <w:color w:val="0E191E"/>
        </w:rPr>
      </w:pPr>
      <w:r>
        <w:rPr>
          <w:rFonts w:ascii="Arial" w:cs="Arial" w:eastAsia="Arial" w:hAnsi="Arial"/>
          <w:sz w:val="15"/>
          <w:szCs w:val="15"/>
          <w:color w:val="0E191E"/>
        </w:rPr>
        <w:t>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and to set forth in a certification of designations filed pursuant to the DGCL the powers, designations, preferences and relative participation, optional or other rights, if any, and the qualifications, limitations or restrictions thereof, if any, of any wholly unissued series of Preferred Stock, including without limitation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w:t>
      </w:r>
    </w:p>
    <w:p>
      <w:pPr>
        <w:spacing w:after="0" w:line="149" w:lineRule="exact"/>
        <w:rPr>
          <w:rFonts w:ascii="Arial" w:cs="Arial" w:eastAsia="Arial" w:hAnsi="Arial"/>
          <w:sz w:val="15"/>
          <w:szCs w:val="15"/>
          <w:color w:val="0E191E"/>
        </w:rPr>
      </w:pPr>
    </w:p>
    <w:p>
      <w:pPr>
        <w:ind w:left="580" w:right="80" w:hanging="248"/>
        <w:spacing w:after="0" w:line="303" w:lineRule="auto"/>
        <w:tabs>
          <w:tab w:leader="none" w:pos="572" w:val="left"/>
        </w:tabs>
        <w:numPr>
          <w:ilvl w:val="0"/>
          <w:numId w:val="45"/>
        </w:numPr>
        <w:rPr>
          <w:rFonts w:ascii="Arial" w:cs="Arial" w:eastAsia="Arial" w:hAnsi="Arial"/>
          <w:sz w:val="15"/>
          <w:szCs w:val="15"/>
          <w:color w:val="0E191E"/>
        </w:rPr>
      </w:pPr>
      <w:r>
        <w:rPr>
          <w:rFonts w:ascii="Arial" w:cs="Arial" w:eastAsia="Arial" w:hAnsi="Arial"/>
          <w:sz w:val="15"/>
          <w:szCs w:val="15"/>
          <w:color w:val="0E191E"/>
        </w:rPr>
        <w:t>The Board of Directors is further authorized to increase (but not above the total number of authorized shares of the class) or decrease (but not below the number of shares of any such series then outstanding) the number of shares of any series, the number of which was fixed by it, subsequent to the issuance of shares of such series then outstanding, subject to the powers, preferences and rights, and the qualifications, limitations and restrictions thereof stated in the Certificate of Incorporation or the resolution of the Board of Directors originally fixing the number of shares of such series. If the number of shares of any series is so decreased, then the shares constituting such decrease shall resume the status which they had prior to the adoption of the resolution originally fixing the number of shares of such series.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Article V</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 xml:space="preserve">5.1 General Powers. </w:t>
      </w:r>
      <w:r>
        <w:rPr>
          <w:rFonts w:ascii="Arial" w:cs="Arial" w:eastAsia="Arial" w:hAnsi="Arial"/>
          <w:sz w:val="15"/>
          <w:szCs w:val="15"/>
          <w:color w:val="0E191E"/>
        </w:rPr>
        <w:t>The business and affairs of the Corporation shall be managed by or under the direction of the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5.2 Number of Directors; Election; Term.</w:t>
      </w:r>
    </w:p>
    <w:p>
      <w:pPr>
        <w:spacing w:after="0" w:line="156" w:lineRule="exact"/>
        <w:rPr>
          <w:sz w:val="20"/>
          <w:szCs w:val="20"/>
          <w:color w:val="auto"/>
        </w:rPr>
      </w:pPr>
    </w:p>
    <w:p>
      <w:pPr>
        <w:ind w:left="580" w:right="360" w:hanging="242"/>
        <w:spacing w:after="0" w:line="317" w:lineRule="auto"/>
        <w:rPr>
          <w:sz w:val="20"/>
          <w:szCs w:val="20"/>
          <w:color w:val="auto"/>
        </w:rPr>
      </w:pPr>
      <w:r>
        <w:rPr>
          <w:rFonts w:ascii="Arial" w:cs="Arial" w:eastAsia="Arial" w:hAnsi="Arial"/>
          <w:sz w:val="15"/>
          <w:szCs w:val="15"/>
          <w:color w:val="0E191E"/>
        </w:rPr>
        <w:t>a. Subject to the rights of holders of any series of Preferred Stock with respect to the election of directors, the number of directors that constitutes the entire Board of Directors of the Corporation shall be fixed solely by resolution of the Board of Directors.</w:t>
      </w:r>
    </w:p>
    <w:p>
      <w:pPr>
        <w:spacing w:after="0" w:line="120" w:lineRule="exact"/>
        <w:rPr>
          <w:sz w:val="20"/>
          <w:szCs w:val="20"/>
          <w:color w:val="auto"/>
        </w:rPr>
      </w:pPr>
    </w:p>
    <w:p>
      <w:pPr>
        <w:ind w:left="580" w:hanging="242"/>
        <w:spacing w:after="0" w:line="320" w:lineRule="auto"/>
        <w:rPr>
          <w:sz w:val="20"/>
          <w:szCs w:val="20"/>
          <w:color w:val="auto"/>
        </w:rPr>
      </w:pPr>
      <w:r>
        <w:rPr>
          <w:rFonts w:ascii="Arial" w:cs="Arial" w:eastAsia="Arial" w:hAnsi="Arial"/>
          <w:sz w:val="15"/>
          <w:szCs w:val="15"/>
          <w:color w:val="0E191E"/>
        </w:rPr>
        <w:t xml:space="preserve">b. </w:t>
      </w:r>
      <w:r>
        <w:rPr>
          <w:rFonts w:ascii="Arial" w:cs="Arial" w:eastAsia="Arial" w:hAnsi="Arial"/>
          <w:sz w:val="15"/>
          <w:szCs w:val="15"/>
          <w:color w:val="EE2724"/>
          <w:strike w:val="1"/>
        </w:rPr>
        <w:t>Upon the filing of this Amended and Restated Certificate of Incorporation (the “Effective Date”),</w:t>
      </w:r>
      <w:r>
        <w:rPr>
          <w:rFonts w:ascii="Arial" w:cs="Arial" w:eastAsia="Arial" w:hAnsi="Arial"/>
          <w:sz w:val="15"/>
          <w:szCs w:val="15"/>
          <w:color w:val="0E191E"/>
        </w:rPr>
        <w:t xml:space="preserve"> </w:t>
      </w:r>
      <w:r>
        <w:rPr>
          <w:rFonts w:ascii="Arial" w:cs="Arial" w:eastAsia="Arial" w:hAnsi="Arial"/>
          <w:sz w:val="15"/>
          <w:szCs w:val="15"/>
          <w:b w:val="1"/>
          <w:bCs w:val="1"/>
          <w:u w:val="single" w:color="auto"/>
          <w:color w:val="0E32E1"/>
        </w:rPr>
        <w:t>Subject to the rights of holders of any series of Preferred</w:t>
      </w:r>
      <w:r>
        <w:rPr>
          <w:rFonts w:ascii="Arial" w:cs="Arial" w:eastAsia="Arial" w:hAnsi="Arial"/>
          <w:sz w:val="15"/>
          <w:szCs w:val="15"/>
          <w:color w:val="0E191E"/>
        </w:rPr>
        <w:t xml:space="preserve"> </w:t>
      </w:r>
      <w:r>
        <w:rPr>
          <w:rFonts w:ascii="Arial" w:cs="Arial" w:eastAsia="Arial" w:hAnsi="Arial"/>
          <w:sz w:val="15"/>
          <w:szCs w:val="15"/>
          <w:b w:val="1"/>
          <w:bCs w:val="1"/>
          <w:u w:val="single" w:color="auto"/>
          <w:color w:val="0E32E1"/>
        </w:rPr>
        <w:t>Stock with respect to the election of directors,</w:t>
      </w:r>
      <w:r>
        <w:rPr>
          <w:rFonts w:ascii="Arial" w:cs="Arial" w:eastAsia="Arial" w:hAnsi="Arial"/>
          <w:sz w:val="15"/>
          <w:szCs w:val="15"/>
          <w:b w:val="1"/>
          <w:bCs w:val="1"/>
          <w:color w:val="0E32E1"/>
        </w:rPr>
        <w:t xml:space="preserve"> </w:t>
      </w:r>
      <w:r>
        <w:rPr>
          <w:rFonts w:ascii="Arial" w:cs="Arial" w:eastAsia="Arial" w:hAnsi="Arial"/>
          <w:sz w:val="15"/>
          <w:szCs w:val="15"/>
          <w:color w:val="0E191E"/>
        </w:rPr>
        <w:t>each director shall be elected to hold office for a one-year term expiring at the next annual meeting of</w:t>
      </w:r>
      <w:r>
        <w:rPr>
          <w:rFonts w:ascii="Arial" w:cs="Arial" w:eastAsia="Arial" w:hAnsi="Arial"/>
          <w:sz w:val="15"/>
          <w:szCs w:val="15"/>
          <w:b w:val="1"/>
          <w:bCs w:val="1"/>
          <w:color w:val="0E32E1"/>
        </w:rPr>
        <w:t xml:space="preserve"> </w:t>
      </w:r>
      <w:r>
        <w:rPr>
          <w:rFonts w:ascii="Arial" w:cs="Arial" w:eastAsia="Arial" w:hAnsi="Arial"/>
          <w:sz w:val="15"/>
          <w:szCs w:val="15"/>
          <w:color w:val="0E191E"/>
        </w:rPr>
        <w:t xml:space="preserve">stockholders; provided </w:t>
      </w:r>
      <w:r>
        <w:rPr>
          <w:rFonts w:ascii="Arial" w:cs="Arial" w:eastAsia="Arial" w:hAnsi="Arial"/>
          <w:sz w:val="15"/>
          <w:szCs w:val="15"/>
          <w:b w:val="1"/>
          <w:bCs w:val="1"/>
          <w:u w:val="single" w:color="auto"/>
          <w:color w:val="0E32E1"/>
        </w:rPr>
        <w:t>that the term of</w:t>
      </w:r>
      <w:r>
        <w:rPr>
          <w:rFonts w:ascii="Arial" w:cs="Arial" w:eastAsia="Arial" w:hAnsi="Arial"/>
          <w:sz w:val="15"/>
          <w:szCs w:val="15"/>
          <w:color w:val="0E191E"/>
        </w:rPr>
        <w:t xml:space="preserve"> </w:t>
      </w:r>
      <w:r>
        <w:rPr>
          <w:rFonts w:ascii="Arial" w:cs="Arial" w:eastAsia="Arial" w:hAnsi="Arial"/>
          <w:sz w:val="15"/>
          <w:szCs w:val="15"/>
          <w:color w:val="EE2724"/>
          <w:strike w:val="1"/>
        </w:rPr>
        <w:t>, however, no terms in effect prior to the Effective Date shall be shortened. Notwithstanding the foregoing, subject to</w:t>
      </w:r>
      <w:r>
        <w:rPr>
          <w:rFonts w:ascii="Arial" w:cs="Arial" w:eastAsia="Arial" w:hAnsi="Arial"/>
          <w:sz w:val="15"/>
          <w:szCs w:val="15"/>
          <w:color w:val="0E191E"/>
        </w:rPr>
        <w:t xml:space="preserve"> </w:t>
      </w:r>
      <w:r>
        <w:rPr>
          <w:rFonts w:ascii="Arial" w:cs="Arial" w:eastAsia="Arial" w:hAnsi="Arial"/>
          <w:sz w:val="15"/>
          <w:szCs w:val="15"/>
          <w:color w:val="EE2724"/>
          <w:strike w:val="1"/>
        </w:rPr>
        <w:t>the rights of the holders of any series of Preferred Stock then outstanding, (i) at the 2019 annual meeting of stockholders, the directors whose terms expire at that meeting shall be elected to hold office for a one-year term expiring at the 2020 annual meeting of stockholders, (ii) at the 2020 annual meeting of stockholders, the directors whose terms expire at that meeting</w:t>
      </w:r>
    </w:p>
    <w:p>
      <w:pPr>
        <w:spacing w:after="0" w:line="348"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63</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1440" w:right="399" w:bottom="1440" w:gutter="0" w:footer="0" w:header="0"/>
        </w:sectPr>
      </w:pPr>
    </w:p>
    <w:bookmarkStart w:id="67" w:name="page68"/>
    <w:bookmarkEnd w:id="67"/>
    <w:p>
      <w:pPr>
        <w:spacing w:after="0" w:line="20" w:lineRule="exact"/>
        <w:rPr>
          <w:sz w:val="20"/>
          <w:szCs w:val="20"/>
          <w:color w:val="auto"/>
        </w:rPr>
      </w:pPr>
    </w:p>
    <w:p>
      <w:pPr>
        <w:ind w:left="580" w:right="240"/>
        <w:spacing w:after="0" w:line="308" w:lineRule="auto"/>
        <w:rPr>
          <w:sz w:val="20"/>
          <w:szCs w:val="20"/>
          <w:color w:val="auto"/>
        </w:rPr>
      </w:pPr>
      <w:r>
        <w:rPr>
          <w:rFonts w:ascii="Arial" w:cs="Arial" w:eastAsia="Arial" w:hAnsi="Arial"/>
          <w:sz w:val="15"/>
          <w:szCs w:val="15"/>
          <w:color w:val="EE2724"/>
          <w:strike w:val="1"/>
        </w:rPr>
        <w:t>shall be elected to hold office for a one-year term expiring at the 2021 annual meeting of stockholders, and (iii) at the 2021 annual meeting of stockholders and each annual meeting of stockholders thereafter, all directors shall be elected to hold office for a one-year term expiring at the next annual meeting of stockholders.</w:t>
      </w:r>
    </w:p>
    <w:p>
      <w:pPr>
        <w:spacing w:after="0" w:line="146"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EE2724"/>
          <w:strike w:val="1"/>
        </w:rPr>
        <w:t>c. Notwithstanding the foregoing provisions of this Section 5.2, and subject to the rights of holders of any series of Preferred Stock with respect to the election of</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5"/>
          <w:szCs w:val="15"/>
          <w:color w:val="EE2724"/>
          <w:strike w:val="1"/>
        </w:rPr>
        <w:t>directors,</w:t>
      </w:r>
      <w:r>
        <w:rPr>
          <w:rFonts w:ascii="Arial" w:cs="Arial" w:eastAsia="Arial" w:hAnsi="Arial"/>
          <w:sz w:val="15"/>
          <w:szCs w:val="15"/>
          <w:color w:val="EE2724"/>
        </w:rPr>
        <w:t xml:space="preserve"> </w:t>
      </w:r>
      <w:r>
        <w:rPr>
          <w:rFonts w:ascii="Arial" w:cs="Arial" w:eastAsia="Arial" w:hAnsi="Arial"/>
          <w:sz w:val="15"/>
          <w:szCs w:val="15"/>
          <w:color w:val="0E191E"/>
        </w:rPr>
        <w:t>each director shall</w:t>
      </w:r>
      <w:r>
        <w:rPr>
          <w:rFonts w:ascii="Arial" w:cs="Arial" w:eastAsia="Arial" w:hAnsi="Arial"/>
          <w:sz w:val="15"/>
          <w:szCs w:val="15"/>
          <w:color w:val="EE2724"/>
        </w:rPr>
        <w:t xml:space="preserve"> </w:t>
      </w:r>
      <w:r>
        <w:rPr>
          <w:rFonts w:ascii="Arial" w:cs="Arial" w:eastAsia="Arial" w:hAnsi="Arial"/>
          <w:sz w:val="15"/>
          <w:szCs w:val="15"/>
          <w:color w:val="EE2724"/>
          <w:strike w:val="1"/>
        </w:rPr>
        <w:t>serve</w:t>
      </w:r>
      <w:r>
        <w:rPr>
          <w:rFonts w:ascii="Arial" w:cs="Arial" w:eastAsia="Arial" w:hAnsi="Arial"/>
          <w:sz w:val="15"/>
          <w:szCs w:val="15"/>
          <w:b w:val="1"/>
          <w:bCs w:val="1"/>
          <w:u w:val="single" w:color="auto"/>
          <w:color w:val="0E32E1"/>
        </w:rPr>
        <w:t>continue</w:t>
      </w:r>
      <w:r>
        <w:rPr>
          <w:rFonts w:ascii="Arial" w:cs="Arial" w:eastAsia="Arial" w:hAnsi="Arial"/>
          <w:sz w:val="15"/>
          <w:szCs w:val="15"/>
          <w:color w:val="EE2724"/>
        </w:rPr>
        <w:t xml:space="preserve"> </w:t>
      </w:r>
      <w:r>
        <w:rPr>
          <w:rFonts w:ascii="Arial" w:cs="Arial" w:eastAsia="Arial" w:hAnsi="Arial"/>
          <w:sz w:val="15"/>
          <w:szCs w:val="15"/>
          <w:color w:val="0E191E"/>
        </w:rPr>
        <w:t>until his or her successor is duly elected and qualified or until his or her earlier death, resignation or removal.</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5"/>
          <w:szCs w:val="15"/>
          <w:color w:val="EE2724"/>
          <w:strike w:val="1"/>
        </w:rPr>
        <w:t>d.</w:t>
      </w:r>
      <w:r>
        <w:rPr>
          <w:rFonts w:ascii="Arial" w:cs="Arial" w:eastAsia="Arial" w:hAnsi="Arial"/>
          <w:sz w:val="15"/>
          <w:szCs w:val="15"/>
          <w:b w:val="1"/>
          <w:bCs w:val="1"/>
          <w:u w:val="single" w:color="auto"/>
          <w:color w:val="0E32E1"/>
        </w:rPr>
        <w:t>c.</w:t>
      </w:r>
      <w:r>
        <w:rPr>
          <w:rFonts w:ascii="Arial" w:cs="Arial" w:eastAsia="Arial" w:hAnsi="Arial"/>
          <w:sz w:val="15"/>
          <w:szCs w:val="15"/>
          <w:color w:val="EE2724"/>
        </w:rPr>
        <w:t xml:space="preserve"> </w:t>
      </w:r>
      <w:r>
        <w:rPr>
          <w:rFonts w:ascii="Arial" w:cs="Arial" w:eastAsia="Arial" w:hAnsi="Arial"/>
          <w:sz w:val="15"/>
          <w:szCs w:val="15"/>
          <w:color w:val="0E191E"/>
        </w:rPr>
        <w:t>Elections of directors need not be by written ballot unless the Bylaws of the Corporation shall so provide.</w:t>
      </w:r>
    </w:p>
    <w:p>
      <w:pPr>
        <w:spacing w:after="0" w:line="224" w:lineRule="exact"/>
        <w:rPr>
          <w:sz w:val="20"/>
          <w:szCs w:val="20"/>
          <w:color w:val="auto"/>
        </w:rPr>
      </w:pPr>
    </w:p>
    <w:p>
      <w:pPr>
        <w:ind w:left="260" w:hanging="242"/>
        <w:spacing w:after="0" w:line="317" w:lineRule="auto"/>
        <w:rPr>
          <w:sz w:val="20"/>
          <w:szCs w:val="20"/>
          <w:color w:val="auto"/>
        </w:rPr>
      </w:pPr>
      <w:r>
        <w:rPr>
          <w:rFonts w:ascii="Arial" w:cs="Arial" w:eastAsia="Arial" w:hAnsi="Arial"/>
          <w:sz w:val="15"/>
          <w:szCs w:val="15"/>
          <w:color w:val="EE2724"/>
          <w:strike w:val="1"/>
        </w:rPr>
        <w:t>5.3 Removal. Subject to the rights of holders of any series of Preferred Stock with respect to the election of directors, a director may be removed from office by the stockholders of the Corporation only for cause.</w:t>
      </w:r>
    </w:p>
    <w:p>
      <w:pPr>
        <w:spacing w:after="0" w:line="147" w:lineRule="exact"/>
        <w:rPr>
          <w:sz w:val="20"/>
          <w:szCs w:val="20"/>
          <w:color w:val="auto"/>
        </w:rPr>
      </w:pPr>
    </w:p>
    <w:p>
      <w:pPr>
        <w:spacing w:after="0" w:line="315" w:lineRule="auto"/>
        <w:rPr>
          <w:sz w:val="20"/>
          <w:szCs w:val="20"/>
          <w:color w:val="auto"/>
        </w:rPr>
      </w:pPr>
      <w:r>
        <w:rPr>
          <w:rFonts w:ascii="Arial" w:cs="Arial" w:eastAsia="Arial" w:hAnsi="Arial"/>
          <w:sz w:val="15"/>
          <w:szCs w:val="15"/>
          <w:color w:val="EE2724"/>
          <w:strike w:val="1"/>
        </w:rPr>
        <w:t>5.4</w:t>
      </w:r>
      <w:r>
        <w:rPr>
          <w:rFonts w:ascii="Arial" w:cs="Arial" w:eastAsia="Arial" w:hAnsi="Arial"/>
          <w:sz w:val="15"/>
          <w:szCs w:val="15"/>
          <w:b w:val="1"/>
          <w:bCs w:val="1"/>
          <w:u w:val="single" w:color="auto"/>
          <w:color w:val="0E32E1"/>
        </w:rPr>
        <w:t>5.3</w:t>
      </w:r>
      <w:r>
        <w:rPr>
          <w:rFonts w:ascii="Arial" w:cs="Arial" w:eastAsia="Arial" w:hAnsi="Arial"/>
          <w:sz w:val="15"/>
          <w:szCs w:val="15"/>
          <w:color w:val="EE2724"/>
        </w:rPr>
        <w:t xml:space="preserve"> </w:t>
      </w:r>
      <w:r>
        <w:rPr>
          <w:rFonts w:ascii="Arial" w:cs="Arial" w:eastAsia="Arial" w:hAnsi="Arial"/>
          <w:sz w:val="15"/>
          <w:szCs w:val="15"/>
          <w:b w:val="1"/>
          <w:bCs w:val="1"/>
          <w:color w:val="0E191E"/>
        </w:rPr>
        <w:t>Vacancies and Newly Created Directorships.</w:t>
      </w:r>
      <w:r>
        <w:rPr>
          <w:rFonts w:ascii="Arial" w:cs="Arial" w:eastAsia="Arial" w:hAnsi="Arial"/>
          <w:sz w:val="15"/>
          <w:szCs w:val="15"/>
          <w:color w:val="EE2724"/>
        </w:rPr>
        <w:t xml:space="preserve"> </w:t>
      </w:r>
      <w:r>
        <w:rPr>
          <w:rFonts w:ascii="Arial" w:cs="Arial" w:eastAsia="Arial" w:hAnsi="Arial"/>
          <w:sz w:val="15"/>
          <w:szCs w:val="15"/>
          <w:color w:val="0E191E"/>
        </w:rPr>
        <w:t>Subject to the rights of holders of any series of Preferred Stock with respect to the election of directors, and</w:t>
      </w:r>
      <w:r>
        <w:rPr>
          <w:rFonts w:ascii="Arial" w:cs="Arial" w:eastAsia="Arial" w:hAnsi="Arial"/>
          <w:sz w:val="15"/>
          <w:szCs w:val="15"/>
          <w:color w:val="EE2724"/>
        </w:rPr>
        <w:t xml:space="preserve"> </w:t>
      </w:r>
      <w:r>
        <w:rPr>
          <w:rFonts w:ascii="Arial" w:cs="Arial" w:eastAsia="Arial" w:hAnsi="Arial"/>
          <w:sz w:val="15"/>
          <w:szCs w:val="15"/>
          <w:color w:val="0E191E"/>
        </w:rPr>
        <w:t>except as otherwise provided in the DGCL, vacancies occurring on the Board of Directors for any reason and newly created directorships resulting from an increase in the authorized number of directors may be filled only by vote of a majority of the remaining members of the Board of Directors, although less than a quorum, or by a sole remaining director, at any meeting of the Board of Directors. A person so elected by the Board of Directors to fill a vacancy or newly created directorship shall hold office until the next annual meeting of stockholders or until his or her successor shall be duly elected and qualified.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Article VI</w:t>
      </w:r>
    </w:p>
    <w:p>
      <w:pPr>
        <w:spacing w:after="0" w:line="96" w:lineRule="exact"/>
        <w:rPr>
          <w:sz w:val="20"/>
          <w:szCs w:val="20"/>
          <w:color w:val="auto"/>
        </w:rPr>
      </w:pPr>
    </w:p>
    <w:p>
      <w:pPr>
        <w:ind w:right="60"/>
        <w:spacing w:after="0" w:line="317" w:lineRule="auto"/>
        <w:rPr>
          <w:sz w:val="20"/>
          <w:szCs w:val="20"/>
          <w:color w:val="auto"/>
        </w:rPr>
      </w:pPr>
      <w:r>
        <w:rPr>
          <w:rFonts w:ascii="Arial" w:cs="Arial" w:eastAsia="Arial" w:hAnsi="Arial"/>
          <w:sz w:val="15"/>
          <w:szCs w:val="15"/>
          <w:color w:val="0E191E"/>
        </w:rPr>
        <w:t>In furtherance and not in limitation of the powers conferred by statute, the Board of Directors of the Corporation is expressly authorized to adopt, amend or repeal the Bylaws of the Corporation.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Article VII</w:t>
      </w:r>
    </w:p>
    <w:p>
      <w:pPr>
        <w:spacing w:after="0" w:line="105"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b w:val="1"/>
          <w:bCs w:val="1"/>
          <w:color w:val="0E191E"/>
        </w:rPr>
        <w:t xml:space="preserve">7.1 No Action by Written Consent of Stockholders. </w:t>
      </w:r>
      <w:r>
        <w:rPr>
          <w:rFonts w:ascii="Arial" w:cs="Arial" w:eastAsia="Arial" w:hAnsi="Arial"/>
          <w:sz w:val="15"/>
          <w:szCs w:val="15"/>
          <w:color w:val="0E191E"/>
        </w:rPr>
        <w:t>Except as otherwise expressly provided by the terms of any series of Preferred Stock permitting the holders of</w:t>
      </w:r>
      <w:r>
        <w:rPr>
          <w:rFonts w:ascii="Arial" w:cs="Arial" w:eastAsia="Arial" w:hAnsi="Arial"/>
          <w:sz w:val="15"/>
          <w:szCs w:val="15"/>
          <w:b w:val="1"/>
          <w:bCs w:val="1"/>
          <w:color w:val="0E191E"/>
        </w:rPr>
        <w:t xml:space="preserve"> </w:t>
      </w:r>
      <w:r>
        <w:rPr>
          <w:rFonts w:ascii="Arial" w:cs="Arial" w:eastAsia="Arial" w:hAnsi="Arial"/>
          <w:sz w:val="15"/>
          <w:szCs w:val="15"/>
          <w:color w:val="0E191E"/>
        </w:rPr>
        <w:t>such series of Preferred Stock to act by written consent, any action required or permitted to be taken by stockholders of the Corporation must be effected at a duly called annual or special meeting of the stockholders and may not be effected by written consent in lieu of a meeting.</w:t>
      </w:r>
    </w:p>
    <w:p>
      <w:pPr>
        <w:spacing w:after="0" w:line="119" w:lineRule="exact"/>
        <w:rPr>
          <w:sz w:val="20"/>
          <w:szCs w:val="20"/>
          <w:color w:val="auto"/>
        </w:rPr>
      </w:pPr>
    </w:p>
    <w:p>
      <w:pPr>
        <w:ind w:right="60"/>
        <w:spacing w:after="0" w:line="273" w:lineRule="auto"/>
        <w:rPr>
          <w:sz w:val="20"/>
          <w:szCs w:val="20"/>
          <w:color w:val="auto"/>
        </w:rPr>
      </w:pPr>
      <w:r>
        <w:rPr>
          <w:rFonts w:ascii="Arial" w:cs="Arial" w:eastAsia="Arial" w:hAnsi="Arial"/>
          <w:sz w:val="15"/>
          <w:szCs w:val="15"/>
          <w:b w:val="1"/>
          <w:bCs w:val="1"/>
          <w:color w:val="0E191E"/>
        </w:rPr>
        <w:t xml:space="preserve">7.2 Special Meetings. </w:t>
      </w:r>
      <w:r>
        <w:rPr>
          <w:rFonts w:ascii="Arial" w:cs="Arial" w:eastAsia="Arial" w:hAnsi="Arial"/>
          <w:sz w:val="15"/>
          <w:szCs w:val="15"/>
          <w:color w:val="0E191E"/>
        </w:rPr>
        <w:t>Except as otherwise expressly provided by the terms of any series of Preferred Stock permitting the holders of such series of Preferred Stock</w:t>
      </w:r>
      <w:r>
        <w:rPr>
          <w:rFonts w:ascii="Arial" w:cs="Arial" w:eastAsia="Arial" w:hAnsi="Arial"/>
          <w:sz w:val="15"/>
          <w:szCs w:val="15"/>
          <w:b w:val="1"/>
          <w:bCs w:val="1"/>
          <w:color w:val="0E191E"/>
        </w:rPr>
        <w:t xml:space="preserve"> </w:t>
      </w:r>
      <w:r>
        <w:rPr>
          <w:rFonts w:ascii="Arial" w:cs="Arial" w:eastAsia="Arial" w:hAnsi="Arial"/>
          <w:sz w:val="15"/>
          <w:szCs w:val="15"/>
          <w:color w:val="0E191E"/>
        </w:rPr>
        <w:t>to call a special meeting of the holders of such series, special meetings of stockholders of the Corporation may be called only by the Board of Directors, the chairperson of the Board of Directors, the chief executive officer or the president (in the absence of a chief executive officer), and the ability of the stockholders to call a special meeting is hereby specifically denied. The Board of Directors may cancel, postpone or reschedule any previously scheduled special meeting at any time, before or after the notice for such meeting has been sent to the stockholders.</w:t>
      </w:r>
    </w:p>
    <w:p>
      <w:pPr>
        <w:spacing w:after="0" w:line="126"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b w:val="1"/>
          <w:bCs w:val="1"/>
          <w:color w:val="0E191E"/>
        </w:rPr>
        <w:t xml:space="preserve">7.3 Advance Notice. </w:t>
      </w:r>
      <w:r>
        <w:rPr>
          <w:rFonts w:ascii="Arial" w:cs="Arial" w:eastAsia="Arial" w:hAnsi="Arial"/>
          <w:sz w:val="15"/>
          <w:szCs w:val="15"/>
          <w:color w:val="0E191E"/>
        </w:rPr>
        <w:t>Advance notice of stockholder nominations for the election of directors and of business to be brought by stockholders before any meeting of the</w:t>
      </w:r>
      <w:r>
        <w:rPr>
          <w:rFonts w:ascii="Arial" w:cs="Arial" w:eastAsia="Arial" w:hAnsi="Arial"/>
          <w:sz w:val="15"/>
          <w:szCs w:val="15"/>
          <w:b w:val="1"/>
          <w:bCs w:val="1"/>
          <w:color w:val="0E191E"/>
        </w:rPr>
        <w:t xml:space="preserve"> </w:t>
      </w:r>
      <w:r>
        <w:rPr>
          <w:rFonts w:ascii="Arial" w:cs="Arial" w:eastAsia="Arial" w:hAnsi="Arial"/>
          <w:sz w:val="15"/>
          <w:szCs w:val="15"/>
          <w:color w:val="0E191E"/>
        </w:rPr>
        <w:t>stockholders of the Corporation shall be given in the manner provided in the Bylaws of the Corporation.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Article VIII</w:t>
      </w:r>
    </w:p>
    <w:p>
      <w:pPr>
        <w:spacing w:after="0" w:line="105" w:lineRule="exact"/>
        <w:rPr>
          <w:sz w:val="20"/>
          <w:szCs w:val="20"/>
          <w:color w:val="auto"/>
        </w:rPr>
      </w:pPr>
    </w:p>
    <w:p>
      <w:pPr>
        <w:spacing w:after="0" w:line="268" w:lineRule="auto"/>
        <w:rPr>
          <w:sz w:val="20"/>
          <w:szCs w:val="20"/>
          <w:color w:val="auto"/>
        </w:rPr>
      </w:pPr>
      <w:r>
        <w:rPr>
          <w:rFonts w:ascii="Arial" w:cs="Arial" w:eastAsia="Arial" w:hAnsi="Arial"/>
          <w:sz w:val="15"/>
          <w:szCs w:val="15"/>
          <w:b w:val="1"/>
          <w:bCs w:val="1"/>
          <w:color w:val="0E191E"/>
        </w:rPr>
        <w:t xml:space="preserve">8.1 Limitation of Personal Liability. </w:t>
      </w:r>
      <w:r>
        <w:rPr>
          <w:rFonts w:ascii="Arial" w:cs="Arial" w:eastAsia="Arial" w:hAnsi="Arial"/>
          <w:sz w:val="15"/>
          <w:szCs w:val="15"/>
          <w:color w:val="0E191E"/>
        </w:rPr>
        <w:t>To the fullest extent permitted by the DGCL, as it presently exists or may hereafter be amended from time to time, a director of</w:t>
      </w:r>
      <w:r>
        <w:rPr>
          <w:rFonts w:ascii="Arial" w:cs="Arial" w:eastAsia="Arial" w:hAnsi="Arial"/>
          <w:sz w:val="15"/>
          <w:szCs w:val="15"/>
          <w:b w:val="1"/>
          <w:bCs w:val="1"/>
          <w:color w:val="0E191E"/>
        </w:rPr>
        <w:t xml:space="preserve"> </w:t>
      </w:r>
      <w:r>
        <w:rPr>
          <w:rFonts w:ascii="Arial" w:cs="Arial" w:eastAsia="Arial" w:hAnsi="Arial"/>
          <w:sz w:val="15"/>
          <w:szCs w:val="15"/>
          <w:color w:val="0E191E"/>
        </w:rPr>
        <w:t>the Corporation shall not be personally 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 Any repeal or amendment of this Section 8.1 by the stockholders of the Corporation or by changes in law, or the adoption of any other provision of this Certificate of Incorporation inconsistent with this Section 8.1 will, unless otherwise required by law, be prospective only (except to the extent such amendment or change in law permits the Corporation to further limit or eliminate the liability of directors) and shall not adversely affect any right or protection of a director of the Corporation existing at the time of such repeal or amendment or adoption of such inconsistent provision with respect to acts or omissions occurring prior to such repeal or amendment or adoption of such inconsistent provision.</w:t>
      </w:r>
    </w:p>
    <w:p>
      <w:pPr>
        <w:spacing w:after="0" w:line="133" w:lineRule="exact"/>
        <w:rPr>
          <w:sz w:val="20"/>
          <w:szCs w:val="20"/>
          <w:color w:val="auto"/>
        </w:rPr>
      </w:pPr>
    </w:p>
    <w:p>
      <w:pPr>
        <w:ind w:right="220"/>
        <w:spacing w:after="0" w:line="276" w:lineRule="auto"/>
        <w:rPr>
          <w:sz w:val="20"/>
          <w:szCs w:val="20"/>
          <w:color w:val="auto"/>
        </w:rPr>
      </w:pPr>
      <w:r>
        <w:rPr>
          <w:rFonts w:ascii="Arial" w:cs="Arial" w:eastAsia="Arial" w:hAnsi="Arial"/>
          <w:sz w:val="15"/>
          <w:szCs w:val="15"/>
          <w:b w:val="1"/>
          <w:bCs w:val="1"/>
          <w:color w:val="0E191E"/>
        </w:rPr>
        <w:t xml:space="preserve">8.2 Indemnification. </w:t>
      </w:r>
      <w:r>
        <w:rPr>
          <w:rFonts w:ascii="Arial" w:cs="Arial" w:eastAsia="Arial" w:hAnsi="Arial"/>
          <w:sz w:val="15"/>
          <w:szCs w:val="15"/>
          <w:color w:val="0E191E"/>
        </w:rPr>
        <w:t>To the fullest extent permitted by the DGCL, as it presently exists or may hereafter be amended from time to time, the Corporation is also</w:t>
      </w:r>
      <w:r>
        <w:rPr>
          <w:rFonts w:ascii="Arial" w:cs="Arial" w:eastAsia="Arial" w:hAnsi="Arial"/>
          <w:sz w:val="15"/>
          <w:szCs w:val="15"/>
          <w:b w:val="1"/>
          <w:bCs w:val="1"/>
          <w:color w:val="0E191E"/>
        </w:rPr>
        <w:t xml:space="preserve"> </w:t>
      </w:r>
      <w:r>
        <w:rPr>
          <w:rFonts w:ascii="Arial" w:cs="Arial" w:eastAsia="Arial" w:hAnsi="Arial"/>
          <w:sz w:val="15"/>
          <w:szCs w:val="15"/>
          <w:color w:val="0E191E"/>
        </w:rPr>
        <w:t>authorized to provide indemnification of (and advancement of expenses to) its directors, officers and agents (and any other persons to which the DGCL permits the Corporation to provide indemnification) through bylaw provisions, agreements with such agents or other persons, vote of stockholders or disinterested directors or otherwise.</w:t>
      </w:r>
    </w:p>
    <w:p>
      <w:pPr>
        <w:spacing w:after="0" w:line="368"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64</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68" w:name="page69"/>
    <w:bookmarkEnd w:id="68"/>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Article IX</w:t>
      </w:r>
    </w:p>
    <w:p>
      <w:pPr>
        <w:spacing w:after="0" w:line="136" w:lineRule="exact"/>
        <w:rPr>
          <w:sz w:val="20"/>
          <w:szCs w:val="20"/>
          <w:color w:val="auto"/>
        </w:rPr>
      </w:pPr>
    </w:p>
    <w:p>
      <w:pPr>
        <w:spacing w:after="0" w:line="302" w:lineRule="auto"/>
        <w:rPr>
          <w:sz w:val="20"/>
          <w:szCs w:val="20"/>
          <w:color w:val="auto"/>
        </w:rPr>
      </w:pPr>
      <w:r>
        <w:rPr>
          <w:rFonts w:ascii="Arial" w:cs="Arial" w:eastAsia="Arial" w:hAnsi="Arial"/>
          <w:sz w:val="15"/>
          <w:szCs w:val="15"/>
          <w:color w:val="0E191E"/>
        </w:rPr>
        <w:t xml:space="preserve">The Corporation reserves the right to amend, alter, change or repeal any provision contained in this Certificate of Incorporation (including any rights, preferences or other designations of Preferred Stock), in the manner now or hereafter prescribed by this Certificate of Incorporation and the DGCL; and all rights, preferences and privileges herein conferred upon stockholders by and pursuant to this Certificate of Incorporation in its present form or as hereafter amended are granted subject to the right reserved in this Article IX. </w:t>
      </w:r>
      <w:r>
        <w:rPr>
          <w:rFonts w:ascii="Arial" w:cs="Arial" w:eastAsia="Arial" w:hAnsi="Arial"/>
          <w:sz w:val="15"/>
          <w:szCs w:val="15"/>
          <w:color w:val="EE2724"/>
          <w:strike w:val="1"/>
        </w:rPr>
        <w:t>Notwithstanding any other provision of this Certificate of Incorporation, and in addition to any other vote that may be required by</w:t>
      </w:r>
      <w:r>
        <w:rPr>
          <w:rFonts w:ascii="Arial" w:cs="Arial" w:eastAsia="Arial" w:hAnsi="Arial"/>
          <w:sz w:val="15"/>
          <w:szCs w:val="15"/>
          <w:color w:val="0E191E"/>
        </w:rPr>
        <w:t xml:space="preserve"> </w:t>
      </w:r>
      <w:r>
        <w:rPr>
          <w:rFonts w:ascii="Arial" w:cs="Arial" w:eastAsia="Arial" w:hAnsi="Arial"/>
          <w:sz w:val="15"/>
          <w:szCs w:val="15"/>
          <w:color w:val="EE2724"/>
          <w:strike w:val="1"/>
        </w:rPr>
        <w:t>law or the terms of any series of Preferred Stock, the affirmative vote of the holders of at least 66 2/3% of the voting power of all then outstanding shares of capital stock of the Corporation entitled to vote generally in the election of directors, voting together as a single class, shall be required to amend, alter or repeal, or adopt any provision as part of this Certificate of Incorporation inconsistent with the purpose and intent of, Article V, Article VI, Article VII or this Article IX (including, without limitation, any such Article as renumbered as a result of any amendment, alteration, change, repeal or adoption of any other Article).</w:t>
      </w:r>
    </w:p>
    <w:p>
      <w:pPr>
        <w:spacing w:after="0" w:line="154" w:lineRule="exact"/>
        <w:rPr>
          <w:sz w:val="20"/>
          <w:szCs w:val="20"/>
          <w:color w:val="auto"/>
        </w:rPr>
      </w:pPr>
    </w:p>
    <w:p>
      <w:pPr>
        <w:ind w:right="20"/>
        <w:spacing w:after="0" w:line="317" w:lineRule="auto"/>
        <w:rPr>
          <w:sz w:val="20"/>
          <w:szCs w:val="20"/>
          <w:color w:val="auto"/>
        </w:rPr>
      </w:pPr>
      <w:r>
        <w:rPr>
          <w:rFonts w:ascii="Arial" w:cs="Arial" w:eastAsia="Arial" w:hAnsi="Arial"/>
          <w:sz w:val="15"/>
          <w:szCs w:val="15"/>
          <w:color w:val="0E191E"/>
        </w:rPr>
        <w:t>IN WITNESS WHEREOF, Guidewire Software, Inc. has caused this Amended and Restated Certificate of Incorporation to be signed by a duly authorized officer of the Corporation on this [___] day of [______, 202_].</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12700</wp:posOffset>
            </wp:positionV>
            <wp:extent cx="19799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7" w:lineRule="exact"/>
        <w:rPr>
          <w:sz w:val="20"/>
          <w:szCs w:val="20"/>
          <w:color w:val="auto"/>
        </w:rPr>
      </w:pPr>
    </w:p>
    <w:p>
      <w:pPr>
        <w:ind w:left="760"/>
        <w:spacing w:after="0"/>
        <w:rPr>
          <w:sz w:val="20"/>
          <w:szCs w:val="20"/>
          <w:color w:val="auto"/>
        </w:rPr>
      </w:pPr>
      <w:r>
        <w:rPr>
          <w:rFonts w:ascii="Arial" w:cs="Arial" w:eastAsia="Arial" w:hAnsi="Arial"/>
          <w:sz w:val="15"/>
          <w:szCs w:val="15"/>
          <w:color w:val="auto"/>
        </w:rPr>
        <w:t>Mike Rosenbaum</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Chief Executive Officer</w:t>
      </w:r>
    </w:p>
    <w:p>
      <w:pPr>
        <w:spacing w:after="0" w:line="350" w:lineRule="exact"/>
        <w:rPr>
          <w:sz w:val="20"/>
          <w:szCs w:val="20"/>
          <w:color w:val="auto"/>
        </w:rPr>
      </w:pPr>
    </w:p>
    <w:tbl>
      <w:tblPr>
        <w:tblLayout w:type="fixed"/>
        <w:tblInd w:w="3540" w:type="dxa"/>
        <w:tblCellMar>
          <w:top w:w="0" w:type="dxa"/>
          <w:left w:w="0" w:type="dxa"/>
          <w:bottom w:w="0" w:type="dxa"/>
          <w:right w:w="0" w:type="dxa"/>
        </w:tblCellMar>
      </w:tblPr>
      <w:tr>
        <w:trPr>
          <w:trHeight w:val="202"/>
        </w:trPr>
        <w:tc>
          <w:tcPr>
            <w:tcW w:w="1680" w:type="dxa"/>
            <w:vAlign w:val="bottom"/>
            <w:vMerge w:val="restart"/>
          </w:tcPr>
          <w:p>
            <w:pPr>
              <w:spacing w:after="0"/>
              <w:rPr>
                <w:sz w:val="20"/>
                <w:szCs w:val="20"/>
                <w:color w:val="auto"/>
              </w:rPr>
            </w:pPr>
            <w:r>
              <w:rPr>
                <w:rFonts w:ascii="Arial" w:cs="Arial" w:eastAsia="Arial" w:hAnsi="Arial"/>
                <w:sz w:val="13"/>
                <w:szCs w:val="13"/>
                <w:color w:val="0E191E"/>
              </w:rPr>
              <w:t>Guidewire Software, Inc.</w:t>
            </w:r>
          </w:p>
        </w:tc>
        <w:tc>
          <w:tcPr>
            <w:tcW w:w="780" w:type="dxa"/>
            <w:vAlign w:val="bottom"/>
          </w:tcPr>
          <w:p>
            <w:pPr>
              <w:jc w:val="right"/>
              <w:ind w:right="224"/>
              <w:spacing w:after="0"/>
              <w:rPr>
                <w:sz w:val="20"/>
                <w:szCs w:val="20"/>
                <w:color w:val="auto"/>
              </w:rPr>
            </w:pPr>
            <w:r>
              <w:rPr>
                <w:rFonts w:ascii="Arial" w:cs="Arial" w:eastAsia="Arial" w:hAnsi="Arial"/>
                <w:sz w:val="15"/>
                <w:szCs w:val="15"/>
                <w:b w:val="1"/>
                <w:bCs w:val="1"/>
                <w:color w:val="00739D"/>
              </w:rPr>
              <w:t>65</w:t>
            </w:r>
          </w:p>
        </w:tc>
        <w:tc>
          <w:tcPr>
            <w:tcW w:w="1560" w:type="dxa"/>
            <w:vAlign w:val="bottom"/>
            <w:vMerge w:val="restart"/>
          </w:tcPr>
          <w:p>
            <w:pPr>
              <w:ind w:left="320"/>
              <w:spacing w:after="0"/>
              <w:rPr>
                <w:sz w:val="20"/>
                <w:szCs w:val="20"/>
                <w:color w:val="auto"/>
              </w:rPr>
            </w:pPr>
            <w:r>
              <w:rPr>
                <w:rFonts w:ascii="Arial" w:cs="Arial" w:eastAsia="Arial" w:hAnsi="Arial"/>
                <w:sz w:val="13"/>
                <w:szCs w:val="13"/>
                <w:color w:val="0E191E"/>
                <w:w w:val="94"/>
              </w:rPr>
              <w:t>2021 Proxy Statement</w:t>
            </w:r>
          </w:p>
        </w:tc>
        <w:tc>
          <w:tcPr>
            <w:tcW w:w="0" w:type="dxa"/>
            <w:vAlign w:val="bottom"/>
          </w:tcPr>
          <w:p>
            <w:pPr>
              <w:spacing w:after="0"/>
              <w:rPr>
                <w:sz w:val="1"/>
                <w:szCs w:val="1"/>
                <w:color w:val="auto"/>
              </w:rPr>
            </w:pPr>
          </w:p>
        </w:tc>
      </w:tr>
      <w:tr>
        <w:trPr>
          <w:trHeight w:val="46"/>
        </w:trPr>
        <w:tc>
          <w:tcPr>
            <w:tcW w:w="1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789420" cy="8778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789420" cy="8778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x"/>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x"/>
      <w:numFmt w:val="bullet"/>
      <w:start w:val="1"/>
    </w:lvl>
  </w:abstractNum>
  <w:abstractNum w:abstractNumId="3">
    <w:nsid w:val="8EDBDAB"/>
    <w:multiLevelType w:val="hybridMultilevel"/>
    <w:lvl w:ilvl="0">
      <w:lvlJc w:val="left"/>
      <w:lvlText w:val="o"/>
      <w:numFmt w:val="bullet"/>
      <w:start w:val="1"/>
    </w:lvl>
    <w:lvl w:ilvl="1">
      <w:lvlJc w:val="left"/>
      <w:lvlText w:val="(%2)"/>
      <w:numFmt w:val="decimal"/>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lowerRoman"/>
      <w:start w:val="4"/>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5"/>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lowerRoman"/>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2"/>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10"/>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lowerLetter"/>
      <w:start w:val="2"/>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2021-10-21T05:17:10Z</dcterms:created>
  <dcterms:modified xsi:type="dcterms:W3CDTF">2021-10-21T05:17:10Z</dcterms:modified>
</cp:coreProperties>
</file>